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F8" w:rsidRDefault="00B150F8" w:rsidP="00B15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11B">
        <w:rPr>
          <w:rFonts w:ascii="Times New Roman" w:hAnsi="Times New Roman" w:cs="Times New Roman"/>
          <w:b/>
          <w:sz w:val="28"/>
          <w:szCs w:val="28"/>
        </w:rPr>
        <w:t>Supplementary Data</w:t>
      </w:r>
    </w:p>
    <w:p w:rsidR="00B150F8" w:rsidRPr="00B8611B" w:rsidRDefault="00B150F8" w:rsidP="00B15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0F8" w:rsidRPr="00B8611B" w:rsidRDefault="00B150F8" w:rsidP="00B15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Investigating host dependence of xylose utilization in recombinant </w:t>
      </w:r>
      <w:proofErr w:type="spellStart"/>
      <w:r w:rsidRPr="00E07542">
        <w:rPr>
          <w:rFonts w:ascii="Times New Roman" w:hAnsi="Times New Roman" w:cs="Times New Roman"/>
          <w:b/>
          <w:i/>
          <w:sz w:val="24"/>
        </w:rPr>
        <w:t>Saccharomyces</w:t>
      </w:r>
      <w:proofErr w:type="spellEnd"/>
      <w:r w:rsidRPr="00E07542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E07542">
        <w:rPr>
          <w:rFonts w:ascii="Times New Roman" w:hAnsi="Times New Roman" w:cs="Times New Roman"/>
          <w:b/>
          <w:i/>
          <w:sz w:val="24"/>
        </w:rPr>
        <w:t>cerevisiae</w:t>
      </w:r>
      <w:proofErr w:type="spellEnd"/>
      <w:r w:rsidRPr="00E0754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strains using RNA-</w:t>
      </w:r>
      <w:proofErr w:type="spellStart"/>
      <w:r>
        <w:rPr>
          <w:rFonts w:ascii="Times New Roman" w:hAnsi="Times New Roman" w:cs="Times New Roman"/>
          <w:b/>
          <w:sz w:val="24"/>
        </w:rPr>
        <w:t>seq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analysis</w:t>
      </w:r>
    </w:p>
    <w:p w:rsidR="00B150F8" w:rsidRPr="00A35D56" w:rsidRDefault="00B150F8" w:rsidP="00B15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5D56">
        <w:rPr>
          <w:rFonts w:ascii="Times New Roman" w:hAnsi="Times New Roman"/>
          <w:sz w:val="24"/>
          <w:szCs w:val="24"/>
        </w:rPr>
        <w:t xml:space="preserve">Xueyang Feng, </w:t>
      </w:r>
      <w:r>
        <w:rPr>
          <w:rFonts w:ascii="Times New Roman" w:hAnsi="Times New Roman"/>
          <w:sz w:val="24"/>
          <w:szCs w:val="24"/>
        </w:rPr>
        <w:t>Huimin Zhao</w:t>
      </w:r>
    </w:p>
    <w:p w:rsidR="00B150F8" w:rsidRDefault="00B150F8" w:rsidP="00B150F8"/>
    <w:p w:rsidR="00B150F8" w:rsidRDefault="00B150F8" w:rsidP="00B150F8">
      <w:pPr>
        <w:jc w:val="center"/>
      </w:pPr>
    </w:p>
    <w:p w:rsidR="00B150F8" w:rsidRDefault="00B150F8" w:rsidP="00B150F8">
      <w:pPr>
        <w:jc w:val="center"/>
      </w:pPr>
    </w:p>
    <w:p w:rsidR="00B150F8" w:rsidRDefault="00B150F8" w:rsidP="00B150F8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5486400" cy="32956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50F8" w:rsidRDefault="00B150F8" w:rsidP="00B150F8">
      <w:pPr>
        <w:jc w:val="both"/>
        <w:rPr>
          <w:rFonts w:ascii="Times New Roman" w:hAnsi="Times New Roman" w:cs="Times New Roman"/>
          <w:sz w:val="24"/>
        </w:rPr>
      </w:pPr>
      <w:r w:rsidRPr="00AC6E54">
        <w:rPr>
          <w:rFonts w:ascii="Times New Roman" w:hAnsi="Times New Roman" w:cs="Times New Roman"/>
          <w:b/>
          <w:sz w:val="24"/>
        </w:rPr>
        <w:t>Figure S1</w:t>
      </w:r>
      <w:r w:rsidRPr="002A35E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number of transcripts identified with different cut-off values (n = 5-9) of the comparisons in which the target fragments maintain consistent transcriptional behaviors. </w:t>
      </w:r>
    </w:p>
    <w:p w:rsidR="00B150F8" w:rsidRDefault="00B150F8" w:rsidP="00B150F8">
      <w:pPr>
        <w:jc w:val="center"/>
        <w:rPr>
          <w:rFonts w:ascii="Times New Roman" w:hAnsi="Times New Roman" w:cs="Times New Roman"/>
          <w:sz w:val="24"/>
        </w:rPr>
      </w:pPr>
    </w:p>
    <w:p w:rsidR="00464445" w:rsidRDefault="00464445" w:rsidP="00464445">
      <w:pPr>
        <w:jc w:val="center"/>
        <w:rPr>
          <w:rFonts w:ascii="Times New Roman" w:hAnsi="Times New Roman" w:cs="Times New Roman"/>
          <w:sz w:val="24"/>
        </w:rPr>
      </w:pPr>
    </w:p>
    <w:p w:rsidR="00464445" w:rsidRDefault="00F9700D" w:rsidP="004644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lastRenderedPageBreak/>
        <w:drawing>
          <wp:inline distT="0" distB="0" distL="0" distR="0">
            <wp:extent cx="5608320" cy="48097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KM_Xylos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8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00D" w:rsidRDefault="00F9700D" w:rsidP="00F9700D">
      <w:pPr>
        <w:jc w:val="center"/>
        <w:rPr>
          <w:rFonts w:ascii="Times New Roman" w:hAnsi="Times New Roman" w:cs="Times New Roman"/>
          <w:sz w:val="24"/>
        </w:rPr>
      </w:pPr>
      <w:r w:rsidRPr="00AC6E54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2</w:t>
      </w:r>
      <w:r w:rsidRPr="002A35E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FPKM of XR (black bars), XDH (red bars), and XKS (green bars) in different </w:t>
      </w:r>
      <w:r w:rsidRPr="00F9700D">
        <w:rPr>
          <w:rFonts w:ascii="Times New Roman" w:hAnsi="Times New Roman" w:cs="Times New Roman"/>
          <w:sz w:val="24"/>
        </w:rPr>
        <w:t>recombinant</w:t>
      </w:r>
      <w:r w:rsidRPr="00F9700D">
        <w:rPr>
          <w:rFonts w:ascii="Times New Roman" w:hAnsi="Times New Roman" w:cs="Times New Roman"/>
          <w:i/>
          <w:sz w:val="24"/>
        </w:rPr>
        <w:t xml:space="preserve"> S. </w:t>
      </w:r>
      <w:proofErr w:type="spellStart"/>
      <w:r w:rsidRPr="00F9700D">
        <w:rPr>
          <w:rFonts w:ascii="Times New Roman" w:hAnsi="Times New Roman" w:cs="Times New Roman"/>
          <w:i/>
          <w:sz w:val="24"/>
        </w:rPr>
        <w:t>cerevisiae</w:t>
      </w:r>
      <w:proofErr w:type="spellEnd"/>
      <w:r w:rsidRPr="00F970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strains.</w:t>
      </w:r>
    </w:p>
    <w:p w:rsidR="00464445" w:rsidRDefault="00464445" w:rsidP="00464445">
      <w:pPr>
        <w:jc w:val="center"/>
        <w:rPr>
          <w:rFonts w:ascii="Times New Roman" w:hAnsi="Times New Roman" w:cs="Times New Roman"/>
          <w:sz w:val="24"/>
        </w:rPr>
      </w:pPr>
    </w:p>
    <w:p w:rsidR="00464445" w:rsidRDefault="00464445" w:rsidP="00464445">
      <w:pPr>
        <w:jc w:val="center"/>
        <w:rPr>
          <w:rFonts w:ascii="Times New Roman" w:hAnsi="Times New Roman" w:cs="Times New Roman"/>
          <w:sz w:val="24"/>
        </w:rPr>
      </w:pPr>
    </w:p>
    <w:p w:rsidR="00464445" w:rsidRPr="002A35E3" w:rsidRDefault="00464445" w:rsidP="00464445">
      <w:pPr>
        <w:jc w:val="center"/>
        <w:rPr>
          <w:rFonts w:ascii="Times New Roman" w:hAnsi="Times New Roman" w:cs="Times New Roman"/>
          <w:sz w:val="24"/>
        </w:rPr>
      </w:pPr>
    </w:p>
    <w:p w:rsidR="000D1CDF" w:rsidRDefault="004B02E7" w:rsidP="000D1CDF">
      <w:pPr>
        <w:jc w:val="center"/>
        <w:rPr>
          <w:rFonts w:ascii="Times New Roman" w:hAnsi="Times New Roman" w:cs="Times New Roman"/>
          <w:sz w:val="24"/>
        </w:rPr>
      </w:pPr>
      <w:r w:rsidRPr="004B02E7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6.65pt;margin-top:214.5pt;width:28.35pt;height:25.9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YYgQIAAA4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" stroked="f">
            <v:textbox>
              <w:txbxContent>
                <w:p w:rsidR="000D1CDF" w:rsidRPr="00907BE0" w:rsidRDefault="000D1CDF" w:rsidP="000D1CD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B</w:t>
                  </w:r>
                </w:p>
              </w:txbxContent>
            </v:textbox>
          </v:shape>
        </w:pict>
      </w:r>
      <w:r w:rsidRPr="004B02E7">
        <w:rPr>
          <w:noProof/>
        </w:rPr>
        <w:pict>
          <v:shape id="Text Box 8" o:spid="_x0000_s1027" type="#_x0000_t202" style="position:absolute;left:0;text-align:left;margin-left:46.65pt;margin-top:-7.95pt;width:28.35pt;height:25.9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" stroked="f">
            <v:textbox>
              <w:txbxContent>
                <w:p w:rsidR="000D1CDF" w:rsidRPr="00907BE0" w:rsidRDefault="000D1CDF" w:rsidP="000D1CD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A</w:t>
                  </w:r>
                </w:p>
              </w:txbxContent>
            </v:textbox>
          </v:shape>
        </w:pict>
      </w:r>
      <w:r w:rsidR="000D1CDF">
        <w:rPr>
          <w:noProof/>
          <w:lang w:val="en-GB" w:eastAsia="en-GB"/>
        </w:rPr>
        <w:drawing>
          <wp:inline distT="0" distB="0" distL="0" distR="0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1CDF" w:rsidRDefault="000D1CDF" w:rsidP="000D1CD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val="en-GB" w:eastAsia="en-GB"/>
        </w:rPr>
        <w:drawing>
          <wp:inline distT="0" distB="0" distL="0" distR="0">
            <wp:extent cx="46863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1CDF" w:rsidRDefault="000D1CDF" w:rsidP="000D1CDF">
      <w:pPr>
        <w:rPr>
          <w:rFonts w:ascii="Times New Roman" w:hAnsi="Times New Roman" w:cs="Times New Roman"/>
          <w:sz w:val="24"/>
        </w:rPr>
      </w:pPr>
      <w:r w:rsidRPr="00500A61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</w:t>
      </w:r>
      <w:r w:rsidR="007D07E4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(A) FPKM between INV-WT (IW) and INV-</w:t>
      </w:r>
      <w:proofErr w:type="spellStart"/>
      <w:r>
        <w:rPr>
          <w:rFonts w:ascii="Times New Roman" w:hAnsi="Times New Roman" w:cs="Times New Roman"/>
          <w:sz w:val="24"/>
        </w:rPr>
        <w:t>CTYp</w:t>
      </w:r>
      <w:proofErr w:type="spellEnd"/>
      <w:r>
        <w:rPr>
          <w:rFonts w:ascii="Times New Roman" w:hAnsi="Times New Roman" w:cs="Times New Roman"/>
          <w:sz w:val="24"/>
        </w:rPr>
        <w:t xml:space="preserve"> (IC), in which R1, R2, and R3 indicate three biological replicates; (B) FPKM between INV-WT (IW) and INV-</w:t>
      </w:r>
      <w:proofErr w:type="spellStart"/>
      <w:r>
        <w:rPr>
          <w:rFonts w:ascii="Times New Roman" w:hAnsi="Times New Roman" w:cs="Times New Roman"/>
          <w:sz w:val="24"/>
        </w:rPr>
        <w:t>INVp</w:t>
      </w:r>
      <w:proofErr w:type="spellEnd"/>
      <w:r>
        <w:rPr>
          <w:rFonts w:ascii="Times New Roman" w:hAnsi="Times New Roman" w:cs="Times New Roman"/>
          <w:sz w:val="24"/>
        </w:rPr>
        <w:t xml:space="preserve"> (II), in which R1, R2, and R3 indic</w:t>
      </w:r>
      <w:r w:rsidR="00545433">
        <w:rPr>
          <w:rFonts w:ascii="Times New Roman" w:hAnsi="Times New Roman" w:cs="Times New Roman"/>
          <w:sz w:val="24"/>
        </w:rPr>
        <w:t>ate three biological replicates.</w:t>
      </w:r>
    </w:p>
    <w:p w:rsidR="0037241B" w:rsidRDefault="0037241B" w:rsidP="0037241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lastRenderedPageBreak/>
        <w:drawing>
          <wp:inline distT="0" distB="0" distL="0" distR="0">
            <wp:extent cx="5330952" cy="4392168"/>
            <wp:effectExtent l="0" t="0" r="317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TF_MCF_Regulatio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41B" w:rsidRPr="002663EA" w:rsidRDefault="007D4AC9" w:rsidP="000D1CDF">
      <w:pPr>
        <w:rPr>
          <w:rFonts w:ascii="Times New Roman" w:hAnsi="Times New Roman" w:cs="Times New Roman"/>
          <w:sz w:val="24"/>
        </w:rPr>
      </w:pPr>
      <w:r w:rsidRPr="002663EA">
        <w:rPr>
          <w:rFonts w:ascii="Times New Roman" w:hAnsi="Times New Roman" w:cs="Times New Roman"/>
          <w:b/>
          <w:sz w:val="24"/>
        </w:rPr>
        <w:t>Figure S4</w:t>
      </w:r>
      <w:r w:rsidRPr="002663EA">
        <w:rPr>
          <w:rFonts w:ascii="Times New Roman" w:hAnsi="Times New Roman" w:cs="Times New Roman"/>
          <w:sz w:val="24"/>
        </w:rPr>
        <w:t xml:space="preserve"> TF profiles shown as the percentage of genes regulated by the top 20 TFs relative to the total number of genes involved in xylose metabolism regulations as reported in </w:t>
      </w:r>
      <w:r w:rsidRPr="002663EA">
        <w:rPr>
          <w:rFonts w:ascii="Times New Roman" w:hAnsi="Times New Roman" w:cs="Times New Roman"/>
          <w:i/>
          <w:sz w:val="24"/>
        </w:rPr>
        <w:t>Microbial Cell Factories</w:t>
      </w:r>
      <w:r w:rsidRPr="002663EA">
        <w:rPr>
          <w:rFonts w:ascii="Times New Roman" w:hAnsi="Times New Roman" w:cs="Times New Roman"/>
          <w:sz w:val="24"/>
        </w:rPr>
        <w:t xml:space="preserve"> 2008, 7:18.</w:t>
      </w:r>
    </w:p>
    <w:p w:rsidR="0037241B" w:rsidRDefault="0037241B" w:rsidP="0037241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GB" w:eastAsia="en-GB"/>
        </w:rPr>
        <w:lastRenderedPageBreak/>
        <w:drawing>
          <wp:inline distT="0" distB="0" distL="0" distR="0">
            <wp:extent cx="4672584" cy="408736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F_GSE27325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796" t="10256" r="15384" b="16453"/>
                    <a:stretch/>
                  </pic:blipFill>
                  <pic:spPr bwMode="auto">
                    <a:xfrm>
                      <a:off x="0" y="0"/>
                      <a:ext cx="4672584" cy="4087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105FD" w:rsidRPr="002663EA" w:rsidRDefault="009430CC">
      <w:r w:rsidRPr="002663EA">
        <w:rPr>
          <w:rFonts w:ascii="Times New Roman" w:hAnsi="Times New Roman" w:cs="Times New Roman"/>
          <w:b/>
          <w:sz w:val="24"/>
        </w:rPr>
        <w:t xml:space="preserve">Figure S5 </w:t>
      </w:r>
      <w:r w:rsidRPr="002663EA">
        <w:rPr>
          <w:rFonts w:ascii="Times New Roman" w:hAnsi="Times New Roman" w:cs="Times New Roman"/>
          <w:sz w:val="24"/>
        </w:rPr>
        <w:t>TF profiles shown as the percentage of genes regulated by the top 20 TFs relative to the total number of genes</w:t>
      </w:r>
      <w:r w:rsidR="00AD77F1" w:rsidRPr="002663EA">
        <w:rPr>
          <w:rFonts w:ascii="Times New Roman" w:hAnsi="Times New Roman" w:cs="Times New Roman"/>
          <w:sz w:val="24"/>
        </w:rPr>
        <w:t xml:space="preserve"> (i.e., the top 250 differentially expressed genes</w:t>
      </w:r>
      <w:r w:rsidR="003A3975" w:rsidRPr="002663EA">
        <w:rPr>
          <w:rFonts w:ascii="Times New Roman" w:hAnsi="Times New Roman" w:cs="Times New Roman"/>
          <w:sz w:val="24"/>
        </w:rPr>
        <w:t xml:space="preserve"> extracted from GSE27325</w:t>
      </w:r>
      <w:r w:rsidR="00AD77F1" w:rsidRPr="002663EA">
        <w:rPr>
          <w:rFonts w:ascii="Times New Roman" w:hAnsi="Times New Roman" w:cs="Times New Roman"/>
          <w:sz w:val="24"/>
        </w:rPr>
        <w:t>)</w:t>
      </w:r>
      <w:r w:rsidRPr="002663EA">
        <w:rPr>
          <w:rFonts w:ascii="Times New Roman" w:hAnsi="Times New Roman" w:cs="Times New Roman"/>
          <w:sz w:val="24"/>
        </w:rPr>
        <w:t xml:space="preserve"> involved in xylose metabolism regulations using </w:t>
      </w:r>
      <w:r w:rsidR="00B150F8" w:rsidRPr="002663EA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2663EA">
        <w:rPr>
          <w:rFonts w:ascii="Times New Roman" w:hAnsi="Times New Roman" w:cs="Times New Roman"/>
          <w:sz w:val="24"/>
        </w:rPr>
        <w:t>xylose</w:t>
      </w:r>
      <w:proofErr w:type="spellEnd"/>
      <w:r w:rsidRPr="002663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663EA">
        <w:rPr>
          <w:rFonts w:ascii="Times New Roman" w:hAnsi="Times New Roman" w:cs="Times New Roman"/>
          <w:sz w:val="24"/>
        </w:rPr>
        <w:t>isomerase</w:t>
      </w:r>
      <w:proofErr w:type="spellEnd"/>
      <w:r w:rsidRPr="002663EA">
        <w:rPr>
          <w:rFonts w:ascii="Times New Roman" w:hAnsi="Times New Roman" w:cs="Times New Roman"/>
          <w:sz w:val="24"/>
        </w:rPr>
        <w:t xml:space="preserve"> pathway.</w:t>
      </w:r>
      <w:r w:rsidR="00DB0E32" w:rsidRPr="002663EA">
        <w:t xml:space="preserve"> </w:t>
      </w:r>
      <w:r w:rsidR="00DB0E32" w:rsidRPr="002663EA">
        <w:rPr>
          <w:rFonts w:ascii="Times New Roman" w:hAnsi="Times New Roman" w:cs="Times New Roman"/>
          <w:sz w:val="24"/>
        </w:rPr>
        <w:t xml:space="preserve">WT </w:t>
      </w:r>
      <w:proofErr w:type="spellStart"/>
      <w:r w:rsidR="00DB0E32" w:rsidRPr="002663EA">
        <w:rPr>
          <w:rFonts w:ascii="Times New Roman" w:hAnsi="Times New Roman" w:cs="Times New Roman"/>
          <w:sz w:val="24"/>
        </w:rPr>
        <w:t>vs</w:t>
      </w:r>
      <w:proofErr w:type="spellEnd"/>
      <w:r w:rsidR="00DB0E32" w:rsidRPr="002663EA">
        <w:rPr>
          <w:rFonts w:ascii="Times New Roman" w:hAnsi="Times New Roman" w:cs="Times New Roman"/>
          <w:sz w:val="24"/>
        </w:rPr>
        <w:t xml:space="preserve"> XYLA: the wild-type strain treated with xylose compared to the wild-type strain with introduction of </w:t>
      </w:r>
      <w:r w:rsidR="00B150F8" w:rsidRPr="002663EA">
        <w:rPr>
          <w:rFonts w:ascii="Times New Roman" w:hAnsi="Times New Roman" w:cs="Times New Roman"/>
          <w:sz w:val="24"/>
        </w:rPr>
        <w:t xml:space="preserve">the </w:t>
      </w:r>
      <w:r w:rsidR="00DB0E32" w:rsidRPr="002663EA">
        <w:rPr>
          <w:rFonts w:ascii="Times New Roman" w:hAnsi="Times New Roman" w:cs="Times New Roman"/>
          <w:sz w:val="24"/>
        </w:rPr>
        <w:t>heterologous XYLA gene; WT vs</w:t>
      </w:r>
      <w:r w:rsidR="00B150F8" w:rsidRPr="002663EA">
        <w:rPr>
          <w:rFonts w:ascii="Times New Roman" w:hAnsi="Times New Roman" w:cs="Times New Roman"/>
          <w:sz w:val="24"/>
        </w:rPr>
        <w:t>.</w:t>
      </w:r>
      <w:r w:rsidR="00DB0E32" w:rsidRPr="002663EA">
        <w:rPr>
          <w:rFonts w:ascii="Times New Roman" w:hAnsi="Times New Roman" w:cs="Times New Roman"/>
          <w:sz w:val="24"/>
        </w:rPr>
        <w:t xml:space="preserve"> XYLA: the wild-type strain treated with xylose compared to the wild-type strain with introduction of </w:t>
      </w:r>
      <w:r w:rsidR="00B150F8" w:rsidRPr="002663EA">
        <w:rPr>
          <w:rFonts w:ascii="Times New Roman" w:hAnsi="Times New Roman" w:cs="Times New Roman"/>
          <w:sz w:val="24"/>
        </w:rPr>
        <w:t xml:space="preserve">the </w:t>
      </w:r>
      <w:bookmarkStart w:id="0" w:name="_GoBack"/>
      <w:bookmarkEnd w:id="0"/>
      <w:r w:rsidR="00DB0E32" w:rsidRPr="002663EA">
        <w:rPr>
          <w:rFonts w:ascii="Times New Roman" w:hAnsi="Times New Roman" w:cs="Times New Roman"/>
          <w:sz w:val="24"/>
        </w:rPr>
        <w:t>heterologous XYLA gene and XKS1 gene.</w:t>
      </w:r>
    </w:p>
    <w:p w:rsidR="000105FD" w:rsidRPr="002663EA" w:rsidRDefault="000105FD"/>
    <w:p w:rsidR="000105FD" w:rsidRDefault="000105FD"/>
    <w:p w:rsidR="00A7378A" w:rsidRDefault="00A7378A"/>
    <w:p w:rsidR="0037241B" w:rsidRDefault="0037241B"/>
    <w:p w:rsidR="0037241B" w:rsidRDefault="0037241B"/>
    <w:p w:rsidR="0037241B" w:rsidRDefault="0037241B"/>
    <w:p w:rsidR="0037241B" w:rsidRDefault="0037241B"/>
    <w:p w:rsidR="0037241B" w:rsidRDefault="0037241B"/>
    <w:p w:rsidR="000105FD" w:rsidRDefault="000105FD" w:rsidP="000105FD">
      <w:pPr>
        <w:jc w:val="center"/>
        <w:rPr>
          <w:rFonts w:ascii="Times New Roman" w:hAnsi="Times New Roman" w:cs="Times New Roman"/>
          <w:sz w:val="24"/>
        </w:rPr>
      </w:pPr>
      <w:r w:rsidRPr="000105FD">
        <w:rPr>
          <w:rFonts w:ascii="Times New Roman" w:hAnsi="Times New Roman" w:cs="Times New Roman"/>
          <w:b/>
          <w:sz w:val="24"/>
        </w:rPr>
        <w:lastRenderedPageBreak/>
        <w:t>Table S</w:t>
      </w:r>
      <w:r w:rsidR="005760EA">
        <w:rPr>
          <w:rFonts w:ascii="Times New Roman" w:hAnsi="Times New Roman" w:cs="Times New Roman"/>
          <w:b/>
          <w:sz w:val="24"/>
        </w:rPr>
        <w:t>1</w:t>
      </w:r>
      <w:r w:rsidRPr="000105FD">
        <w:rPr>
          <w:rFonts w:ascii="Times New Roman" w:hAnsi="Times New Roman" w:cs="Times New Roman"/>
          <w:sz w:val="24"/>
        </w:rPr>
        <w:t xml:space="preserve"> Description of transcriptional factors involved in context dependence</w:t>
      </w:r>
    </w:p>
    <w:tbl>
      <w:tblPr>
        <w:tblStyle w:val="TableGrid"/>
        <w:tblW w:w="0" w:type="auto"/>
        <w:tblLook w:val="04A0"/>
      </w:tblPr>
      <w:tblGrid>
        <w:gridCol w:w="2538"/>
        <w:gridCol w:w="7038"/>
      </w:tblGrid>
      <w:tr w:rsidR="000105FD" w:rsidTr="000105FD">
        <w:tc>
          <w:tcPr>
            <w:tcW w:w="2538" w:type="dxa"/>
          </w:tcPr>
          <w:p w:rsidR="000105FD" w:rsidRPr="000105FD" w:rsidRDefault="000105FD" w:rsidP="000105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05FD">
              <w:rPr>
                <w:rFonts w:ascii="Times New Roman" w:hAnsi="Times New Roman" w:cs="Times New Roman"/>
                <w:b/>
                <w:sz w:val="24"/>
              </w:rPr>
              <w:t>Transcriptional factor</w:t>
            </w:r>
          </w:p>
        </w:tc>
        <w:tc>
          <w:tcPr>
            <w:tcW w:w="7038" w:type="dxa"/>
          </w:tcPr>
          <w:p w:rsidR="000105FD" w:rsidRPr="000105FD" w:rsidRDefault="000105FD" w:rsidP="000105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105FD">
              <w:rPr>
                <w:rFonts w:ascii="Times New Roman" w:hAnsi="Times New Roman" w:cs="Times New Roman"/>
                <w:b/>
                <w:sz w:val="24"/>
              </w:rPr>
              <w:t>Description (from YEASTRACT database)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Aft1p</w:t>
            </w:r>
          </w:p>
        </w:tc>
        <w:tc>
          <w:tcPr>
            <w:tcW w:w="7038" w:type="dxa"/>
          </w:tcPr>
          <w:p w:rsidR="000105FD" w:rsidRDefault="000105FD" w:rsidP="000105FD">
            <w:pPr>
              <w:rPr>
                <w:rFonts w:ascii="Times New Roman" w:hAnsi="Times New Roman" w:cs="Times New Roman"/>
                <w:sz w:val="24"/>
              </w:rPr>
            </w:pPr>
            <w:r w:rsidRPr="000105FD">
              <w:rPr>
                <w:rFonts w:ascii="Times New Roman" w:hAnsi="Times New Roman" w:cs="Times New Roman"/>
                <w:sz w:val="24"/>
              </w:rPr>
              <w:t xml:space="preserve">Transcription factor involved in iron utilization and homeostasis; binds the consensus site </w:t>
            </w:r>
            <w:proofErr w:type="spellStart"/>
            <w:r w:rsidRPr="000105FD">
              <w:rPr>
                <w:rFonts w:ascii="Times New Roman" w:hAnsi="Times New Roman" w:cs="Times New Roman"/>
                <w:sz w:val="24"/>
              </w:rPr>
              <w:t>PyPuCACCCPu</w:t>
            </w:r>
            <w:proofErr w:type="spellEnd"/>
            <w:r w:rsidRPr="000105FD">
              <w:rPr>
                <w:rFonts w:ascii="Times New Roman" w:hAnsi="Times New Roman" w:cs="Times New Roman"/>
                <w:sz w:val="24"/>
              </w:rPr>
              <w:t xml:space="preserve"> and activates the expression of target genes in response to changes in iron availability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Gcn4p</w:t>
            </w:r>
          </w:p>
        </w:tc>
        <w:tc>
          <w:tcPr>
            <w:tcW w:w="7038" w:type="dxa"/>
          </w:tcPr>
          <w:p w:rsidR="000105FD" w:rsidRDefault="000105FD" w:rsidP="000105FD">
            <w:pPr>
              <w:rPr>
                <w:rFonts w:ascii="Times New Roman" w:hAnsi="Times New Roman" w:cs="Times New Roman"/>
                <w:sz w:val="24"/>
              </w:rPr>
            </w:pPr>
            <w:r w:rsidRPr="000105FD">
              <w:rPr>
                <w:rFonts w:ascii="Times New Roman" w:hAnsi="Times New Roman" w:cs="Times New Roman"/>
                <w:sz w:val="24"/>
              </w:rPr>
              <w:t>Transcriptional activator of amino acid biosynthetic genes in response to amino acid starvation; expression is tightly regulated at both the transcriptional and translational levels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Gcr2p</w:t>
            </w:r>
          </w:p>
        </w:tc>
        <w:tc>
          <w:tcPr>
            <w:tcW w:w="7038" w:type="dxa"/>
          </w:tcPr>
          <w:p w:rsidR="000105FD" w:rsidRDefault="00CE296C" w:rsidP="000105FD">
            <w:pPr>
              <w:rPr>
                <w:rFonts w:ascii="Times New Roman" w:hAnsi="Times New Roman" w:cs="Times New Roman"/>
                <w:sz w:val="24"/>
              </w:rPr>
            </w:pPr>
            <w:r w:rsidRPr="00CE296C">
              <w:rPr>
                <w:rFonts w:ascii="Times New Roman" w:hAnsi="Times New Roman" w:cs="Times New Roman"/>
                <w:sz w:val="24"/>
              </w:rPr>
              <w:t xml:space="preserve">Gcr1p and Gcr2p are transcriptional activators of glycolytic genes in </w:t>
            </w:r>
            <w:proofErr w:type="spellStart"/>
            <w:r w:rsidRPr="00820866">
              <w:rPr>
                <w:rFonts w:ascii="Times New Roman" w:hAnsi="Times New Roman" w:cs="Times New Roman"/>
                <w:i/>
                <w:sz w:val="24"/>
              </w:rPr>
              <w:t>Saccharomyces</w:t>
            </w:r>
            <w:proofErr w:type="spellEnd"/>
            <w:r w:rsidRPr="00820866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820866">
              <w:rPr>
                <w:rFonts w:ascii="Times New Roman" w:hAnsi="Times New Roman" w:cs="Times New Roman"/>
                <w:i/>
                <w:sz w:val="24"/>
              </w:rPr>
              <w:t>cerevisiae</w:t>
            </w:r>
            <w:proofErr w:type="spellEnd"/>
            <w:r w:rsidRPr="00CE296C">
              <w:rPr>
                <w:rFonts w:ascii="Times New Roman" w:hAnsi="Times New Roman" w:cs="Times New Roman"/>
                <w:sz w:val="24"/>
              </w:rPr>
              <w:t>. Gcr1p is a DNA-binding protein interacting with the consensus sequence CTTCC, whereas Gcr2p interacts with Gcr1p.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Met4p</w:t>
            </w:r>
          </w:p>
        </w:tc>
        <w:tc>
          <w:tcPr>
            <w:tcW w:w="7038" w:type="dxa"/>
          </w:tcPr>
          <w:p w:rsidR="000105FD" w:rsidRDefault="00E10B96" w:rsidP="000105F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10B96">
              <w:rPr>
                <w:rFonts w:ascii="Times New Roman" w:hAnsi="Times New Roman" w:cs="Times New Roman"/>
                <w:sz w:val="24"/>
              </w:rPr>
              <w:t>Leucine</w:t>
            </w:r>
            <w:proofErr w:type="spellEnd"/>
            <w:r w:rsidRPr="00E10B96">
              <w:rPr>
                <w:rFonts w:ascii="Times New Roman" w:hAnsi="Times New Roman" w:cs="Times New Roman"/>
                <w:sz w:val="24"/>
              </w:rPr>
              <w:t>-zipper transcriptional activator, responsible for the regulation of the sulfur amino acid pathway, requires different combinations of the auxiliary factors Cbf1p, Met28p, Met31p and Met32p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Msn2p</w:t>
            </w:r>
          </w:p>
        </w:tc>
        <w:tc>
          <w:tcPr>
            <w:tcW w:w="7038" w:type="dxa"/>
          </w:tcPr>
          <w:p w:rsidR="000105FD" w:rsidRDefault="00E10B96" w:rsidP="000105FD">
            <w:pPr>
              <w:rPr>
                <w:rFonts w:ascii="Times New Roman" w:hAnsi="Times New Roman" w:cs="Times New Roman"/>
                <w:sz w:val="24"/>
              </w:rPr>
            </w:pPr>
            <w:r w:rsidRPr="00E10B96">
              <w:rPr>
                <w:rFonts w:ascii="Times New Roman" w:hAnsi="Times New Roman" w:cs="Times New Roman"/>
                <w:sz w:val="24"/>
              </w:rPr>
              <w:t>Transcriptional activator related to Msn4p; activated in stress conditions, which results in translocation from the cytoplasm to the nucleus; binds DNA at stress response elements of responsive genes, inducing gene expression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Rpn4p</w:t>
            </w:r>
          </w:p>
        </w:tc>
        <w:tc>
          <w:tcPr>
            <w:tcW w:w="7038" w:type="dxa"/>
          </w:tcPr>
          <w:p w:rsidR="000105FD" w:rsidRDefault="00E10B96" w:rsidP="000105FD">
            <w:pPr>
              <w:rPr>
                <w:rFonts w:ascii="Times New Roman" w:hAnsi="Times New Roman" w:cs="Times New Roman"/>
                <w:sz w:val="24"/>
              </w:rPr>
            </w:pPr>
            <w:r w:rsidRPr="00E10B96">
              <w:rPr>
                <w:rFonts w:ascii="Times New Roman" w:hAnsi="Times New Roman" w:cs="Times New Roman"/>
                <w:sz w:val="24"/>
              </w:rPr>
              <w:t>Transcription factor that stimulates expression of proteasome genes; Rpn4p levels are in turn regulated by the 26S proteasome in a negative feedback control mechanism; RPN4 is transcriptionally regulated by various stress responses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Sfp1p</w:t>
            </w:r>
          </w:p>
        </w:tc>
        <w:tc>
          <w:tcPr>
            <w:tcW w:w="7038" w:type="dxa"/>
          </w:tcPr>
          <w:p w:rsidR="000105FD" w:rsidRDefault="00E10B96" w:rsidP="000105FD">
            <w:pPr>
              <w:rPr>
                <w:rFonts w:ascii="Times New Roman" w:hAnsi="Times New Roman" w:cs="Times New Roman"/>
                <w:sz w:val="24"/>
              </w:rPr>
            </w:pPr>
            <w:r w:rsidRPr="00E10B96">
              <w:rPr>
                <w:rFonts w:ascii="Times New Roman" w:hAnsi="Times New Roman" w:cs="Times New Roman"/>
                <w:sz w:val="24"/>
              </w:rPr>
              <w:t xml:space="preserve">Regulates transcription of ribosomal protein and biogenesis genes; regulates response to nutrients and stress, G2/M transitions during mitotic cell cycle and DNA-damage response, and modulates cell size; regulated by TORC1 and Mrs6p; sequence of zinc finger, </w:t>
            </w:r>
            <w:proofErr w:type="spellStart"/>
            <w:r w:rsidRPr="00E10B96">
              <w:rPr>
                <w:rFonts w:ascii="Times New Roman" w:hAnsi="Times New Roman" w:cs="Times New Roman"/>
                <w:sz w:val="24"/>
              </w:rPr>
              <w:t>ChIP</w:t>
            </w:r>
            <w:proofErr w:type="spellEnd"/>
            <w:r w:rsidRPr="00E10B96">
              <w:rPr>
                <w:rFonts w:ascii="Times New Roman" w:hAnsi="Times New Roman" w:cs="Times New Roman"/>
                <w:sz w:val="24"/>
              </w:rPr>
              <w:t xml:space="preserve"> localization data, and protein-binding microarray (PBM) data, and computational analyses suggest it binds DNA directly at highly active RP genes and indirectly through Rap1p at others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Ste12p</w:t>
            </w:r>
          </w:p>
        </w:tc>
        <w:tc>
          <w:tcPr>
            <w:tcW w:w="7038" w:type="dxa"/>
          </w:tcPr>
          <w:p w:rsidR="000105FD" w:rsidRDefault="00E10B96" w:rsidP="000105FD">
            <w:pPr>
              <w:rPr>
                <w:rFonts w:ascii="Times New Roman" w:hAnsi="Times New Roman" w:cs="Times New Roman"/>
                <w:sz w:val="24"/>
              </w:rPr>
            </w:pPr>
            <w:r w:rsidRPr="00E10B96">
              <w:rPr>
                <w:rFonts w:ascii="Times New Roman" w:hAnsi="Times New Roman" w:cs="Times New Roman"/>
                <w:sz w:val="24"/>
              </w:rPr>
              <w:t xml:space="preserve">Transcription factor that is activated by a MAP kinase signaling cascade, activates genes involved in mating or </w:t>
            </w:r>
            <w:proofErr w:type="spellStart"/>
            <w:r w:rsidRPr="00E10B96">
              <w:rPr>
                <w:rFonts w:ascii="Times New Roman" w:hAnsi="Times New Roman" w:cs="Times New Roman"/>
                <w:sz w:val="24"/>
              </w:rPr>
              <w:t>pseudohyphal</w:t>
            </w:r>
            <w:proofErr w:type="spellEnd"/>
            <w:r w:rsidRPr="00E10B96">
              <w:rPr>
                <w:rFonts w:ascii="Times New Roman" w:hAnsi="Times New Roman" w:cs="Times New Roman"/>
                <w:sz w:val="24"/>
              </w:rPr>
              <w:t>/invasive growth pathways; cooperates with Tec1p transcription factor to regulate genes specific for invasive growth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105FD" w:rsidTr="000105FD">
        <w:tc>
          <w:tcPr>
            <w:tcW w:w="2538" w:type="dxa"/>
          </w:tcPr>
          <w:p w:rsidR="000105FD" w:rsidRPr="00A91890" w:rsidRDefault="000105FD" w:rsidP="000105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890">
              <w:rPr>
                <w:rFonts w:ascii="Times New Roman" w:hAnsi="Times New Roman" w:cs="Times New Roman"/>
                <w:sz w:val="24"/>
              </w:rPr>
              <w:t>Yap1p</w:t>
            </w:r>
          </w:p>
        </w:tc>
        <w:tc>
          <w:tcPr>
            <w:tcW w:w="7038" w:type="dxa"/>
          </w:tcPr>
          <w:p w:rsidR="000105FD" w:rsidRDefault="000105FD" w:rsidP="000105FD">
            <w:pPr>
              <w:rPr>
                <w:rFonts w:ascii="Times New Roman" w:hAnsi="Times New Roman" w:cs="Times New Roman"/>
                <w:sz w:val="24"/>
              </w:rPr>
            </w:pPr>
            <w:r w:rsidRPr="000105FD">
              <w:rPr>
                <w:rFonts w:ascii="Times New Roman" w:hAnsi="Times New Roman" w:cs="Times New Roman"/>
                <w:sz w:val="24"/>
              </w:rPr>
              <w:t xml:space="preserve">Basic </w:t>
            </w:r>
            <w:proofErr w:type="spellStart"/>
            <w:r w:rsidRPr="000105FD">
              <w:rPr>
                <w:rFonts w:ascii="Times New Roman" w:hAnsi="Times New Roman" w:cs="Times New Roman"/>
                <w:sz w:val="24"/>
              </w:rPr>
              <w:t>leucine</w:t>
            </w:r>
            <w:proofErr w:type="spellEnd"/>
            <w:r w:rsidRPr="000105FD">
              <w:rPr>
                <w:rFonts w:ascii="Times New Roman" w:hAnsi="Times New Roman" w:cs="Times New Roman"/>
                <w:sz w:val="24"/>
              </w:rPr>
              <w:t xml:space="preserve"> zipper (</w:t>
            </w:r>
            <w:proofErr w:type="spellStart"/>
            <w:r w:rsidRPr="000105FD">
              <w:rPr>
                <w:rFonts w:ascii="Times New Roman" w:hAnsi="Times New Roman" w:cs="Times New Roman"/>
                <w:sz w:val="24"/>
              </w:rPr>
              <w:t>bZIP</w:t>
            </w:r>
            <w:proofErr w:type="spellEnd"/>
            <w:r w:rsidRPr="000105FD">
              <w:rPr>
                <w:rFonts w:ascii="Times New Roman" w:hAnsi="Times New Roman" w:cs="Times New Roman"/>
                <w:sz w:val="24"/>
              </w:rPr>
              <w:t>) transcription factor required for oxidative stress tolerance; activated by H</w:t>
            </w:r>
            <w:r w:rsidRPr="00820866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0105FD">
              <w:rPr>
                <w:rFonts w:ascii="Times New Roman" w:hAnsi="Times New Roman" w:cs="Times New Roman"/>
                <w:sz w:val="24"/>
              </w:rPr>
              <w:t>O</w:t>
            </w:r>
            <w:r w:rsidRPr="00820866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Pr="000105FD">
              <w:rPr>
                <w:rFonts w:ascii="Times New Roman" w:hAnsi="Times New Roman" w:cs="Times New Roman"/>
                <w:sz w:val="24"/>
              </w:rPr>
              <w:t xml:space="preserve"> through the multistep formation of disulfide bonds and transit from the cytoplasm to the nucleus; mediates resistance to cadmium</w:t>
            </w:r>
            <w:r w:rsidR="004A5A0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0105FD" w:rsidRPr="000105FD" w:rsidRDefault="000105FD" w:rsidP="000105FD">
      <w:pPr>
        <w:jc w:val="center"/>
        <w:rPr>
          <w:rFonts w:ascii="Times New Roman" w:hAnsi="Times New Roman" w:cs="Times New Roman"/>
          <w:sz w:val="24"/>
        </w:rPr>
      </w:pPr>
    </w:p>
    <w:sectPr w:rsidR="000105FD" w:rsidRPr="000105FD" w:rsidSect="0071692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D4D" w:rsidRDefault="00F22D4D" w:rsidP="00FE2654">
      <w:pPr>
        <w:spacing w:after="0" w:line="240" w:lineRule="auto"/>
      </w:pPr>
      <w:r>
        <w:separator/>
      </w:r>
    </w:p>
  </w:endnote>
  <w:endnote w:type="continuationSeparator" w:id="0">
    <w:p w:rsidR="00F22D4D" w:rsidRDefault="00F22D4D" w:rsidP="00FE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863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7C1719" w:rsidRPr="007C1719" w:rsidRDefault="004B02E7">
        <w:pPr>
          <w:pStyle w:val="Footer"/>
          <w:jc w:val="center"/>
          <w:rPr>
            <w:rFonts w:ascii="Times New Roman" w:hAnsi="Times New Roman" w:cs="Times New Roman"/>
          </w:rPr>
        </w:pPr>
        <w:r w:rsidRPr="007C1719">
          <w:rPr>
            <w:rFonts w:ascii="Times New Roman" w:hAnsi="Times New Roman" w:cs="Times New Roman"/>
          </w:rPr>
          <w:fldChar w:fldCharType="begin"/>
        </w:r>
        <w:r w:rsidR="007C1719" w:rsidRPr="007C1719">
          <w:rPr>
            <w:rFonts w:ascii="Times New Roman" w:hAnsi="Times New Roman" w:cs="Times New Roman"/>
          </w:rPr>
          <w:instrText xml:space="preserve"> PAGE   \* MERGEFORMAT </w:instrText>
        </w:r>
        <w:r w:rsidRPr="007C1719">
          <w:rPr>
            <w:rFonts w:ascii="Times New Roman" w:hAnsi="Times New Roman" w:cs="Times New Roman"/>
          </w:rPr>
          <w:fldChar w:fldCharType="separate"/>
        </w:r>
        <w:r w:rsidR="002663EA">
          <w:rPr>
            <w:rFonts w:ascii="Times New Roman" w:hAnsi="Times New Roman" w:cs="Times New Roman"/>
            <w:noProof/>
          </w:rPr>
          <w:t>6</w:t>
        </w:r>
        <w:r w:rsidRPr="007C171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E2654" w:rsidRDefault="00FE26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D4D" w:rsidRDefault="00F22D4D" w:rsidP="00FE2654">
      <w:pPr>
        <w:spacing w:after="0" w:line="240" w:lineRule="auto"/>
      </w:pPr>
      <w:r>
        <w:separator/>
      </w:r>
    </w:p>
  </w:footnote>
  <w:footnote w:type="continuationSeparator" w:id="0">
    <w:p w:rsidR="00F22D4D" w:rsidRDefault="00F22D4D" w:rsidP="00FE2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D1CDF"/>
    <w:rsid w:val="000105FD"/>
    <w:rsid w:val="00056D45"/>
    <w:rsid w:val="000D1CDF"/>
    <w:rsid w:val="000D4945"/>
    <w:rsid w:val="002663EA"/>
    <w:rsid w:val="002C79B8"/>
    <w:rsid w:val="002F5714"/>
    <w:rsid w:val="00341085"/>
    <w:rsid w:val="0037241B"/>
    <w:rsid w:val="003A3975"/>
    <w:rsid w:val="003C4D3E"/>
    <w:rsid w:val="003D13D9"/>
    <w:rsid w:val="00464445"/>
    <w:rsid w:val="004A5A06"/>
    <w:rsid w:val="004B02E7"/>
    <w:rsid w:val="00545433"/>
    <w:rsid w:val="005760EA"/>
    <w:rsid w:val="005E5CC5"/>
    <w:rsid w:val="00612FBA"/>
    <w:rsid w:val="00685B5F"/>
    <w:rsid w:val="0071692B"/>
    <w:rsid w:val="007C1719"/>
    <w:rsid w:val="007D07E4"/>
    <w:rsid w:val="007D3E9F"/>
    <w:rsid w:val="007D4AC9"/>
    <w:rsid w:val="00820866"/>
    <w:rsid w:val="00860897"/>
    <w:rsid w:val="00875C42"/>
    <w:rsid w:val="009430CC"/>
    <w:rsid w:val="00A7378A"/>
    <w:rsid w:val="00A91890"/>
    <w:rsid w:val="00AD77F1"/>
    <w:rsid w:val="00B150F8"/>
    <w:rsid w:val="00B233D5"/>
    <w:rsid w:val="00C65A2B"/>
    <w:rsid w:val="00CE296C"/>
    <w:rsid w:val="00DB0E32"/>
    <w:rsid w:val="00E10B96"/>
    <w:rsid w:val="00E56B20"/>
    <w:rsid w:val="00E6798E"/>
    <w:rsid w:val="00F03382"/>
    <w:rsid w:val="00F22D4D"/>
    <w:rsid w:val="00F9700D"/>
    <w:rsid w:val="00FD6577"/>
    <w:rsid w:val="00FE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0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26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654"/>
  </w:style>
  <w:style w:type="paragraph" w:styleId="Footer">
    <w:name w:val="footer"/>
    <w:basedOn w:val="Normal"/>
    <w:link w:val="FooterChar"/>
    <w:uiPriority w:val="99"/>
    <w:unhideWhenUsed/>
    <w:rsid w:val="00FE26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0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26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654"/>
  </w:style>
  <w:style w:type="paragraph" w:styleId="Footer">
    <w:name w:val="footer"/>
    <w:basedOn w:val="Normal"/>
    <w:link w:val="FooterChar"/>
    <w:uiPriority w:val="99"/>
    <w:unhideWhenUsed/>
    <w:rsid w:val="00FE26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2.tiff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engx\Desktop\MyFiles\MyDesktopFiles\MyProject\Zhao\Molecular%20Biology\Development\Results\RNA\RNAseq\Development\GalaxyFile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engx\Desktop\MyFiles\MyDesktopFiles\MyProject\Zhao\Molecular%20Biology\Development\Results\RNA\RNAseq\Development\Files\Figures\INV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engx\Desktop\MyFiles\MyDesktopFiles\MyProject\Zhao\Molecular%20Biology\Development\Results\RNA\RNAseq\Development\Files\Figures\INV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v>IW vs IC</c:v>
          </c:tx>
          <c:cat>
            <c:strRef>
              <c:f>[GalaxyFiles.xlsx]Sheet3!$C$16:$G$16</c:f>
              <c:strCache>
                <c:ptCount val="5"/>
                <c:pt idx="0">
                  <c:v>n=5</c:v>
                </c:pt>
                <c:pt idx="1">
                  <c:v>n=6</c:v>
                </c:pt>
                <c:pt idx="2">
                  <c:v>n=7</c:v>
                </c:pt>
                <c:pt idx="3">
                  <c:v>n=8</c:v>
                </c:pt>
                <c:pt idx="4">
                  <c:v>n=9</c:v>
                </c:pt>
              </c:strCache>
            </c:strRef>
          </c:cat>
          <c:val>
            <c:numRef>
              <c:f>[GalaxyFiles.xlsx]Sheet3!$C$17:$G$17</c:f>
              <c:numCache>
                <c:formatCode>General</c:formatCode>
                <c:ptCount val="5"/>
                <c:pt idx="0">
                  <c:v>11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v>IW vs II</c:v>
          </c:tx>
          <c:cat>
            <c:strRef>
              <c:f>[GalaxyFiles.xlsx]Sheet3!$C$16:$G$16</c:f>
              <c:strCache>
                <c:ptCount val="5"/>
                <c:pt idx="0">
                  <c:v>n=5</c:v>
                </c:pt>
                <c:pt idx="1">
                  <c:v>n=6</c:v>
                </c:pt>
                <c:pt idx="2">
                  <c:v>n=7</c:v>
                </c:pt>
                <c:pt idx="3">
                  <c:v>n=8</c:v>
                </c:pt>
                <c:pt idx="4">
                  <c:v>n=9</c:v>
                </c:pt>
              </c:strCache>
            </c:strRef>
          </c:cat>
          <c:val>
            <c:numRef>
              <c:f>[GalaxyFiles.xlsx]Sheet3!$C$18:$G$18</c:f>
              <c:numCache>
                <c:formatCode>General</c:formatCode>
                <c:ptCount val="5"/>
                <c:pt idx="0">
                  <c:v>32</c:v>
                </c:pt>
                <c:pt idx="1">
                  <c:v>15</c:v>
                </c:pt>
                <c:pt idx="2">
                  <c:v>8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v>CW vs CC</c:v>
          </c:tx>
          <c:cat>
            <c:strRef>
              <c:f>[GalaxyFiles.xlsx]Sheet3!$C$16:$G$16</c:f>
              <c:strCache>
                <c:ptCount val="5"/>
                <c:pt idx="0">
                  <c:v>n=5</c:v>
                </c:pt>
                <c:pt idx="1">
                  <c:v>n=6</c:v>
                </c:pt>
                <c:pt idx="2">
                  <c:v>n=7</c:v>
                </c:pt>
                <c:pt idx="3">
                  <c:v>n=8</c:v>
                </c:pt>
                <c:pt idx="4">
                  <c:v>n=9</c:v>
                </c:pt>
              </c:strCache>
            </c:strRef>
          </c:cat>
          <c:val>
            <c:numRef>
              <c:f>[GalaxyFiles.xlsx]Sheet3!$C$19:$G$19</c:f>
              <c:numCache>
                <c:formatCode>General</c:formatCode>
                <c:ptCount val="5"/>
                <c:pt idx="0">
                  <c:v>70</c:v>
                </c:pt>
                <c:pt idx="1">
                  <c:v>61</c:v>
                </c:pt>
                <c:pt idx="2">
                  <c:v>25</c:v>
                </c:pt>
                <c:pt idx="3">
                  <c:v>20</c:v>
                </c:pt>
                <c:pt idx="4">
                  <c:v>17</c:v>
                </c:pt>
              </c:numCache>
            </c:numRef>
          </c:val>
        </c:ser>
        <c:ser>
          <c:idx val="3"/>
          <c:order val="3"/>
          <c:tx>
            <c:v>CW vs CI</c:v>
          </c:tx>
          <c:cat>
            <c:strRef>
              <c:f>[GalaxyFiles.xlsx]Sheet3!$C$16:$G$16</c:f>
              <c:strCache>
                <c:ptCount val="5"/>
                <c:pt idx="0">
                  <c:v>n=5</c:v>
                </c:pt>
                <c:pt idx="1">
                  <c:v>n=6</c:v>
                </c:pt>
                <c:pt idx="2">
                  <c:v>n=7</c:v>
                </c:pt>
                <c:pt idx="3">
                  <c:v>n=8</c:v>
                </c:pt>
                <c:pt idx="4">
                  <c:v>n=9</c:v>
                </c:pt>
              </c:strCache>
            </c:strRef>
          </c:cat>
          <c:val>
            <c:numRef>
              <c:f>[GalaxyFiles.xlsx]Sheet3!$C$20:$G$20</c:f>
              <c:numCache>
                <c:formatCode>General</c:formatCode>
                <c:ptCount val="5"/>
                <c:pt idx="0">
                  <c:v>70</c:v>
                </c:pt>
                <c:pt idx="1">
                  <c:v>54</c:v>
                </c:pt>
                <c:pt idx="2">
                  <c:v>29</c:v>
                </c:pt>
                <c:pt idx="3">
                  <c:v>22</c:v>
                </c:pt>
                <c:pt idx="4">
                  <c:v>16</c:v>
                </c:pt>
              </c:numCache>
            </c:numRef>
          </c:val>
        </c:ser>
        <c:shape val="box"/>
        <c:axId val="85544960"/>
        <c:axId val="85547648"/>
        <c:axId val="39584640"/>
      </c:bar3DChart>
      <c:catAx>
        <c:axId val="8554496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547648"/>
        <c:crosses val="autoZero"/>
        <c:auto val="1"/>
        <c:lblAlgn val="ctr"/>
        <c:lblOffset val="100"/>
      </c:catAx>
      <c:valAx>
        <c:axId val="85547648"/>
        <c:scaling>
          <c:orientation val="minMax"/>
          <c:max val="70"/>
        </c:scaling>
        <c:axPos val="l"/>
        <c:numFmt formatCode="General" sourceLinked="1"/>
        <c:tickLblPos val="nextTo"/>
        <c:txPr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544960"/>
        <c:crosses val="autoZero"/>
        <c:crossBetween val="between"/>
      </c:valAx>
      <c:serAx>
        <c:axId val="3958464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547648"/>
        <c:crosses val="autoZero"/>
      </c:serAx>
    </c:plotArea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GB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v>chrX:607902-636852</c:v>
          </c:tx>
          <c:cat>
            <c:strRef>
              <c:f>[INV.xlsx]Sheet1!$C$4:$H$4</c:f>
              <c:strCache>
                <c:ptCount val="6"/>
                <c:pt idx="0">
                  <c:v>IW, R1</c:v>
                </c:pt>
                <c:pt idx="1">
                  <c:v>IW, R2</c:v>
                </c:pt>
                <c:pt idx="2">
                  <c:v>IW, R3</c:v>
                </c:pt>
                <c:pt idx="3">
                  <c:v>IC, R1</c:v>
                </c:pt>
                <c:pt idx="4">
                  <c:v>IC, R2</c:v>
                </c:pt>
                <c:pt idx="5">
                  <c:v>IC, R3</c:v>
                </c:pt>
              </c:strCache>
            </c:strRef>
          </c:cat>
          <c:val>
            <c:numRef>
              <c:f>[INV.xlsx]Sheet1!$C$5:$H$5</c:f>
              <c:numCache>
                <c:formatCode>0.00</c:formatCode>
                <c:ptCount val="6"/>
                <c:pt idx="0">
                  <c:v>14.532500000000002</c:v>
                </c:pt>
                <c:pt idx="1">
                  <c:v>12.9542</c:v>
                </c:pt>
                <c:pt idx="2">
                  <c:v>21.923199999999991</c:v>
                </c:pt>
                <c:pt idx="3">
                  <c:v>0</c:v>
                </c:pt>
                <c:pt idx="4">
                  <c:v>0</c:v>
                </c:pt>
                <c:pt idx="5">
                  <c:v>2.7690700000000001</c:v>
                </c:pt>
              </c:numCache>
            </c:numRef>
          </c:val>
        </c:ser>
        <c:shape val="box"/>
        <c:axId val="85699200"/>
        <c:axId val="85700992"/>
        <c:axId val="39744832"/>
      </c:bar3DChart>
      <c:catAx>
        <c:axId val="8569920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700992"/>
        <c:crosses val="autoZero"/>
        <c:auto val="1"/>
        <c:lblAlgn val="ctr"/>
        <c:lblOffset val="100"/>
      </c:catAx>
      <c:valAx>
        <c:axId val="85700992"/>
        <c:scaling>
          <c:logBase val="10"/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699200"/>
        <c:crosses val="autoZero"/>
        <c:crossBetween val="between"/>
      </c:valAx>
      <c:serAx>
        <c:axId val="39744832"/>
        <c:scaling>
          <c:orientation val="minMax"/>
        </c:scaling>
        <c:delete val="1"/>
        <c:axPos val="b"/>
        <c:tickLblPos val="none"/>
        <c:crossAx val="85700992"/>
        <c:crosses val="autoZero"/>
      </c:ser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</c:dTable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view3D>
      <c:perspective val="30"/>
    </c:view3D>
    <c:sideWall>
      <c:spPr>
        <a:noFill/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standard"/>
        <c:ser>
          <c:idx val="0"/>
          <c:order val="0"/>
          <c:tx>
            <c:v>chrX:157779-197274</c:v>
          </c:tx>
          <c:cat>
            <c:strRef>
              <c:f>[INV.xlsx]Sheet1!$L$4:$Q$4</c:f>
              <c:strCache>
                <c:ptCount val="6"/>
                <c:pt idx="0">
                  <c:v>IW, R1</c:v>
                </c:pt>
                <c:pt idx="1">
                  <c:v>IW, R2</c:v>
                </c:pt>
                <c:pt idx="2">
                  <c:v>IW, R3</c:v>
                </c:pt>
                <c:pt idx="3">
                  <c:v>II, R1</c:v>
                </c:pt>
                <c:pt idx="4">
                  <c:v>II, R2</c:v>
                </c:pt>
                <c:pt idx="5">
                  <c:v>II, R3</c:v>
                </c:pt>
              </c:strCache>
            </c:strRef>
          </c:cat>
          <c:val>
            <c:numRef>
              <c:f>[INV.xlsx]Sheet1!$L$6:$Q$6</c:f>
              <c:numCache>
                <c:formatCode>0.00</c:formatCode>
                <c:ptCount val="6"/>
                <c:pt idx="0">
                  <c:v>8.7671400000000013</c:v>
                </c:pt>
                <c:pt idx="1">
                  <c:v>12.831900000000001</c:v>
                </c:pt>
                <c:pt idx="2">
                  <c:v>10.118500000000001</c:v>
                </c:pt>
                <c:pt idx="3">
                  <c:v>164.14099999999999</c:v>
                </c:pt>
                <c:pt idx="4">
                  <c:v>307.34399999999999</c:v>
                </c:pt>
                <c:pt idx="5">
                  <c:v>193.84100000000001</c:v>
                </c:pt>
              </c:numCache>
            </c:numRef>
          </c:val>
        </c:ser>
        <c:ser>
          <c:idx val="1"/>
          <c:order val="1"/>
          <c:tx>
            <c:v>chrXV:12691-35625</c:v>
          </c:tx>
          <c:cat>
            <c:strRef>
              <c:f>[INV.xlsx]Sheet1!$L$4:$Q$4</c:f>
              <c:strCache>
                <c:ptCount val="6"/>
                <c:pt idx="0">
                  <c:v>IW, R1</c:v>
                </c:pt>
                <c:pt idx="1">
                  <c:v>IW, R2</c:v>
                </c:pt>
                <c:pt idx="2">
                  <c:v>IW, R3</c:v>
                </c:pt>
                <c:pt idx="3">
                  <c:v>II, R1</c:v>
                </c:pt>
                <c:pt idx="4">
                  <c:v>II, R2</c:v>
                </c:pt>
                <c:pt idx="5">
                  <c:v>II, R3</c:v>
                </c:pt>
              </c:strCache>
            </c:strRef>
          </c:cat>
          <c:val>
            <c:numRef>
              <c:f>[INV.xlsx]Sheet1!$L$5:$Q$5</c:f>
              <c:numCache>
                <c:formatCode>0.00</c:formatCode>
                <c:ptCount val="6"/>
                <c:pt idx="0">
                  <c:v>17.1126</c:v>
                </c:pt>
                <c:pt idx="1">
                  <c:v>14.9717</c:v>
                </c:pt>
                <c:pt idx="2">
                  <c:v>24.030999999999999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hape val="box"/>
        <c:axId val="85860352"/>
        <c:axId val="85861888"/>
        <c:axId val="39911872"/>
      </c:bar3DChart>
      <c:catAx>
        <c:axId val="858603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861888"/>
        <c:crosses val="autoZero"/>
        <c:auto val="1"/>
        <c:lblAlgn val="ctr"/>
        <c:lblOffset val="100"/>
      </c:catAx>
      <c:valAx>
        <c:axId val="85861888"/>
        <c:scaling>
          <c:logBase val="10"/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860352"/>
        <c:crosses val="autoZero"/>
        <c:crossBetween val="between"/>
      </c:valAx>
      <c:serAx>
        <c:axId val="39911872"/>
        <c:scaling>
          <c:orientation val="minMax"/>
        </c:scaling>
        <c:delete val="1"/>
        <c:axPos val="b"/>
        <c:tickLblPos val="none"/>
        <c:crossAx val="85861888"/>
        <c:crosses val="autoZero"/>
      </c:ser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</c:dTable>
      <c:spPr>
        <a:ln w="25400"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fengx</dc:creator>
  <cp:lastModifiedBy>MARS15</cp:lastModifiedBy>
  <cp:revision>2</cp:revision>
  <dcterms:created xsi:type="dcterms:W3CDTF">2013-07-09T13:35:00Z</dcterms:created>
  <dcterms:modified xsi:type="dcterms:W3CDTF">2013-07-09T13:35:00Z</dcterms:modified>
</cp:coreProperties>
</file>