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9EE" w:rsidRPr="00B17D4D" w:rsidRDefault="008939EE" w:rsidP="008939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939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376241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008D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Pr="002123C8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Pr="002123C8">
        <w:rPr>
          <w:rFonts w:ascii="Times New Roman" w:hAnsi="Times New Roman" w:cs="Times New Roman"/>
          <w:sz w:val="24"/>
          <w:szCs w:val="24"/>
        </w:rPr>
        <w:t>rifluoroacetic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(TFA) 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="00EB008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10129" w:rsidRPr="00B17D4D">
        <w:rPr>
          <w:rFonts w:ascii="Times New Roman" w:hAnsi="Times New Roman" w:cs="Times New Roman"/>
          <w:sz w:val="24"/>
          <w:szCs w:val="24"/>
          <w:lang w:val="en-US"/>
        </w:rPr>
        <w:t>ulphuric</w:t>
      </w:r>
      <w:proofErr w:type="spellEnd"/>
      <w:r w:rsidRPr="00B17D4D">
        <w:rPr>
          <w:rFonts w:ascii="Times New Roman" w:hAnsi="Times New Roman" w:cs="Times New Roman"/>
          <w:sz w:val="24"/>
          <w:szCs w:val="24"/>
          <w:lang w:val="en-US"/>
        </w:rPr>
        <w:t xml:space="preserve"> acid solubilized total sugar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content as determined by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anthrone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method.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 xml:space="preserve">) Uronic acid content of </w:t>
      </w:r>
      <w:r w:rsidRPr="002123C8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Pr="002123C8">
        <w:rPr>
          <w:rFonts w:ascii="Times New Roman" w:hAnsi="Times New Roman" w:cs="Times New Roman"/>
          <w:sz w:val="24"/>
          <w:szCs w:val="24"/>
        </w:rPr>
        <w:t>rifluoroacetic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3C8">
        <w:rPr>
          <w:rFonts w:ascii="Times New Roman" w:hAnsi="Times New Roman" w:cs="Times New Roman"/>
          <w:sz w:val="24"/>
          <w:szCs w:val="24"/>
          <w:lang w:val="en-US"/>
        </w:rPr>
        <w:t>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123C8">
        <w:rPr>
          <w:rFonts w:ascii="Times New Roman" w:hAnsi="Times New Roman" w:cs="Times New Roman"/>
          <w:sz w:val="24"/>
          <w:szCs w:val="24"/>
          <w:lang w:val="en-US"/>
        </w:rPr>
        <w:t>sulphuric</w:t>
      </w:r>
      <w:proofErr w:type="spellEnd"/>
      <w:r w:rsidRPr="00212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>acid solubilized cell wall fractions.</w:t>
      </w:r>
      <w:r w:rsidRPr="00C07E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Bars indicate standard errors of mean (n=3).</w:t>
      </w:r>
      <w:r w:rsidRPr="001963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(*)</w:t>
      </w:r>
      <w:r>
        <w:rPr>
          <w:rFonts w:ascii="Times New Roman" w:hAnsi="Times New Roman" w:cs="Times New Roman"/>
          <w:sz w:val="24"/>
          <w:szCs w:val="24"/>
        </w:rPr>
        <w:t xml:space="preserve"> differs to control at </w:t>
      </w:r>
      <w:r w:rsidR="00755752">
        <w:rPr>
          <w:rFonts w:ascii="Times New Roman" w:hAnsi="Times New Roman" w:cs="Times New Roman"/>
          <w:sz w:val="24"/>
          <w:szCs w:val="24"/>
          <w:lang w:val="en-US"/>
        </w:rPr>
        <w:t xml:space="preserve">(p˂0.05). </w:t>
      </w:r>
      <w:proofErr w:type="gramStart"/>
      <w:r w:rsidR="00755752">
        <w:rPr>
          <w:rFonts w:ascii="Times New Roman" w:hAnsi="Times New Roman" w:cs="Times New Roman"/>
          <w:sz w:val="24"/>
          <w:szCs w:val="24"/>
          <w:lang w:val="en-US"/>
        </w:rPr>
        <w:t xml:space="preserve">WT, wild type;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A, </w:t>
      </w:r>
      <w:r w:rsidRPr="00950BB8">
        <w:rPr>
          <w:rFonts w:ascii="Times New Roman" w:hAnsi="Times New Roman" w:cs="Times New Roman"/>
          <w:i/>
          <w:color w:val="000000"/>
          <w:sz w:val="24"/>
          <w:szCs w:val="24"/>
        </w:rPr>
        <w:t>Fa</w:t>
      </w:r>
      <w:bookmarkStart w:id="0" w:name="_GoBack"/>
      <w:bookmarkEnd w:id="0"/>
      <w:r w:rsidRPr="00734A60">
        <w:rPr>
          <w:rFonts w:ascii="Times New Roman" w:hAnsi="Times New Roman" w:cs="Times New Roman"/>
          <w:color w:val="000000"/>
          <w:sz w:val="24"/>
          <w:szCs w:val="24"/>
        </w:rPr>
        <w:t>eB–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734A60">
        <w:rPr>
          <w:rFonts w:ascii="Times New Roman" w:hAnsi="Times New Roman" w:cs="Times New Roman"/>
          <w:color w:val="000000"/>
          <w:sz w:val="24"/>
          <w:szCs w:val="24"/>
        </w:rPr>
        <w:t>poplast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(Average of </w:t>
      </w:r>
      <w:r>
        <w:rPr>
          <w:rFonts w:ascii="Times New Roman" w:hAnsi="Times New Roman" w:cs="Times New Roman"/>
          <w:sz w:val="24"/>
          <w:szCs w:val="24"/>
          <w:lang w:val="en-US"/>
        </w:rPr>
        <w:t>43A</w:t>
      </w:r>
      <w:r>
        <w:rPr>
          <w:rFonts w:ascii="Times New Roman" w:hAnsi="Times New Roman" w:cs="Times New Roman"/>
          <w:sz w:val="24"/>
          <w:szCs w:val="24"/>
        </w:rPr>
        <w:t>, 41A, 1A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); ER, </w:t>
      </w:r>
      <w:r w:rsidRPr="00950BB8">
        <w:rPr>
          <w:rFonts w:ascii="Times New Roman" w:hAnsi="Times New Roman" w:cs="Times New Roman"/>
          <w:i/>
          <w:color w:val="000000"/>
          <w:sz w:val="24"/>
          <w:szCs w:val="24"/>
        </w:rPr>
        <w:t>Fa</w:t>
      </w:r>
      <w:r w:rsidRPr="00734A60">
        <w:rPr>
          <w:rFonts w:ascii="Times New Roman" w:hAnsi="Times New Roman" w:cs="Times New Roman"/>
          <w:color w:val="000000"/>
          <w:sz w:val="24"/>
          <w:szCs w:val="24"/>
        </w:rPr>
        <w:t>eB–</w:t>
      </w:r>
      <w:r w:rsidR="00755752">
        <w:rPr>
          <w:rFonts w:ascii="Times New Roman" w:hAnsi="Times New Roman" w:cs="Times New Roman"/>
          <w:color w:val="000000"/>
          <w:sz w:val="24"/>
          <w:szCs w:val="24"/>
        </w:rPr>
        <w:t>endoplasmic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reticulum (Average of </w:t>
      </w:r>
      <w:r>
        <w:rPr>
          <w:rFonts w:ascii="Times New Roman" w:hAnsi="Times New Roman" w:cs="Times New Roman"/>
          <w:sz w:val="24"/>
          <w:szCs w:val="24"/>
          <w:lang w:val="en-US"/>
        </w:rPr>
        <w:t>24 ER and 28ER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); V, </w:t>
      </w:r>
      <w:r w:rsidRPr="00950BB8">
        <w:rPr>
          <w:rFonts w:ascii="Times New Roman" w:hAnsi="Times New Roman" w:cs="Times New Roman"/>
          <w:i/>
          <w:color w:val="000000"/>
          <w:sz w:val="24"/>
          <w:szCs w:val="24"/>
        </w:rPr>
        <w:t>Fa</w:t>
      </w:r>
      <w:r w:rsidRPr="00734A60">
        <w:rPr>
          <w:rFonts w:ascii="Times New Roman" w:hAnsi="Times New Roman" w:cs="Times New Roman"/>
          <w:color w:val="000000"/>
          <w:sz w:val="24"/>
          <w:szCs w:val="24"/>
        </w:rPr>
        <w:t>eB 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vacuole </w:t>
      </w:r>
      <w:r w:rsidR="00755752">
        <w:rPr>
          <w:rFonts w:ascii="Times New Roman" w:hAnsi="Times New Roman" w:cs="Times New Roman"/>
          <w:sz w:val="24"/>
          <w:szCs w:val="24"/>
        </w:rPr>
        <w:t>(Average</w:t>
      </w:r>
      <w:r>
        <w:rPr>
          <w:rFonts w:ascii="Times New Roman" w:hAnsi="Times New Roman" w:cs="Times New Roman"/>
          <w:sz w:val="24"/>
          <w:szCs w:val="24"/>
        </w:rPr>
        <w:t xml:space="preserve"> of 61V, 15V, 2V).</w:t>
      </w:r>
      <w:proofErr w:type="gramEnd"/>
    </w:p>
    <w:p w:rsidR="008939EE" w:rsidRPr="008939EE" w:rsidRDefault="008939EE">
      <w:pPr>
        <w:rPr>
          <w:lang w:val="en-US"/>
        </w:rPr>
      </w:pPr>
    </w:p>
    <w:p w:rsidR="00E311FF" w:rsidRDefault="008939EE">
      <w:r>
        <w:rPr>
          <w:noProof/>
          <w:lang w:eastAsia="en-CA"/>
        </w:rPr>
        <w:drawing>
          <wp:inline distT="0" distB="0" distL="0" distR="0" wp14:anchorId="156EB2B9" wp14:editId="52CB2DC3">
            <wp:extent cx="4001845" cy="2452744"/>
            <wp:effectExtent l="0" t="0" r="17780" b="2413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noProof/>
          <w:lang w:eastAsia="en-CA"/>
        </w:rPr>
        <w:drawing>
          <wp:inline distT="0" distB="0" distL="0" distR="0" wp14:anchorId="25E17E97" wp14:editId="56C22EEF">
            <wp:extent cx="4001845" cy="2452743"/>
            <wp:effectExtent l="0" t="0" r="17780" b="2413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E311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49"/>
    <w:rsid w:val="00210129"/>
    <w:rsid w:val="00376241"/>
    <w:rsid w:val="00755752"/>
    <w:rsid w:val="008939EE"/>
    <w:rsid w:val="00991349"/>
    <w:rsid w:val="00C73E9B"/>
    <w:rsid w:val="00E311FF"/>
    <w:rsid w:val="00EB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3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9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3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9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Ablethr1\BadhanA\New%20Folder\template%20lignin%20analysis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\\Ablethr1\BadhanA\New%20Folder\template%20lignin%20analysis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C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497462817147858"/>
          <c:y val="0.13473388743073783"/>
          <c:w val="0.68399890638670169"/>
          <c:h val="0.744656605424321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'sheet 3'!$B$36</c:f>
              <c:strCache>
                <c:ptCount val="1"/>
                <c:pt idx="0">
                  <c:v>TFA</c:v>
                </c:pt>
              </c:strCache>
            </c:strRef>
          </c:tx>
          <c:invertIfNegative val="0"/>
          <c:errBars>
            <c:errBarType val="both"/>
            <c:errValType val="cust"/>
            <c:noEndCap val="0"/>
            <c:plus>
              <c:numRef>
                <c:f>'sheet 3'!$F$37:$F$40</c:f>
                <c:numCache>
                  <c:formatCode>General</c:formatCode>
                  <c:ptCount val="4"/>
                  <c:pt idx="0">
                    <c:v>4.9073502435709901</c:v>
                  </c:pt>
                  <c:pt idx="1">
                    <c:v>7.5458307644264773</c:v>
                  </c:pt>
                  <c:pt idx="2">
                    <c:v>4.9765087244161332</c:v>
                  </c:pt>
                  <c:pt idx="3">
                    <c:v>6.3931462027932904</c:v>
                  </c:pt>
                </c:numCache>
              </c:numRef>
            </c:plus>
            <c:minus>
              <c:numRef>
                <c:f>'sheet 3'!$F$37:$F$40</c:f>
                <c:numCache>
                  <c:formatCode>General</c:formatCode>
                  <c:ptCount val="4"/>
                  <c:pt idx="0">
                    <c:v>4.9073502435709901</c:v>
                  </c:pt>
                  <c:pt idx="1">
                    <c:v>7.5458307644264773</c:v>
                  </c:pt>
                  <c:pt idx="2">
                    <c:v>4.9765087244161332</c:v>
                  </c:pt>
                  <c:pt idx="3">
                    <c:v>6.3931462027932904</c:v>
                  </c:pt>
                </c:numCache>
              </c:numRef>
            </c:minus>
          </c:errBars>
          <c:cat>
            <c:strRef>
              <c:f>'sheet 3'!$A$37:$A$40</c:f>
              <c:strCache>
                <c:ptCount val="4"/>
                <c:pt idx="0">
                  <c:v>WT</c:v>
                </c:pt>
                <c:pt idx="1">
                  <c:v>A</c:v>
                </c:pt>
                <c:pt idx="2">
                  <c:v>ER</c:v>
                </c:pt>
                <c:pt idx="3">
                  <c:v>V</c:v>
                </c:pt>
              </c:strCache>
            </c:strRef>
          </c:cat>
          <c:val>
            <c:numRef>
              <c:f>'sheet 3'!$B$37:$B$40</c:f>
              <c:numCache>
                <c:formatCode>General</c:formatCode>
                <c:ptCount val="4"/>
                <c:pt idx="0">
                  <c:v>124</c:v>
                </c:pt>
                <c:pt idx="1">
                  <c:v>118.97674418604655</c:v>
                </c:pt>
                <c:pt idx="2">
                  <c:v>120.31395348837209</c:v>
                </c:pt>
                <c:pt idx="3">
                  <c:v>120.48837209302326</c:v>
                </c:pt>
              </c:numCache>
            </c:numRef>
          </c:val>
        </c:ser>
        <c:ser>
          <c:idx val="1"/>
          <c:order val="1"/>
          <c:tx>
            <c:strRef>
              <c:f>'sheet 3'!$C$36</c:f>
              <c:strCache>
                <c:ptCount val="1"/>
                <c:pt idx="0">
                  <c:v>H2SO4</c:v>
                </c:pt>
              </c:strCache>
            </c:strRef>
          </c:tx>
          <c:invertIfNegative val="0"/>
          <c:errBars>
            <c:errBarType val="both"/>
            <c:errValType val="cust"/>
            <c:noEndCap val="0"/>
            <c:plus>
              <c:numRef>
                <c:f>'sheet 3'!$G$37:$G$40</c:f>
                <c:numCache>
                  <c:formatCode>General</c:formatCode>
                  <c:ptCount val="4"/>
                  <c:pt idx="0">
                    <c:v>8.7098120342251963</c:v>
                  </c:pt>
                  <c:pt idx="1">
                    <c:v>10.336330741085586</c:v>
                  </c:pt>
                  <c:pt idx="2">
                    <c:v>5.1383129020718705</c:v>
                  </c:pt>
                  <c:pt idx="3">
                    <c:v>19.831875530621765</c:v>
                  </c:pt>
                </c:numCache>
              </c:numRef>
            </c:plus>
            <c:minus>
              <c:numRef>
                <c:f>'sheet 3'!$G$37:$G$40</c:f>
                <c:numCache>
                  <c:formatCode>General</c:formatCode>
                  <c:ptCount val="4"/>
                  <c:pt idx="0">
                    <c:v>8.7098120342251963</c:v>
                  </c:pt>
                  <c:pt idx="1">
                    <c:v>10.336330741085586</c:v>
                  </c:pt>
                  <c:pt idx="2">
                    <c:v>5.1383129020718705</c:v>
                  </c:pt>
                  <c:pt idx="3">
                    <c:v>19.831875530621765</c:v>
                  </c:pt>
                </c:numCache>
              </c:numRef>
            </c:minus>
          </c:errBars>
          <c:cat>
            <c:strRef>
              <c:f>'sheet 3'!$A$37:$A$40</c:f>
              <c:strCache>
                <c:ptCount val="4"/>
                <c:pt idx="0">
                  <c:v>WT</c:v>
                </c:pt>
                <c:pt idx="1">
                  <c:v>A</c:v>
                </c:pt>
                <c:pt idx="2">
                  <c:v>ER</c:v>
                </c:pt>
                <c:pt idx="3">
                  <c:v>V</c:v>
                </c:pt>
              </c:strCache>
            </c:strRef>
          </c:cat>
          <c:val>
            <c:numRef>
              <c:f>'sheet 3'!$C$37:$C$40</c:f>
              <c:numCache>
                <c:formatCode>General</c:formatCode>
                <c:ptCount val="4"/>
                <c:pt idx="0">
                  <c:v>269</c:v>
                </c:pt>
                <c:pt idx="1">
                  <c:v>261.46976744186048</c:v>
                </c:pt>
                <c:pt idx="2">
                  <c:v>263.26821705426357</c:v>
                </c:pt>
                <c:pt idx="3">
                  <c:v>288.19844961240312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1811200"/>
        <c:axId val="171812736"/>
      </c:barChart>
      <c:catAx>
        <c:axId val="171811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71812736"/>
        <c:crosses val="autoZero"/>
        <c:auto val="1"/>
        <c:lblAlgn val="ctr"/>
        <c:lblOffset val="100"/>
        <c:noMultiLvlLbl val="0"/>
      </c:catAx>
      <c:valAx>
        <c:axId val="17181273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ug/mg of cell wall</a:t>
                </a:r>
              </a:p>
            </c:rich>
          </c:tx>
          <c:layout>
            <c:manualLayout>
              <c:xMode val="edge"/>
              <c:yMode val="edge"/>
              <c:x val="2.2222222222222223E-2"/>
              <c:y val="0.25856663750364539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718112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C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'sheet 3'!$B$75</c:f>
              <c:strCache>
                <c:ptCount val="1"/>
                <c:pt idx="0">
                  <c:v>TFA</c:v>
                </c:pt>
              </c:strCache>
            </c:strRef>
          </c:tx>
          <c:invertIfNegative val="0"/>
          <c:errBars>
            <c:errBarType val="both"/>
            <c:errValType val="cust"/>
            <c:noEndCap val="0"/>
            <c:plus>
              <c:numRef>
                <c:f>'sheet 3'!$F$76:$F$79</c:f>
                <c:numCache>
                  <c:formatCode>General</c:formatCode>
                  <c:ptCount val="4"/>
                  <c:pt idx="0">
                    <c:v>1.846423558263607</c:v>
                  </c:pt>
                  <c:pt idx="1">
                    <c:v>2.1629533111087933</c:v>
                  </c:pt>
                  <c:pt idx="2">
                    <c:v>0.94958925853556719</c:v>
                  </c:pt>
                  <c:pt idx="3">
                    <c:v>0.68581446449790562</c:v>
                  </c:pt>
                </c:numCache>
              </c:numRef>
            </c:plus>
            <c:minus>
              <c:numRef>
                <c:f>'sheet 3'!$F$76:$F$79</c:f>
                <c:numCache>
                  <c:formatCode>General</c:formatCode>
                  <c:ptCount val="4"/>
                  <c:pt idx="0">
                    <c:v>1.846423558263607</c:v>
                  </c:pt>
                  <c:pt idx="1">
                    <c:v>2.1629533111087933</c:v>
                  </c:pt>
                  <c:pt idx="2">
                    <c:v>0.94958925853556719</c:v>
                  </c:pt>
                  <c:pt idx="3">
                    <c:v>0.68581446449790562</c:v>
                  </c:pt>
                </c:numCache>
              </c:numRef>
            </c:minus>
          </c:errBars>
          <c:cat>
            <c:strRef>
              <c:f>'sheet 3'!$A$76:$A$79</c:f>
              <c:strCache>
                <c:ptCount val="4"/>
                <c:pt idx="0">
                  <c:v>WT</c:v>
                </c:pt>
                <c:pt idx="1">
                  <c:v>A</c:v>
                </c:pt>
                <c:pt idx="2">
                  <c:v>ER</c:v>
                </c:pt>
                <c:pt idx="3">
                  <c:v>V</c:v>
                </c:pt>
              </c:strCache>
            </c:strRef>
          </c:cat>
          <c:val>
            <c:numRef>
              <c:f>'sheet 3'!$B$76:$B$79</c:f>
              <c:numCache>
                <c:formatCode>General</c:formatCode>
                <c:ptCount val="4"/>
                <c:pt idx="0">
                  <c:v>71.728801169590639</c:v>
                </c:pt>
                <c:pt idx="1">
                  <c:v>70.449561403508781</c:v>
                </c:pt>
                <c:pt idx="2">
                  <c:v>74.01315789473685</c:v>
                </c:pt>
                <c:pt idx="3">
                  <c:v>65.149853801169598</c:v>
                </c:pt>
              </c:numCache>
            </c:numRef>
          </c:val>
        </c:ser>
        <c:ser>
          <c:idx val="1"/>
          <c:order val="1"/>
          <c:tx>
            <c:strRef>
              <c:f>'sheet 3'!$C$75</c:f>
              <c:strCache>
                <c:ptCount val="1"/>
                <c:pt idx="0">
                  <c:v>H2S04</c:v>
                </c:pt>
              </c:strCache>
            </c:strRef>
          </c:tx>
          <c:invertIfNegative val="0"/>
          <c:errBars>
            <c:errBarType val="both"/>
            <c:errValType val="cust"/>
            <c:noEndCap val="0"/>
            <c:plus>
              <c:numRef>
                <c:f>'sheet 3'!$G$76:$G$79</c:f>
                <c:numCache>
                  <c:formatCode>General</c:formatCode>
                  <c:ptCount val="4"/>
                  <c:pt idx="0">
                    <c:v>0.42203967046025448</c:v>
                  </c:pt>
                  <c:pt idx="1">
                    <c:v>0.63305950569038083</c:v>
                  </c:pt>
                  <c:pt idx="2">
                    <c:v>1.5298938054184157</c:v>
                  </c:pt>
                  <c:pt idx="3">
                    <c:v>0.73856942330544395</c:v>
                  </c:pt>
                </c:numCache>
              </c:numRef>
            </c:plus>
            <c:minus>
              <c:numRef>
                <c:f>'sheet 3'!$G$76:$G$79</c:f>
                <c:numCache>
                  <c:formatCode>General</c:formatCode>
                  <c:ptCount val="4"/>
                  <c:pt idx="0">
                    <c:v>0.42203967046025448</c:v>
                  </c:pt>
                  <c:pt idx="1">
                    <c:v>0.63305950569038083</c:v>
                  </c:pt>
                  <c:pt idx="2">
                    <c:v>1.5298938054184157</c:v>
                  </c:pt>
                  <c:pt idx="3">
                    <c:v>0.73856942330544395</c:v>
                  </c:pt>
                </c:numCache>
              </c:numRef>
            </c:minus>
          </c:errBars>
          <c:cat>
            <c:strRef>
              <c:f>'sheet 3'!$A$76:$A$79</c:f>
              <c:strCache>
                <c:ptCount val="4"/>
                <c:pt idx="0">
                  <c:v>WT</c:v>
                </c:pt>
                <c:pt idx="1">
                  <c:v>A</c:v>
                </c:pt>
                <c:pt idx="2">
                  <c:v>ER</c:v>
                </c:pt>
                <c:pt idx="3">
                  <c:v>V</c:v>
                </c:pt>
              </c:strCache>
            </c:strRef>
          </c:cat>
          <c:val>
            <c:numRef>
              <c:f>'sheet 3'!$C$76:$C$79</c:f>
              <c:numCache>
                <c:formatCode>General</c:formatCode>
                <c:ptCount val="4"/>
                <c:pt idx="0">
                  <c:v>22.66081871345029</c:v>
                </c:pt>
                <c:pt idx="1">
                  <c:v>22.66081871345029</c:v>
                </c:pt>
                <c:pt idx="2">
                  <c:v>30.793128654970765</c:v>
                </c:pt>
                <c:pt idx="3">
                  <c:v>23.391812865497073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1831296"/>
        <c:axId val="171832832"/>
      </c:barChart>
      <c:catAx>
        <c:axId val="171831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71832832"/>
        <c:crosses val="autoZero"/>
        <c:auto val="1"/>
        <c:lblAlgn val="ctr"/>
        <c:lblOffset val="100"/>
        <c:noMultiLvlLbl val="0"/>
      </c:catAx>
      <c:valAx>
        <c:axId val="17183283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ug/mg of cell wall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718312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0.34167</cdr:x>
      <cdr:y>0.46528</cdr:y>
    </cdr:from>
    <cdr:to>
      <cdr:x>0.40834</cdr:x>
      <cdr:y>0.60529</cdr:y>
    </cdr:to>
    <cdr:pic>
      <cdr:nvPicPr>
        <cdr:cNvPr id="5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1562100" y="1276350"/>
          <a:ext cx="304826" cy="384081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0.39167</cdr:x>
      <cdr:y>0.15625</cdr:y>
    </cdr:from>
    <cdr:to>
      <cdr:x>0.45834</cdr:x>
      <cdr:y>0.29626</cdr:y>
    </cdr:to>
    <cdr:pic>
      <cdr:nvPicPr>
        <cdr:cNvPr id="6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1790700" y="428625"/>
          <a:ext cx="304826" cy="384081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0.56111</cdr:x>
      <cdr:y>0.15394</cdr:y>
    </cdr:from>
    <cdr:to>
      <cdr:x>0.62778</cdr:x>
      <cdr:y>0.29395</cdr:y>
    </cdr:to>
    <cdr:pic>
      <cdr:nvPicPr>
        <cdr:cNvPr id="1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2565400" y="422275"/>
          <a:ext cx="304826" cy="384081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0.73611</cdr:x>
      <cdr:y>0.14005</cdr:y>
    </cdr:from>
    <cdr:to>
      <cdr:x>0.80278</cdr:x>
      <cdr:y>0.28006</cdr:y>
    </cdr:to>
    <cdr:pic>
      <cdr:nvPicPr>
        <cdr:cNvPr id="13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3365500" y="384175"/>
          <a:ext cx="304826" cy="384081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0.68194</cdr:x>
      <cdr:y>0.4838</cdr:y>
    </cdr:from>
    <cdr:to>
      <cdr:x>0.74862</cdr:x>
      <cdr:y>0.62381</cdr:y>
    </cdr:to>
    <cdr:pic>
      <cdr:nvPicPr>
        <cdr:cNvPr id="15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3117850" y="1327150"/>
          <a:ext cx="304826" cy="384081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0.89247</cdr:x>
      <cdr:y>0.06141</cdr:y>
    </cdr:from>
    <cdr:to>
      <cdr:x>1</cdr:x>
      <cdr:y>0.22811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571538" y="150607"/>
          <a:ext cx="430306" cy="40879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CA" sz="1200" b="1"/>
            <a:t>A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0.34148</cdr:x>
      <cdr:y>0.04305</cdr:y>
    </cdr:from>
    <cdr:to>
      <cdr:x>0.39912</cdr:x>
      <cdr:y>0.12176</cdr:y>
    </cdr:to>
    <cdr:sp macro="" textlink="">
      <cdr:nvSpPr>
        <cdr:cNvPr id="3" name="TextBox 1"/>
        <cdr:cNvSpPr txBox="1"/>
      </cdr:nvSpPr>
      <cdr:spPr>
        <a:xfrm xmlns:a="http://schemas.openxmlformats.org/drawingml/2006/main">
          <a:off x="1366522" y="105569"/>
          <a:ext cx="230662" cy="1930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CA" sz="1400">
              <a:effectLst/>
              <a:latin typeface="+mn-lt"/>
              <a:ea typeface="+mn-ea"/>
              <a:cs typeface="+mn-cs"/>
            </a:rPr>
            <a:t>*</a:t>
          </a:r>
          <a:endParaRPr lang="en-CA" sz="1400"/>
        </a:p>
      </cdr:txBody>
    </cdr:sp>
  </cdr:relSizeAnchor>
  <cdr:relSizeAnchor xmlns:cdr="http://schemas.openxmlformats.org/drawingml/2006/chartDrawing">
    <cdr:from>
      <cdr:x>0.3804</cdr:x>
      <cdr:y>0.44468</cdr:y>
    </cdr:from>
    <cdr:to>
      <cdr:x>0.43804</cdr:x>
      <cdr:y>0.52339</cdr:y>
    </cdr:to>
    <cdr:sp macro="" textlink="">
      <cdr:nvSpPr>
        <cdr:cNvPr id="4" name="TextBox 1"/>
        <cdr:cNvSpPr txBox="1"/>
      </cdr:nvSpPr>
      <cdr:spPr>
        <a:xfrm xmlns:a="http://schemas.openxmlformats.org/drawingml/2006/main">
          <a:off x="1522276" y="1090528"/>
          <a:ext cx="230662" cy="1930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endParaRPr lang="en-CA" sz="1400"/>
        </a:p>
      </cdr:txBody>
    </cdr:sp>
  </cdr:relSizeAnchor>
  <cdr:relSizeAnchor xmlns:cdr="http://schemas.openxmlformats.org/drawingml/2006/chartDrawing">
    <cdr:from>
      <cdr:x>0.67397</cdr:x>
      <cdr:y>0.08481</cdr:y>
    </cdr:from>
    <cdr:to>
      <cdr:x>0.72026</cdr:x>
      <cdr:y>0.16739</cdr:y>
    </cdr:to>
    <cdr:sp macro="" textlink="">
      <cdr:nvSpPr>
        <cdr:cNvPr id="5" name="TextBox 1"/>
        <cdr:cNvSpPr txBox="1"/>
      </cdr:nvSpPr>
      <cdr:spPr>
        <a:xfrm xmlns:a="http://schemas.openxmlformats.org/drawingml/2006/main">
          <a:off x="2697083" y="207988"/>
          <a:ext cx="185242" cy="20251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CA" sz="1400">
              <a:effectLst/>
              <a:latin typeface="+mn-lt"/>
              <a:ea typeface="+mn-ea"/>
              <a:cs typeface="+mn-cs"/>
            </a:rPr>
            <a:t>*</a:t>
          </a:r>
          <a:endParaRPr lang="en-CA" sz="1400"/>
        </a:p>
      </cdr:txBody>
    </cdr:sp>
  </cdr:relSizeAnchor>
  <cdr:relSizeAnchor xmlns:cdr="http://schemas.openxmlformats.org/drawingml/2006/chartDrawing">
    <cdr:from>
      <cdr:x>0.72381</cdr:x>
      <cdr:y>0.4403</cdr:y>
    </cdr:from>
    <cdr:to>
      <cdr:x>0.78145</cdr:x>
      <cdr:y>0.51901</cdr:y>
    </cdr:to>
    <cdr:sp macro="" textlink="">
      <cdr:nvSpPr>
        <cdr:cNvPr id="6" name="TextBox 1"/>
        <cdr:cNvSpPr txBox="1"/>
      </cdr:nvSpPr>
      <cdr:spPr>
        <a:xfrm xmlns:a="http://schemas.openxmlformats.org/drawingml/2006/main">
          <a:off x="2896512" y="1079771"/>
          <a:ext cx="230662" cy="1930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endParaRPr lang="en-CA" sz="1400"/>
        </a:p>
      </cdr:txBody>
    </cdr:sp>
  </cdr:relSizeAnchor>
  <cdr:relSizeAnchor xmlns:cdr="http://schemas.openxmlformats.org/drawingml/2006/chartDrawing">
    <cdr:from>
      <cdr:x>0.55002</cdr:x>
      <cdr:y>0.45784</cdr:y>
    </cdr:from>
    <cdr:to>
      <cdr:x>0.60766</cdr:x>
      <cdr:y>0.53655</cdr:y>
    </cdr:to>
    <cdr:sp macro="" textlink="">
      <cdr:nvSpPr>
        <cdr:cNvPr id="7" name="TextBox 1"/>
        <cdr:cNvSpPr txBox="1"/>
      </cdr:nvSpPr>
      <cdr:spPr>
        <a:xfrm xmlns:a="http://schemas.openxmlformats.org/drawingml/2006/main">
          <a:off x="2201071" y="1122801"/>
          <a:ext cx="230662" cy="1930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CA" sz="1400">
              <a:effectLst/>
              <a:latin typeface="+mn-lt"/>
              <a:ea typeface="+mn-ea"/>
              <a:cs typeface="+mn-cs"/>
            </a:rPr>
            <a:t>*</a:t>
          </a:r>
          <a:endParaRPr lang="en-CA" sz="1400"/>
        </a:p>
      </cdr:txBody>
    </cdr:sp>
  </cdr:relSizeAnchor>
  <cdr:relSizeAnchor xmlns:cdr="http://schemas.openxmlformats.org/drawingml/2006/chartDrawing">
    <cdr:from>
      <cdr:x>0.86561</cdr:x>
      <cdr:y>0.0658</cdr:y>
    </cdr:from>
    <cdr:to>
      <cdr:x>0.98389</cdr:x>
      <cdr:y>0.25004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463962" y="161365"/>
          <a:ext cx="473337" cy="4518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CA" sz="1200" b="1"/>
            <a:t>    B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Badhan, Ajay</dc:creator>
  <cp:lastModifiedBy>McAllister, Tim</cp:lastModifiedBy>
  <cp:revision>2</cp:revision>
  <dcterms:created xsi:type="dcterms:W3CDTF">2014-01-15T20:41:00Z</dcterms:created>
  <dcterms:modified xsi:type="dcterms:W3CDTF">2014-01-15T20:41:00Z</dcterms:modified>
</cp:coreProperties>
</file>