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4C5" w:rsidRDefault="00694464" w:rsidP="00D624C5">
      <w:pPr>
        <w:spacing w:after="0" w:line="240" w:lineRule="auto"/>
        <w:ind w:left="720" w:hanging="720"/>
        <w:rPr>
          <w:rFonts w:ascii="Microsoft Sans Serif" w:hAnsi="Microsoft Sans Serif" w:cs="Microsoft Sans Serif"/>
          <w:b/>
        </w:rPr>
      </w:pPr>
      <w:r>
        <w:rPr>
          <w:rFonts w:ascii="Microsoft Sans Serif" w:hAnsi="Microsoft Sans Serif" w:cs="Microsoft Sans Serif"/>
          <w:b/>
        </w:rPr>
        <w:t>ADDITIONAL</w:t>
      </w:r>
      <w:r w:rsidR="00D624C5" w:rsidRPr="00D624C5">
        <w:rPr>
          <w:rFonts w:ascii="Microsoft Sans Serif" w:hAnsi="Microsoft Sans Serif" w:cs="Microsoft Sans Serif"/>
          <w:b/>
        </w:rPr>
        <w:t xml:space="preserve"> </w:t>
      </w:r>
      <w:r>
        <w:rPr>
          <w:rFonts w:ascii="Microsoft Sans Serif" w:hAnsi="Microsoft Sans Serif" w:cs="Microsoft Sans Serif"/>
          <w:b/>
        </w:rPr>
        <w:t>FILE 1</w:t>
      </w:r>
    </w:p>
    <w:p w:rsidR="00D624C5" w:rsidRPr="00D624C5" w:rsidRDefault="00D624C5" w:rsidP="003F2194">
      <w:pPr>
        <w:spacing w:after="0" w:line="240" w:lineRule="auto"/>
        <w:rPr>
          <w:rFonts w:ascii="Microsoft Sans Serif" w:hAnsi="Microsoft Sans Serif" w:cs="Microsoft Sans Serif"/>
          <w:b/>
        </w:rPr>
      </w:pPr>
    </w:p>
    <w:p w:rsidR="00D624C5" w:rsidRDefault="00D624C5" w:rsidP="00D624C5">
      <w:pPr>
        <w:spacing w:after="0" w:line="240" w:lineRule="auto"/>
        <w:ind w:left="720" w:hanging="720"/>
        <w:rPr>
          <w:rFonts w:ascii="Microsoft Sans Serif" w:hAnsi="Microsoft Sans Serif" w:cs="Microsoft Sans Serif"/>
        </w:rPr>
      </w:pPr>
    </w:p>
    <w:p w:rsidR="00D624C5" w:rsidRPr="00730ACA" w:rsidRDefault="00D624C5" w:rsidP="00D624C5">
      <w:pPr>
        <w:rPr>
          <w:rFonts w:ascii="Microsoft Sans Serif" w:hAnsi="Microsoft Sans Serif" w:cs="Microsoft Sans Serif"/>
          <w:b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98717" cy="1030778"/>
            <wp:effectExtent l="19050" t="0" r="0" b="0"/>
            <wp:wrapSquare wrapText="bothSides"/>
            <wp:docPr id="10" name="Picture 1" descr="SuppFi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Fig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717" cy="1030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br w:type="textWrapping" w:clear="all"/>
      </w:r>
      <w:r>
        <w:rPr>
          <w:rFonts w:ascii="Microsoft Sans Serif" w:hAnsi="Microsoft Sans Serif" w:cs="Microsoft Sans Serif"/>
          <w:b/>
        </w:rPr>
        <w:t xml:space="preserve">Figure </w:t>
      </w:r>
      <w:r w:rsidR="00C67971">
        <w:rPr>
          <w:rFonts w:ascii="Microsoft Sans Serif" w:hAnsi="Microsoft Sans Serif" w:cs="Microsoft Sans Serif"/>
          <w:b/>
        </w:rPr>
        <w:t>S</w:t>
      </w:r>
      <w:r>
        <w:rPr>
          <w:rFonts w:ascii="Microsoft Sans Serif" w:hAnsi="Microsoft Sans Serif" w:cs="Microsoft Sans Serif"/>
          <w:b/>
        </w:rPr>
        <w:t xml:space="preserve">1. Distinct morphology of different endothelial progenitors. </w:t>
      </w:r>
      <w:r>
        <w:rPr>
          <w:rFonts w:ascii="Microsoft Sans Serif" w:hAnsi="Microsoft Sans Serif" w:cs="Microsoft Sans Serif"/>
        </w:rPr>
        <w:t>(A) eEPCs are spindle-shaped cells. (B) OECs formed cobblestone cell monolayers.</w:t>
      </w:r>
    </w:p>
    <w:p w:rsidR="00D624C5" w:rsidRDefault="00D624C5" w:rsidP="00D624C5">
      <w:pPr>
        <w:rPr>
          <w:rFonts w:ascii="Arial" w:hAnsi="Arial" w:cs="Arial"/>
          <w:sz w:val="24"/>
          <w:szCs w:val="24"/>
        </w:rPr>
      </w:pPr>
    </w:p>
    <w:p w:rsidR="00DD6D5A" w:rsidRDefault="00DD6D5A" w:rsidP="00D624C5">
      <w:pPr>
        <w:rPr>
          <w:rFonts w:ascii="Arial" w:hAnsi="Arial" w:cs="Arial"/>
          <w:sz w:val="24"/>
          <w:szCs w:val="24"/>
        </w:rPr>
      </w:pPr>
    </w:p>
    <w:p w:rsidR="00730ACA" w:rsidRDefault="00D624C5" w:rsidP="00730A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w:drawing>
          <wp:inline distT="0" distB="0" distL="0" distR="0">
            <wp:extent cx="2866644" cy="2153412"/>
            <wp:effectExtent l="19050" t="0" r="0" b="0"/>
            <wp:docPr id="11" name="Picture 6" descr="SuppFi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Fig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644" cy="215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4C5" w:rsidRPr="00730ACA" w:rsidRDefault="00D624C5" w:rsidP="00730ACA">
      <w:pPr>
        <w:jc w:val="both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b/>
        </w:rPr>
        <w:t xml:space="preserve">Figure </w:t>
      </w:r>
      <w:r w:rsidR="00C67971">
        <w:rPr>
          <w:rFonts w:ascii="Microsoft Sans Serif" w:hAnsi="Microsoft Sans Serif" w:cs="Microsoft Sans Serif"/>
          <w:b/>
        </w:rPr>
        <w:t>S</w:t>
      </w:r>
      <w:r>
        <w:rPr>
          <w:rFonts w:ascii="Microsoft Sans Serif" w:hAnsi="Microsoft Sans Serif" w:cs="Microsoft Sans Serif"/>
          <w:b/>
        </w:rPr>
        <w:t xml:space="preserve">2. </w:t>
      </w:r>
      <w:r w:rsidRPr="00730ACA">
        <w:rPr>
          <w:rFonts w:ascii="Microsoft Sans Serif" w:hAnsi="Microsoft Sans Serif" w:cs="Microsoft Sans Serif"/>
        </w:rPr>
        <w:t>Venn diagram of comparative proteomics showing that the highest number of similar protein spots are found in between monocytes/eEPCs and OECs/DMECs.</w:t>
      </w:r>
    </w:p>
    <w:p w:rsidR="00730ACA" w:rsidRDefault="00730ACA" w:rsidP="00D624C5">
      <w:pPr>
        <w:jc w:val="both"/>
        <w:rPr>
          <w:rFonts w:ascii="Microsoft Sans Serif" w:hAnsi="Microsoft Sans Serif" w:cs="Microsoft Sans Serif"/>
          <w:b/>
        </w:rPr>
      </w:pPr>
    </w:p>
    <w:p w:rsidR="00730ACA" w:rsidRDefault="00730ACA" w:rsidP="00D624C5">
      <w:pPr>
        <w:jc w:val="both"/>
        <w:rPr>
          <w:rFonts w:ascii="Microsoft Sans Serif" w:hAnsi="Microsoft Sans Serif" w:cs="Microsoft Sans Serif"/>
          <w:b/>
        </w:rPr>
      </w:pPr>
    </w:p>
    <w:p w:rsidR="00D624C5" w:rsidRPr="00D0369D" w:rsidRDefault="00D624C5" w:rsidP="00D624C5">
      <w:pPr>
        <w:jc w:val="both"/>
        <w:rPr>
          <w:rFonts w:ascii="Microsoft Sans Serif" w:hAnsi="Microsoft Sans Serif" w:cs="Microsoft Sans Serif"/>
          <w:b/>
        </w:rPr>
      </w:pPr>
      <w:r>
        <w:rPr>
          <w:rFonts w:ascii="Microsoft Sans Serif" w:hAnsi="Microsoft Sans Serif" w:cs="Microsoft Sans Serif"/>
          <w:b/>
          <w:noProof/>
          <w:lang w:val="en-GB" w:eastAsia="en-GB"/>
        </w:rPr>
        <w:drawing>
          <wp:inline distT="0" distB="0" distL="0" distR="0">
            <wp:extent cx="2795016" cy="1139952"/>
            <wp:effectExtent l="19050" t="0" r="5334" b="0"/>
            <wp:docPr id="12" name="Picture 7" descr="SuppFi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Fig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5016" cy="113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4C5" w:rsidRDefault="00D624C5" w:rsidP="00D624C5">
      <w:pPr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</w:rPr>
        <w:t xml:space="preserve">Figure </w:t>
      </w:r>
      <w:r w:rsidR="00C67971">
        <w:rPr>
          <w:rFonts w:ascii="Microsoft Sans Serif" w:hAnsi="Microsoft Sans Serif" w:cs="Microsoft Sans Serif"/>
          <w:b/>
        </w:rPr>
        <w:t>S</w:t>
      </w:r>
      <w:r>
        <w:rPr>
          <w:rFonts w:ascii="Microsoft Sans Serif" w:hAnsi="Microsoft Sans Serif" w:cs="Microsoft Sans Serif"/>
          <w:b/>
        </w:rPr>
        <w:t xml:space="preserve">3. </w:t>
      </w:r>
      <w:r w:rsidRPr="00730ACA">
        <w:rPr>
          <w:rFonts w:ascii="Microsoft Sans Serif" w:hAnsi="Microsoft Sans Serif" w:cs="Microsoft Sans Serif"/>
        </w:rPr>
        <w:t>Protein spots characteristic for OECs (A) and eEPCs (B) are indicated by the red arrows.</w:t>
      </w:r>
    </w:p>
    <w:p w:rsidR="00694464" w:rsidRPr="00DD6D5A" w:rsidRDefault="00694464" w:rsidP="00D624C5">
      <w:pPr>
        <w:rPr>
          <w:rFonts w:ascii="Microsoft Sans Serif" w:hAnsi="Microsoft Sans Serif" w:cs="Microsoft Sans Serif"/>
        </w:rPr>
      </w:pPr>
    </w:p>
    <w:p w:rsidR="00D624C5" w:rsidRDefault="00D624C5" w:rsidP="00D624C5">
      <w:pPr>
        <w:rPr>
          <w:rFonts w:ascii="Microsoft Sans Serif" w:hAnsi="Microsoft Sans Serif" w:cs="Microsoft Sans Serif"/>
          <w:b/>
        </w:rPr>
      </w:pPr>
      <w:r>
        <w:rPr>
          <w:rFonts w:ascii="Microsoft Sans Serif" w:hAnsi="Microsoft Sans Serif" w:cs="Microsoft Sans Serif"/>
          <w:b/>
        </w:rPr>
        <w:lastRenderedPageBreak/>
        <w:t xml:space="preserve">Table </w:t>
      </w:r>
      <w:r w:rsidR="00EE35B3">
        <w:rPr>
          <w:rFonts w:ascii="Microsoft Sans Serif" w:hAnsi="Microsoft Sans Serif" w:cs="Microsoft Sans Serif"/>
          <w:b/>
        </w:rPr>
        <w:t>S</w:t>
      </w:r>
      <w:r w:rsidR="003F2194">
        <w:rPr>
          <w:rFonts w:ascii="Microsoft Sans Serif" w:hAnsi="Microsoft Sans Serif" w:cs="Microsoft Sans Serif"/>
          <w:b/>
        </w:rPr>
        <w:t>1</w:t>
      </w:r>
    </w:p>
    <w:tbl>
      <w:tblPr>
        <w:tblW w:w="6250" w:type="dxa"/>
        <w:tblInd w:w="95" w:type="dxa"/>
        <w:tblLayout w:type="fixed"/>
        <w:tblLook w:val="04A0"/>
      </w:tblPr>
      <w:tblGrid>
        <w:gridCol w:w="1431"/>
        <w:gridCol w:w="1276"/>
        <w:gridCol w:w="3543"/>
      </w:tblGrid>
      <w:tr w:rsidR="00EE35B3" w:rsidRPr="00EE35B3" w:rsidTr="00EE35B3">
        <w:trPr>
          <w:trHeight w:val="300"/>
        </w:trPr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Gene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Primer sequences</w:t>
            </w:r>
          </w:p>
        </w:tc>
      </w:tr>
      <w:tr w:rsidR="00EE35B3" w:rsidRPr="00EE35B3" w:rsidTr="00EE35B3">
        <w:trPr>
          <w:trHeight w:val="300"/>
        </w:trPr>
        <w:tc>
          <w:tcPr>
            <w:tcW w:w="14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HLA-DRA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Forward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TGGAGTCCCTGTGCTAGGAT</w:t>
            </w:r>
          </w:p>
        </w:tc>
      </w:tr>
      <w:tr w:rsidR="00EE35B3" w:rsidRPr="00EE35B3" w:rsidTr="00EE35B3">
        <w:trPr>
          <w:trHeight w:val="300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Reverse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CAGACCGTCTCCTTCTTTGC</w:t>
            </w:r>
          </w:p>
        </w:tc>
      </w:tr>
      <w:tr w:rsidR="00EE35B3" w:rsidRPr="00EE35B3" w:rsidTr="00EE35B3">
        <w:trPr>
          <w:trHeight w:val="300"/>
        </w:trPr>
        <w:tc>
          <w:tcPr>
            <w:tcW w:w="14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LYZ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Forward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CTCATTGTTCTGGGGCTTGT</w:t>
            </w:r>
          </w:p>
        </w:tc>
      </w:tr>
      <w:tr w:rsidR="00EE35B3" w:rsidRPr="00EE35B3" w:rsidTr="00EE35B3">
        <w:trPr>
          <w:trHeight w:val="300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Reverse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TAACCACTCTCCCATTTGGC</w:t>
            </w:r>
          </w:p>
        </w:tc>
      </w:tr>
      <w:tr w:rsidR="00EE35B3" w:rsidRPr="00EE35B3" w:rsidTr="00EE35B3">
        <w:trPr>
          <w:trHeight w:val="300"/>
        </w:trPr>
        <w:tc>
          <w:tcPr>
            <w:tcW w:w="14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CD14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Forward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AAGAGAGGTGGGGAGGTGAT</w:t>
            </w:r>
          </w:p>
        </w:tc>
      </w:tr>
      <w:tr w:rsidR="00EE35B3" w:rsidRPr="00EE35B3" w:rsidTr="00EE35B3">
        <w:trPr>
          <w:trHeight w:val="300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Reverse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CAGCAGCAACAAGCAGGAC</w:t>
            </w:r>
          </w:p>
        </w:tc>
      </w:tr>
      <w:tr w:rsidR="00EE35B3" w:rsidRPr="00EE35B3" w:rsidTr="00EE35B3">
        <w:trPr>
          <w:trHeight w:val="300"/>
        </w:trPr>
        <w:tc>
          <w:tcPr>
            <w:tcW w:w="14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CAV1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Forward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GGGGCAAATACGTAGACTCG</w:t>
            </w:r>
          </w:p>
        </w:tc>
      </w:tr>
      <w:tr w:rsidR="00EE35B3" w:rsidRPr="00EE35B3" w:rsidTr="00EE35B3">
        <w:trPr>
          <w:trHeight w:val="300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Reverse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ACTTGCTTCTCGCTCAGCTC</w:t>
            </w:r>
          </w:p>
        </w:tc>
      </w:tr>
      <w:tr w:rsidR="00EE35B3" w:rsidRPr="00EE35B3" w:rsidTr="00EE35B3">
        <w:trPr>
          <w:trHeight w:val="300"/>
        </w:trPr>
        <w:tc>
          <w:tcPr>
            <w:tcW w:w="14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VE-CAD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Forward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TGTGGGCTCTCTGTTTGTTG</w:t>
            </w:r>
          </w:p>
        </w:tc>
      </w:tr>
      <w:tr w:rsidR="00EE35B3" w:rsidRPr="00EE35B3" w:rsidTr="00EE35B3">
        <w:trPr>
          <w:trHeight w:val="300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Reverse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CGACGATGAAGCTGTATTGC</w:t>
            </w:r>
          </w:p>
        </w:tc>
      </w:tr>
      <w:tr w:rsidR="00EE35B3" w:rsidRPr="00EE35B3" w:rsidTr="00EE35B3">
        <w:trPr>
          <w:trHeight w:val="300"/>
        </w:trPr>
        <w:tc>
          <w:tcPr>
            <w:tcW w:w="14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VWF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Forward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TGAGTGCAACGACATCACTG</w:t>
            </w:r>
          </w:p>
        </w:tc>
      </w:tr>
      <w:tr w:rsidR="00EE35B3" w:rsidRPr="00EE35B3" w:rsidTr="00EE35B3">
        <w:trPr>
          <w:trHeight w:val="315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Reverse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TGGAGTACATGGCTTTGCTG</w:t>
            </w:r>
          </w:p>
        </w:tc>
      </w:tr>
    </w:tbl>
    <w:p w:rsidR="00D624C5" w:rsidRDefault="00D624C5" w:rsidP="00D624C5">
      <w:pPr>
        <w:spacing w:after="0" w:line="240" w:lineRule="auto"/>
        <w:ind w:left="720" w:hanging="720"/>
        <w:rPr>
          <w:rFonts w:ascii="Microsoft Sans Serif" w:hAnsi="Microsoft Sans Serif" w:cs="Microsoft Sans Serif"/>
        </w:rPr>
      </w:pPr>
    </w:p>
    <w:p w:rsidR="00EE35B3" w:rsidRDefault="00EE35B3" w:rsidP="00D624C5">
      <w:pPr>
        <w:spacing w:after="0" w:line="240" w:lineRule="auto"/>
        <w:ind w:left="720" w:hanging="720"/>
        <w:rPr>
          <w:rFonts w:ascii="Microsoft Sans Serif" w:hAnsi="Microsoft Sans Serif" w:cs="Microsoft Sans Serif"/>
        </w:rPr>
      </w:pPr>
    </w:p>
    <w:p w:rsidR="00DD6D5A" w:rsidRDefault="00DD6D5A" w:rsidP="00D624C5">
      <w:pPr>
        <w:spacing w:after="0" w:line="240" w:lineRule="auto"/>
        <w:ind w:left="720" w:hanging="720"/>
        <w:rPr>
          <w:rFonts w:ascii="Microsoft Sans Serif" w:hAnsi="Microsoft Sans Serif" w:cs="Microsoft Sans Serif"/>
        </w:rPr>
      </w:pPr>
    </w:p>
    <w:p w:rsidR="00EE35B3" w:rsidRPr="00EE35B3" w:rsidRDefault="00EE35B3" w:rsidP="00EE35B3">
      <w:pPr>
        <w:spacing w:after="0" w:line="240" w:lineRule="auto"/>
        <w:ind w:left="720" w:hanging="720"/>
        <w:rPr>
          <w:rFonts w:ascii="Microsoft Sans Serif" w:hAnsi="Microsoft Sans Serif" w:cs="Microsoft Sans Serif"/>
          <w:b/>
        </w:rPr>
      </w:pPr>
      <w:r w:rsidRPr="00EE35B3">
        <w:rPr>
          <w:rFonts w:ascii="Microsoft Sans Serif" w:hAnsi="Microsoft Sans Serif" w:cs="Microsoft Sans Serif"/>
          <w:b/>
        </w:rPr>
        <w:t>Table S2</w:t>
      </w:r>
    </w:p>
    <w:p w:rsidR="00EE35B3" w:rsidRDefault="00EE35B3" w:rsidP="00D624C5">
      <w:pPr>
        <w:spacing w:after="0" w:line="240" w:lineRule="auto"/>
        <w:ind w:left="720" w:hanging="720"/>
        <w:rPr>
          <w:rFonts w:ascii="Microsoft Sans Serif" w:hAnsi="Microsoft Sans Serif" w:cs="Microsoft Sans Serif"/>
        </w:rPr>
      </w:pPr>
    </w:p>
    <w:tbl>
      <w:tblPr>
        <w:tblW w:w="7320" w:type="dxa"/>
        <w:tblInd w:w="95" w:type="dxa"/>
        <w:tblLook w:val="04A0"/>
      </w:tblPr>
      <w:tblGrid>
        <w:gridCol w:w="2130"/>
        <w:gridCol w:w="865"/>
        <w:gridCol w:w="865"/>
        <w:gridCol w:w="865"/>
        <w:gridCol w:w="865"/>
        <w:gridCol w:w="865"/>
        <w:gridCol w:w="865"/>
      </w:tblGrid>
      <w:tr w:rsidR="00EE35B3" w:rsidRPr="00EE35B3" w:rsidTr="00EE35B3">
        <w:trPr>
          <w:trHeight w:val="315"/>
        </w:trPr>
        <w:tc>
          <w:tcPr>
            <w:tcW w:w="732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 xml:space="preserve">Correlation Matrix* for Log-intensity values of PB eEPCs vs. OECs </w:t>
            </w:r>
          </w:p>
        </w:tc>
      </w:tr>
      <w:tr w:rsidR="00EE35B3" w:rsidRPr="00EE35B3" w:rsidTr="00EE35B3">
        <w:trPr>
          <w:trHeight w:val="315"/>
        </w:trPr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6</w:t>
            </w:r>
          </w:p>
        </w:tc>
      </w:tr>
      <w:tr w:rsidR="00EE35B3" w:rsidRPr="00EE35B3" w:rsidTr="00EE35B3">
        <w:trPr>
          <w:trHeight w:val="300"/>
        </w:trPr>
        <w:tc>
          <w:tcPr>
            <w:tcW w:w="21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1. eEPC.PB.A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0.983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0.989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0.769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0.764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0.767</w:t>
            </w:r>
          </w:p>
        </w:tc>
      </w:tr>
      <w:tr w:rsidR="00EE35B3" w:rsidRPr="00EE35B3" w:rsidTr="00EE35B3">
        <w:trPr>
          <w:trHeight w:val="300"/>
        </w:trPr>
        <w:tc>
          <w:tcPr>
            <w:tcW w:w="21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2. eEPC.PB.B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0.983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0.988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0.774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0.769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0.768</w:t>
            </w:r>
          </w:p>
        </w:tc>
      </w:tr>
      <w:tr w:rsidR="00EE35B3" w:rsidRPr="00EE35B3" w:rsidTr="00EE35B3">
        <w:trPr>
          <w:trHeight w:val="315"/>
        </w:trPr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3. eEPC.PB.C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0.989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0.988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0.769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0.770</w:t>
            </w:r>
          </w:p>
        </w:tc>
      </w:tr>
      <w:tr w:rsidR="00EE35B3" w:rsidRPr="00EE35B3" w:rsidTr="00EE35B3">
        <w:trPr>
          <w:trHeight w:val="300"/>
        </w:trPr>
        <w:tc>
          <w:tcPr>
            <w:tcW w:w="21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4. OEC.PB.A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0.769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0.774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0.769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0.972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0.967</w:t>
            </w:r>
          </w:p>
        </w:tc>
      </w:tr>
      <w:tr w:rsidR="00EE35B3" w:rsidRPr="00EE35B3" w:rsidTr="00EE35B3">
        <w:trPr>
          <w:trHeight w:val="300"/>
        </w:trPr>
        <w:tc>
          <w:tcPr>
            <w:tcW w:w="21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5. OEC.PB.B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0.764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0.769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0.766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0.972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0.986</w:t>
            </w:r>
          </w:p>
        </w:tc>
      </w:tr>
      <w:tr w:rsidR="00EE35B3" w:rsidRPr="00EE35B3" w:rsidTr="00EE35B3">
        <w:trPr>
          <w:trHeight w:val="315"/>
        </w:trPr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6. OEC.PB.C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0.767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0.768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0.770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0.967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0.986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color w:val="000000"/>
                <w:lang w:val="en-GB" w:eastAsia="en-GB"/>
              </w:rPr>
              <w:t>1</w:t>
            </w:r>
          </w:p>
        </w:tc>
      </w:tr>
      <w:tr w:rsidR="00EE35B3" w:rsidRPr="00EE35B3" w:rsidTr="00EE35B3">
        <w:trPr>
          <w:trHeight w:val="300"/>
        </w:trPr>
        <w:tc>
          <w:tcPr>
            <w:tcW w:w="7320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5B3" w:rsidRPr="00EE35B3" w:rsidRDefault="00EE35B3" w:rsidP="00EE35B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EE35B3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* Values generated by paired comparison of samples using NIA array.</w:t>
            </w:r>
          </w:p>
        </w:tc>
      </w:tr>
    </w:tbl>
    <w:p w:rsidR="00EE35B3" w:rsidRPr="006A6512" w:rsidRDefault="00EE35B3" w:rsidP="00D624C5">
      <w:pPr>
        <w:spacing w:after="0" w:line="240" w:lineRule="auto"/>
        <w:ind w:left="720" w:hanging="720"/>
        <w:rPr>
          <w:rFonts w:ascii="Microsoft Sans Serif" w:hAnsi="Microsoft Sans Serif" w:cs="Microsoft Sans Serif"/>
        </w:rPr>
      </w:pPr>
    </w:p>
    <w:p w:rsidR="001B6F48" w:rsidRDefault="001B6F48" w:rsidP="007C3B4E">
      <w:pPr>
        <w:rPr>
          <w:rFonts w:ascii="Microsoft Sans Serif" w:hAnsi="Microsoft Sans Serif" w:cs="Microsoft Sans Serif"/>
          <w:b/>
        </w:rPr>
      </w:pPr>
    </w:p>
    <w:p w:rsidR="007C3B4E" w:rsidRDefault="00364B9D" w:rsidP="007C3B4E">
      <w:pPr>
        <w:rPr>
          <w:rFonts w:ascii="Microsoft Sans Serif" w:hAnsi="Microsoft Sans Serif" w:cs="Microsoft Sans Serif"/>
          <w:b/>
        </w:rPr>
      </w:pPr>
      <w:r>
        <w:rPr>
          <w:rFonts w:ascii="Microsoft Sans Serif" w:hAnsi="Microsoft Sans Serif" w:cs="Microsoft Sans Serif"/>
          <w:b/>
        </w:rPr>
        <w:t xml:space="preserve"> </w:t>
      </w:r>
      <w:r w:rsidR="007C3B4E">
        <w:rPr>
          <w:rFonts w:ascii="Microsoft Sans Serif" w:hAnsi="Microsoft Sans Serif" w:cs="Microsoft Sans Serif"/>
          <w:b/>
        </w:rPr>
        <w:t xml:space="preserve">Table </w:t>
      </w:r>
      <w:r w:rsidR="00EE35B3">
        <w:rPr>
          <w:rFonts w:ascii="Microsoft Sans Serif" w:hAnsi="Microsoft Sans Serif" w:cs="Microsoft Sans Serif"/>
          <w:b/>
        </w:rPr>
        <w:t>S3</w:t>
      </w:r>
    </w:p>
    <w:tbl>
      <w:tblPr>
        <w:tblW w:w="10080" w:type="dxa"/>
        <w:tblInd w:w="93" w:type="dxa"/>
        <w:tblLook w:val="04A0"/>
      </w:tblPr>
      <w:tblGrid>
        <w:gridCol w:w="2649"/>
        <w:gridCol w:w="2271"/>
        <w:gridCol w:w="2889"/>
        <w:gridCol w:w="2271"/>
      </w:tblGrid>
      <w:tr w:rsidR="007C3B4E" w:rsidRPr="00821B57" w:rsidTr="00B36E77">
        <w:trPr>
          <w:trHeight w:val="315"/>
        </w:trPr>
        <w:tc>
          <w:tcPr>
            <w:tcW w:w="100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Clusters of d</w:t>
            </w:r>
            <w:r w:rsidRPr="00821B5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ifferentially expressed transcripts</w:t>
            </w:r>
          </w:p>
        </w:tc>
      </w:tr>
      <w:tr w:rsidR="007C3B4E" w:rsidRPr="00821B57" w:rsidTr="00B36E77">
        <w:trPr>
          <w:trHeight w:val="315"/>
        </w:trPr>
        <w:tc>
          <w:tcPr>
            <w:tcW w:w="4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eEPC transcripts</w:t>
            </w:r>
          </w:p>
        </w:tc>
        <w:tc>
          <w:tcPr>
            <w:tcW w:w="5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OEC transcripts</w:t>
            </w:r>
          </w:p>
        </w:tc>
      </w:tr>
      <w:tr w:rsidR="007C3B4E" w:rsidRPr="00821B57" w:rsidTr="00B36E77">
        <w:trPr>
          <w:trHeight w:val="315"/>
        </w:trPr>
        <w:tc>
          <w:tcPr>
            <w:tcW w:w="2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Annotation cluster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Enrichment score*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Annotation cluster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Enrichment score*</w:t>
            </w:r>
          </w:p>
        </w:tc>
      </w:tr>
      <w:tr w:rsidR="007C3B4E" w:rsidRPr="00821B57" w:rsidTr="00B36E77">
        <w:trPr>
          <w:trHeight w:val="315"/>
        </w:trPr>
        <w:tc>
          <w:tcPr>
            <w:tcW w:w="26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color w:val="000000"/>
                <w:lang w:val="en-GB" w:eastAsia="en-GB"/>
              </w:rPr>
              <w:t>Immune response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color w:val="000000"/>
                <w:lang w:val="en-GB" w:eastAsia="en-GB"/>
              </w:rPr>
              <w:t>9.30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color w:val="000000"/>
                <w:lang w:val="en-GB" w:eastAsia="en-GB"/>
              </w:rPr>
              <w:t>Developmental process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color w:val="000000"/>
                <w:lang w:val="en-GB" w:eastAsia="en-GB"/>
              </w:rPr>
              <w:t>2.81</w:t>
            </w:r>
          </w:p>
        </w:tc>
      </w:tr>
      <w:tr w:rsidR="007C3B4E" w:rsidRPr="00821B57" w:rsidTr="00B36E77">
        <w:trPr>
          <w:trHeight w:val="315"/>
        </w:trPr>
        <w:tc>
          <w:tcPr>
            <w:tcW w:w="26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Inflammatory response 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color w:val="000000"/>
                <w:lang w:val="en-GB" w:eastAsia="en-GB"/>
              </w:rPr>
              <w:t>9.25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color w:val="000000"/>
                <w:lang w:val="en-GB" w:eastAsia="en-GB"/>
              </w:rPr>
              <w:t>Vasculature development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color w:val="000000"/>
                <w:lang w:val="en-GB" w:eastAsia="en-GB"/>
              </w:rPr>
              <w:t>2.81</w:t>
            </w:r>
          </w:p>
        </w:tc>
      </w:tr>
      <w:tr w:rsidR="007C3B4E" w:rsidRPr="00821B57" w:rsidTr="00B36E77">
        <w:trPr>
          <w:trHeight w:val="315"/>
        </w:trPr>
        <w:tc>
          <w:tcPr>
            <w:tcW w:w="2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color w:val="000000"/>
                <w:lang w:val="en-GB" w:eastAsia="en-GB"/>
              </w:rPr>
              <w:t>Response to stress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color w:val="000000"/>
                <w:lang w:val="en-GB" w:eastAsia="en-GB"/>
              </w:rPr>
              <w:t>9.25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color w:val="000000"/>
                <w:lang w:val="en-GB" w:eastAsia="en-GB"/>
              </w:rPr>
              <w:t>Angiogenesis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color w:val="000000"/>
                <w:lang w:val="en-GB" w:eastAsia="en-GB"/>
              </w:rPr>
              <w:t>2.81</w:t>
            </w:r>
          </w:p>
        </w:tc>
      </w:tr>
      <w:tr w:rsidR="007C3B4E" w:rsidRPr="00821B57" w:rsidTr="00B36E77">
        <w:trPr>
          <w:trHeight w:val="315"/>
        </w:trPr>
        <w:tc>
          <w:tcPr>
            <w:tcW w:w="1008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B4E" w:rsidRPr="00821B57" w:rsidRDefault="007C3B4E" w:rsidP="00B36E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821B5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en-GB"/>
              </w:rPr>
              <w:t>* Value obtained by assessing enrichment of functional categories using DAVID bioinformatics software.</w:t>
            </w:r>
          </w:p>
        </w:tc>
      </w:tr>
    </w:tbl>
    <w:p w:rsidR="007C3B4E" w:rsidRDefault="007C3B4E" w:rsidP="007C3B4E">
      <w:pPr>
        <w:rPr>
          <w:rFonts w:ascii="Microsoft Sans Serif" w:hAnsi="Microsoft Sans Serif" w:cs="Microsoft Sans Serif"/>
          <w:b/>
        </w:rPr>
      </w:pPr>
    </w:p>
    <w:p w:rsidR="001B6F48" w:rsidRDefault="001B6F48" w:rsidP="007C3B4E">
      <w:pPr>
        <w:rPr>
          <w:rFonts w:ascii="Microsoft Sans Serif" w:hAnsi="Microsoft Sans Serif" w:cs="Microsoft Sans Serif"/>
          <w:b/>
        </w:rPr>
      </w:pPr>
    </w:p>
    <w:p w:rsidR="007C3B4E" w:rsidRDefault="007C3B4E" w:rsidP="007C3B4E">
      <w:pPr>
        <w:rPr>
          <w:rFonts w:ascii="Microsoft Sans Serif" w:hAnsi="Microsoft Sans Serif" w:cs="Microsoft Sans Serif"/>
          <w:b/>
        </w:rPr>
      </w:pPr>
      <w:r>
        <w:rPr>
          <w:rFonts w:ascii="Microsoft Sans Serif" w:hAnsi="Microsoft Sans Serif" w:cs="Microsoft Sans Serif"/>
          <w:b/>
        </w:rPr>
        <w:lastRenderedPageBreak/>
        <w:t xml:space="preserve">Table </w:t>
      </w:r>
      <w:r w:rsidR="00DD6D5A">
        <w:rPr>
          <w:rFonts w:ascii="Microsoft Sans Serif" w:hAnsi="Microsoft Sans Serif" w:cs="Microsoft Sans Serif"/>
          <w:b/>
        </w:rPr>
        <w:t>S4</w:t>
      </w:r>
    </w:p>
    <w:tbl>
      <w:tblPr>
        <w:tblW w:w="8920" w:type="dxa"/>
        <w:tblInd w:w="95" w:type="dxa"/>
        <w:tblLook w:val="04A0"/>
      </w:tblPr>
      <w:tblGrid>
        <w:gridCol w:w="1709"/>
        <w:gridCol w:w="1990"/>
        <w:gridCol w:w="1303"/>
        <w:gridCol w:w="1158"/>
        <w:gridCol w:w="1052"/>
        <w:gridCol w:w="1708"/>
      </w:tblGrid>
      <w:tr w:rsidR="00E12D1D" w:rsidRPr="00E12D1D" w:rsidTr="00E12D1D">
        <w:trPr>
          <w:trHeight w:val="315"/>
        </w:trPr>
        <w:tc>
          <w:tcPr>
            <w:tcW w:w="8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Percentage of protein spots that were similar to cell comparator proteome profile</w:t>
            </w:r>
          </w:p>
        </w:tc>
      </w:tr>
      <w:tr w:rsidR="00E12D1D" w:rsidRPr="00E12D1D" w:rsidTr="00E12D1D">
        <w:trPr>
          <w:trHeight w:val="315"/>
        </w:trPr>
        <w:tc>
          <w:tcPr>
            <w:tcW w:w="3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OECs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DMECs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eEPCs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Monocytes</w:t>
            </w:r>
          </w:p>
        </w:tc>
      </w:tr>
      <w:tr w:rsidR="00E12D1D" w:rsidRPr="00E12D1D" w:rsidTr="00E12D1D">
        <w:trPr>
          <w:trHeight w:val="300"/>
        </w:trPr>
        <w:tc>
          <w:tcPr>
            <w:tcW w:w="1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OECs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Percentage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100%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90%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64%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67%</w:t>
            </w:r>
          </w:p>
        </w:tc>
      </w:tr>
      <w:tr w:rsidR="00E12D1D" w:rsidRPr="00E12D1D" w:rsidTr="00E12D1D">
        <w:trPr>
          <w:trHeight w:val="315"/>
        </w:trPr>
        <w:tc>
          <w:tcPr>
            <w:tcW w:w="1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Number of spots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126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113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81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85</w:t>
            </w:r>
          </w:p>
        </w:tc>
      </w:tr>
      <w:tr w:rsidR="00E12D1D" w:rsidRPr="00E12D1D" w:rsidTr="00E12D1D">
        <w:trPr>
          <w:trHeight w:val="300"/>
        </w:trPr>
        <w:tc>
          <w:tcPr>
            <w:tcW w:w="1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DMECs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Percentage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62%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100%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56%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62%</w:t>
            </w:r>
          </w:p>
        </w:tc>
      </w:tr>
      <w:tr w:rsidR="00E12D1D" w:rsidRPr="00E12D1D" w:rsidTr="00E12D1D">
        <w:trPr>
          <w:trHeight w:val="315"/>
        </w:trPr>
        <w:tc>
          <w:tcPr>
            <w:tcW w:w="1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Number of spots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183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102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113</w:t>
            </w:r>
          </w:p>
        </w:tc>
      </w:tr>
      <w:tr w:rsidR="00E12D1D" w:rsidRPr="00E12D1D" w:rsidTr="00E12D1D">
        <w:trPr>
          <w:trHeight w:val="300"/>
        </w:trPr>
        <w:tc>
          <w:tcPr>
            <w:tcW w:w="1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eEPCs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Percentage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52%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65%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100%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77%</w:t>
            </w:r>
          </w:p>
        </w:tc>
      </w:tr>
      <w:tr w:rsidR="00E12D1D" w:rsidRPr="00E12D1D" w:rsidTr="00E12D1D">
        <w:trPr>
          <w:trHeight w:val="315"/>
        </w:trPr>
        <w:tc>
          <w:tcPr>
            <w:tcW w:w="1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Number of spots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81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102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156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120</w:t>
            </w:r>
          </w:p>
        </w:tc>
      </w:tr>
      <w:tr w:rsidR="00E12D1D" w:rsidRPr="00E12D1D" w:rsidTr="00E12D1D">
        <w:trPr>
          <w:trHeight w:val="300"/>
        </w:trPr>
        <w:tc>
          <w:tcPr>
            <w:tcW w:w="1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Monocytes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Percentage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43%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57%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60%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100%</w:t>
            </w:r>
          </w:p>
        </w:tc>
      </w:tr>
      <w:tr w:rsidR="00E12D1D" w:rsidRPr="00E12D1D" w:rsidTr="00E12D1D">
        <w:trPr>
          <w:trHeight w:val="315"/>
        </w:trPr>
        <w:tc>
          <w:tcPr>
            <w:tcW w:w="1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 </w:t>
            </w:r>
          </w:p>
        </w:tc>
        <w:tc>
          <w:tcPr>
            <w:tcW w:w="1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>Number of spots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85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113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color w:val="000000"/>
                <w:lang w:val="en-GB" w:eastAsia="en-GB"/>
              </w:rPr>
              <w:t>120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D1D" w:rsidRPr="00E12D1D" w:rsidRDefault="00E12D1D" w:rsidP="00E1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E12D1D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199</w:t>
            </w:r>
          </w:p>
        </w:tc>
      </w:tr>
    </w:tbl>
    <w:p w:rsidR="007C3B4E" w:rsidRPr="00AB60D6" w:rsidRDefault="007C3B4E" w:rsidP="007C3B4E">
      <w:pPr>
        <w:rPr>
          <w:rFonts w:ascii="Microsoft Sans Serif" w:hAnsi="Microsoft Sans Serif" w:cs="Microsoft Sans Serif"/>
          <w:b/>
        </w:rPr>
      </w:pPr>
    </w:p>
    <w:sectPr w:rsidR="007C3B4E" w:rsidRPr="00AB60D6" w:rsidSect="006F30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E7F" w:rsidRDefault="00C85E7F" w:rsidP="002902C6">
      <w:pPr>
        <w:spacing w:after="0" w:line="240" w:lineRule="auto"/>
      </w:pPr>
      <w:r>
        <w:separator/>
      </w:r>
    </w:p>
  </w:endnote>
  <w:endnote w:type="continuationSeparator" w:id="0">
    <w:p w:rsidR="00C85E7F" w:rsidRDefault="00C85E7F" w:rsidP="00290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E7F" w:rsidRDefault="00C85E7F" w:rsidP="002902C6">
      <w:pPr>
        <w:spacing w:after="0" w:line="240" w:lineRule="auto"/>
      </w:pPr>
      <w:r>
        <w:separator/>
      </w:r>
    </w:p>
  </w:footnote>
  <w:footnote w:type="continuationSeparator" w:id="0">
    <w:p w:rsidR="00C85E7F" w:rsidRDefault="00C85E7F" w:rsidP="002902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4C5"/>
    <w:rsid w:val="00001E0C"/>
    <w:rsid w:val="00124E51"/>
    <w:rsid w:val="001B6F48"/>
    <w:rsid w:val="002902C6"/>
    <w:rsid w:val="00357FB0"/>
    <w:rsid w:val="00364B9D"/>
    <w:rsid w:val="003F2194"/>
    <w:rsid w:val="004B2B4B"/>
    <w:rsid w:val="00694464"/>
    <w:rsid w:val="00730ACA"/>
    <w:rsid w:val="00753FEE"/>
    <w:rsid w:val="007C3B4E"/>
    <w:rsid w:val="00837BCC"/>
    <w:rsid w:val="00BD2C7F"/>
    <w:rsid w:val="00C15AC0"/>
    <w:rsid w:val="00C67971"/>
    <w:rsid w:val="00C85E7F"/>
    <w:rsid w:val="00CB54D4"/>
    <w:rsid w:val="00CB75F7"/>
    <w:rsid w:val="00D624C5"/>
    <w:rsid w:val="00DD6D5A"/>
    <w:rsid w:val="00E12D1D"/>
    <w:rsid w:val="00E15471"/>
    <w:rsid w:val="00EE35B3"/>
    <w:rsid w:val="00F5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4C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62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24C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62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4C5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4C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Medicine and Dentistry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Medicine, Dentistry &amp; Biomedical Sciences</dc:creator>
  <cp:keywords/>
  <dc:description/>
  <cp:lastModifiedBy>Medicine, Dentistry &amp; Biomedical Sciences</cp:lastModifiedBy>
  <cp:revision>9</cp:revision>
  <cp:lastPrinted>2010-05-10T09:16:00Z</cp:lastPrinted>
  <dcterms:created xsi:type="dcterms:W3CDTF">2009-10-21T14:19:00Z</dcterms:created>
  <dcterms:modified xsi:type="dcterms:W3CDTF">2010-05-10T11:55:00Z</dcterms:modified>
</cp:coreProperties>
</file>