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10031" w:type="dxa"/>
        <w:tblLook w:val="04A0"/>
      </w:tblPr>
      <w:tblGrid>
        <w:gridCol w:w="3259"/>
        <w:gridCol w:w="3370"/>
        <w:gridCol w:w="3402"/>
      </w:tblGrid>
      <w:tr w:rsidR="00700196" w:rsidRPr="00700196" w:rsidTr="00700196">
        <w:tc>
          <w:tcPr>
            <w:tcW w:w="325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FFFFFF" w:themeColor="background1"/>
            </w:tcBorders>
          </w:tcPr>
          <w:p w:rsidR="00700196" w:rsidRPr="00700196" w:rsidRDefault="00747288" w:rsidP="0070019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Dengue</w:t>
            </w:r>
            <w:r w:rsidR="00700196" w:rsidRPr="00700196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fever</w:t>
            </w:r>
          </w:p>
        </w:tc>
        <w:tc>
          <w:tcPr>
            <w:tcW w:w="3370" w:type="dxa"/>
            <w:tcBorders>
              <w:top w:val="single" w:sz="18" w:space="0" w:color="auto"/>
              <w:left w:val="single" w:sz="18" w:space="0" w:color="FFFFFF" w:themeColor="background1"/>
              <w:bottom w:val="single" w:sz="18" w:space="0" w:color="auto"/>
              <w:right w:val="single" w:sz="18" w:space="0" w:color="FFFFFF" w:themeColor="background1"/>
            </w:tcBorders>
          </w:tcPr>
          <w:p w:rsidR="00700196" w:rsidRPr="00700196" w:rsidRDefault="00747288" w:rsidP="0070019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Dengue</w:t>
            </w:r>
            <w:r w:rsidR="00700196" w:rsidRPr="00700196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fever with warning signs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FFFFFF" w:themeColor="background1"/>
              <w:bottom w:val="single" w:sz="18" w:space="0" w:color="auto"/>
              <w:right w:val="nil"/>
            </w:tcBorders>
          </w:tcPr>
          <w:p w:rsidR="00700196" w:rsidRPr="00700196" w:rsidRDefault="00700196" w:rsidP="0074728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Sever </w:t>
            </w:r>
            <w:r w:rsidR="00747288">
              <w:rPr>
                <w:rFonts w:ascii="Times New Roman" w:hAnsi="Times New Roman" w:cs="Times New Roman"/>
                <w:b/>
                <w:sz w:val="24"/>
                <w:lang w:val="en-US"/>
              </w:rPr>
              <w:t>dengue</w:t>
            </w:r>
            <w:r w:rsidRPr="00700196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fever</w:t>
            </w:r>
          </w:p>
        </w:tc>
      </w:tr>
      <w:tr w:rsidR="00700196" w:rsidRPr="00747288" w:rsidTr="00700196">
        <w:tc>
          <w:tcPr>
            <w:tcW w:w="325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FFFFFF" w:themeColor="background1"/>
            </w:tcBorders>
          </w:tcPr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 xml:space="preserve">Probable </w:t>
            </w:r>
            <w:r w:rsidR="00747288">
              <w:rPr>
                <w:rFonts w:ascii="Times New Roman" w:hAnsi="Times New Roman" w:cs="Times New Roman"/>
                <w:sz w:val="24"/>
                <w:lang w:val="en-US"/>
              </w:rPr>
              <w:t>dengue</w:t>
            </w: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 xml:space="preserve"> live in /travel to </w:t>
            </w:r>
            <w:r w:rsidR="00747288">
              <w:rPr>
                <w:rFonts w:ascii="Times New Roman" w:hAnsi="Times New Roman" w:cs="Times New Roman"/>
                <w:sz w:val="24"/>
                <w:lang w:val="en-US"/>
              </w:rPr>
              <w:t>dengue</w:t>
            </w: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 xml:space="preserve"> endemic area.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Fever and 2 of the following criteria: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Nausea, vomiting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Rash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Aches and pains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Tourniquet test positive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 xml:space="preserve">• </w:t>
            </w:r>
            <w:proofErr w:type="spellStart"/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Leukopenia</w:t>
            </w:r>
            <w:proofErr w:type="spellEnd"/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Any warning sign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 xml:space="preserve">Laboratory-confirmed </w:t>
            </w:r>
            <w:r w:rsidR="00747288">
              <w:rPr>
                <w:rFonts w:ascii="Times New Roman" w:hAnsi="Times New Roman" w:cs="Times New Roman"/>
                <w:sz w:val="24"/>
                <w:lang w:val="en-US"/>
              </w:rPr>
              <w:t>dengue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(important when no sign of plasma leakage)</w:t>
            </w:r>
          </w:p>
        </w:tc>
        <w:tc>
          <w:tcPr>
            <w:tcW w:w="3370" w:type="dxa"/>
            <w:tcBorders>
              <w:top w:val="single" w:sz="18" w:space="0" w:color="auto"/>
              <w:left w:val="single" w:sz="18" w:space="0" w:color="FFFFFF" w:themeColor="background1"/>
              <w:bottom w:val="single" w:sz="18" w:space="0" w:color="auto"/>
              <w:right w:val="single" w:sz="18" w:space="0" w:color="FFFFFF" w:themeColor="background1"/>
            </w:tcBorders>
          </w:tcPr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Abdominal pain or tenderness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Persistent vomiting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Clinical fluid accumulation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Mucosal bleed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Lethargy, restlessness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Liver enlargement &gt;2 cm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Laboratory: increase in HCT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concurrent with rapid decrease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in platelet count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FFFFFF" w:themeColor="background1"/>
              <w:bottom w:val="single" w:sz="18" w:space="0" w:color="auto"/>
              <w:right w:val="nil"/>
            </w:tcBorders>
          </w:tcPr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Severe plasma leakage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leading to:</w:t>
            </w:r>
          </w:p>
          <w:p w:rsidR="00700196" w:rsidRPr="00700196" w:rsidRDefault="005E007A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• Shock 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Fluid accumulation with respiratory distress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Severe bleeding as evaluated by clinician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Severe organ involvement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Liver: AST or ALT &gt;=1000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CNS: Impaired consciousness</w:t>
            </w:r>
          </w:p>
          <w:p w:rsidR="00700196" w:rsidRPr="00700196" w:rsidRDefault="00700196" w:rsidP="0070019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0196">
              <w:rPr>
                <w:rFonts w:ascii="Times New Roman" w:hAnsi="Times New Roman" w:cs="Times New Roman"/>
                <w:sz w:val="24"/>
                <w:lang w:val="en-US"/>
              </w:rPr>
              <w:t>• Heart and other organs</w:t>
            </w:r>
          </w:p>
        </w:tc>
      </w:tr>
    </w:tbl>
    <w:p w:rsidR="00700196" w:rsidRPr="00A44C63" w:rsidRDefault="00700196" w:rsidP="0070019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en-US"/>
        </w:rPr>
      </w:pPr>
    </w:p>
    <w:p w:rsidR="00700196" w:rsidRPr="00700196" w:rsidRDefault="00700196" w:rsidP="007001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lang w:val="en-US"/>
        </w:rPr>
      </w:pPr>
      <w:r w:rsidRPr="00700196">
        <w:rPr>
          <w:rFonts w:ascii="Times New Roman" w:hAnsi="Times New Roman" w:cs="Times New Roman"/>
          <w:b/>
          <w:sz w:val="24"/>
          <w:lang w:val="en-US"/>
        </w:rPr>
        <w:t>Table 1.</w:t>
      </w:r>
      <w:r w:rsidRPr="00700196">
        <w:rPr>
          <w:rFonts w:ascii="Times New Roman" w:hAnsi="Times New Roman" w:cs="Times New Roman"/>
          <w:sz w:val="24"/>
          <w:lang w:val="en-US"/>
        </w:rPr>
        <w:t xml:space="preserve"> WHO </w:t>
      </w:r>
      <w:r w:rsidR="00747288">
        <w:rPr>
          <w:rFonts w:ascii="Times New Roman" w:hAnsi="Times New Roman" w:cs="Times New Roman"/>
          <w:sz w:val="24"/>
          <w:lang w:val="en-US"/>
        </w:rPr>
        <w:t>dengue</w:t>
      </w:r>
      <w:r w:rsidRPr="00700196">
        <w:rPr>
          <w:rFonts w:ascii="Times New Roman" w:hAnsi="Times New Roman" w:cs="Times New Roman"/>
          <w:sz w:val="24"/>
          <w:lang w:val="en-US"/>
        </w:rPr>
        <w:t xml:space="preserve"> classification. Adapted (11)</w:t>
      </w:r>
      <w:r w:rsidR="005E007A">
        <w:rPr>
          <w:rFonts w:ascii="Times New Roman" w:hAnsi="Times New Roman" w:cs="Times New Roman"/>
          <w:sz w:val="24"/>
          <w:lang w:val="en-US"/>
        </w:rPr>
        <w:t xml:space="preserve">. AST: </w:t>
      </w:r>
      <w:proofErr w:type="spellStart"/>
      <w:r w:rsidR="005E007A">
        <w:rPr>
          <w:rFonts w:ascii="Times New Roman" w:hAnsi="Times New Roman" w:cs="Times New Roman"/>
          <w:sz w:val="24"/>
          <w:lang w:val="en-US"/>
        </w:rPr>
        <w:t>a</w:t>
      </w:r>
      <w:r w:rsidR="00EF5BB5">
        <w:rPr>
          <w:rFonts w:ascii="Times New Roman" w:hAnsi="Times New Roman" w:cs="Times New Roman"/>
          <w:sz w:val="24"/>
          <w:lang w:val="en-US"/>
        </w:rPr>
        <w:t>spartate</w:t>
      </w:r>
      <w:proofErr w:type="spellEnd"/>
      <w:r w:rsidR="00EF5BB5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F5BB5">
        <w:rPr>
          <w:rFonts w:ascii="Times New Roman" w:hAnsi="Times New Roman" w:cs="Times New Roman"/>
          <w:sz w:val="24"/>
          <w:lang w:val="en-US"/>
        </w:rPr>
        <w:t>transaminase</w:t>
      </w:r>
      <w:proofErr w:type="spellEnd"/>
      <w:r w:rsidR="00EF5BB5">
        <w:rPr>
          <w:rFonts w:ascii="Times New Roman" w:hAnsi="Times New Roman" w:cs="Times New Roman"/>
          <w:sz w:val="24"/>
          <w:lang w:val="en-US"/>
        </w:rPr>
        <w:t xml:space="preserve">; ALT: </w:t>
      </w:r>
      <w:proofErr w:type="spellStart"/>
      <w:r w:rsidR="00EF5BB5">
        <w:rPr>
          <w:rFonts w:ascii="Times New Roman" w:hAnsi="Times New Roman" w:cs="Times New Roman"/>
          <w:sz w:val="24"/>
          <w:lang w:val="en-US"/>
        </w:rPr>
        <w:t>alanine</w:t>
      </w:r>
      <w:proofErr w:type="spellEnd"/>
      <w:r w:rsidR="00EF5BB5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F5BB5">
        <w:rPr>
          <w:rFonts w:ascii="Times New Roman" w:hAnsi="Times New Roman" w:cs="Times New Roman"/>
          <w:sz w:val="24"/>
          <w:lang w:val="en-US"/>
        </w:rPr>
        <w:t>transaminase</w:t>
      </w:r>
      <w:proofErr w:type="spellEnd"/>
      <w:r w:rsidR="00EF5BB5">
        <w:rPr>
          <w:rFonts w:ascii="Times New Roman" w:hAnsi="Times New Roman" w:cs="Times New Roman"/>
          <w:sz w:val="24"/>
          <w:lang w:val="en-US"/>
        </w:rPr>
        <w:t>; CNS: central nervous system</w:t>
      </w:r>
    </w:p>
    <w:p w:rsidR="008E5C95" w:rsidRDefault="008E5C95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Grigliatabella"/>
        <w:tblW w:w="9889" w:type="dxa"/>
        <w:tblLook w:val="04A0"/>
      </w:tblPr>
      <w:tblGrid>
        <w:gridCol w:w="2093"/>
        <w:gridCol w:w="7796"/>
      </w:tblGrid>
      <w:tr w:rsidR="008E5C95" w:rsidRPr="00747288" w:rsidTr="008E5C95">
        <w:tc>
          <w:tcPr>
            <w:tcW w:w="2093" w:type="dxa"/>
          </w:tcPr>
          <w:p w:rsidR="008E5C95" w:rsidRPr="008E5C95" w:rsidRDefault="008E5C95" w:rsidP="008E5C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  <w:r w:rsidRPr="008E5C95">
              <w:rPr>
                <w:rFonts w:ascii="Times New Roman" w:hAnsi="Times New Roman" w:cs="Times New Roman"/>
                <w:b/>
                <w:sz w:val="24"/>
                <w:lang w:val="en-US"/>
              </w:rPr>
              <w:lastRenderedPageBreak/>
              <w:t>Febrile phase</w:t>
            </w:r>
          </w:p>
        </w:tc>
        <w:tc>
          <w:tcPr>
            <w:tcW w:w="7796" w:type="dxa"/>
          </w:tcPr>
          <w:p w:rsidR="008E5C95" w:rsidRPr="008E5C95" w:rsidRDefault="008E5C95" w:rsidP="008E5C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8E5C95">
              <w:rPr>
                <w:rFonts w:ascii="Times New Roman" w:hAnsi="Times New Roman" w:cs="Times New Roman"/>
                <w:sz w:val="24"/>
                <w:lang w:val="en-US"/>
              </w:rPr>
              <w:t>Dehydration; high fever may cause neurological disturbances and febrile seizures in young children</w:t>
            </w:r>
          </w:p>
        </w:tc>
      </w:tr>
      <w:tr w:rsidR="008E5C95" w:rsidRPr="00747288" w:rsidTr="008E5C95">
        <w:tc>
          <w:tcPr>
            <w:tcW w:w="2093" w:type="dxa"/>
          </w:tcPr>
          <w:p w:rsidR="008E5C95" w:rsidRPr="008E5C95" w:rsidRDefault="008E5C95" w:rsidP="008E5C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  <w:r w:rsidRPr="008E5C95">
              <w:rPr>
                <w:rFonts w:ascii="Times New Roman" w:hAnsi="Times New Roman" w:cs="Times New Roman"/>
                <w:b/>
                <w:sz w:val="24"/>
                <w:lang w:val="en-US"/>
              </w:rPr>
              <w:t>Critical phase</w:t>
            </w:r>
          </w:p>
        </w:tc>
        <w:tc>
          <w:tcPr>
            <w:tcW w:w="7796" w:type="dxa"/>
          </w:tcPr>
          <w:p w:rsidR="008E5C95" w:rsidRPr="008E5C95" w:rsidRDefault="008E5C95" w:rsidP="008E5C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8E5C95">
              <w:rPr>
                <w:rFonts w:ascii="Times New Roman" w:hAnsi="Times New Roman" w:cs="Times New Roman"/>
                <w:sz w:val="24"/>
                <w:lang w:val="en-US"/>
              </w:rPr>
              <w:t xml:space="preserve">Shock from plasma leakage; severe </w:t>
            </w:r>
            <w:proofErr w:type="spellStart"/>
            <w:r w:rsidRPr="008E5C95">
              <w:rPr>
                <w:rFonts w:ascii="Times New Roman" w:hAnsi="Times New Roman" w:cs="Times New Roman"/>
                <w:sz w:val="24"/>
                <w:lang w:val="en-US"/>
              </w:rPr>
              <w:t>haemorrhage</w:t>
            </w:r>
            <w:proofErr w:type="spellEnd"/>
            <w:r w:rsidRPr="008E5C95">
              <w:rPr>
                <w:rFonts w:ascii="Times New Roman" w:hAnsi="Times New Roman" w:cs="Times New Roman"/>
                <w:sz w:val="24"/>
                <w:lang w:val="en-US"/>
              </w:rPr>
              <w:t>; organ impairment</w:t>
            </w:r>
          </w:p>
        </w:tc>
      </w:tr>
      <w:tr w:rsidR="008E5C95" w:rsidRPr="00747288" w:rsidTr="008E5C95">
        <w:tc>
          <w:tcPr>
            <w:tcW w:w="2093" w:type="dxa"/>
          </w:tcPr>
          <w:p w:rsidR="008E5C95" w:rsidRPr="008E5C95" w:rsidRDefault="008E5C95" w:rsidP="008E5C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  <w:r w:rsidRPr="008E5C95">
              <w:rPr>
                <w:rFonts w:ascii="Times New Roman" w:hAnsi="Times New Roman" w:cs="Times New Roman"/>
                <w:b/>
                <w:sz w:val="24"/>
                <w:lang w:val="en-US"/>
              </w:rPr>
              <w:t>Recovery phase</w:t>
            </w:r>
          </w:p>
        </w:tc>
        <w:tc>
          <w:tcPr>
            <w:tcW w:w="7796" w:type="dxa"/>
          </w:tcPr>
          <w:p w:rsidR="008E5C95" w:rsidRPr="008E5C95" w:rsidRDefault="008E5C95" w:rsidP="008E5C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8E5C95">
              <w:rPr>
                <w:rFonts w:ascii="Times New Roman" w:hAnsi="Times New Roman" w:cs="Times New Roman"/>
                <w:sz w:val="24"/>
                <w:lang w:val="en-US"/>
              </w:rPr>
              <w:t>Hypervolaemia</w:t>
            </w:r>
            <w:proofErr w:type="spellEnd"/>
            <w:r w:rsidRPr="008E5C95">
              <w:rPr>
                <w:rFonts w:ascii="Times New Roman" w:hAnsi="Times New Roman" w:cs="Times New Roman"/>
                <w:sz w:val="24"/>
                <w:lang w:val="en-US"/>
              </w:rPr>
              <w:t xml:space="preserve"> (only if intravenous fluid therapy has been excessive and/or has extended into this period)</w:t>
            </w:r>
          </w:p>
        </w:tc>
      </w:tr>
    </w:tbl>
    <w:p w:rsidR="008E5C95" w:rsidRPr="008E5C95" w:rsidRDefault="008E5C95" w:rsidP="008E5C9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lang w:val="en-US"/>
        </w:rPr>
      </w:pPr>
      <w:r w:rsidRPr="008E5C95">
        <w:rPr>
          <w:rFonts w:ascii="Times New Roman" w:hAnsi="Times New Roman" w:cs="Times New Roman"/>
          <w:b/>
          <w:bCs/>
          <w:sz w:val="24"/>
          <w:lang w:val="en-US"/>
        </w:rPr>
        <w:t xml:space="preserve">Table 2. </w:t>
      </w:r>
      <w:r w:rsidRPr="008E5C95">
        <w:rPr>
          <w:rFonts w:ascii="Times New Roman" w:hAnsi="Times New Roman" w:cs="Times New Roman"/>
          <w:bCs/>
          <w:sz w:val="24"/>
          <w:lang w:val="en-US"/>
        </w:rPr>
        <w:t xml:space="preserve">The three classic phases of </w:t>
      </w:r>
      <w:r w:rsidR="00747288">
        <w:rPr>
          <w:rFonts w:ascii="Times New Roman" w:hAnsi="Times New Roman" w:cs="Times New Roman"/>
          <w:bCs/>
          <w:sz w:val="24"/>
          <w:lang w:val="en-US"/>
        </w:rPr>
        <w:t>dengue</w:t>
      </w:r>
      <w:r w:rsidRPr="008E5C95">
        <w:rPr>
          <w:rFonts w:ascii="Times New Roman" w:hAnsi="Times New Roman" w:cs="Times New Roman"/>
          <w:bCs/>
          <w:sz w:val="24"/>
          <w:lang w:val="en-US"/>
        </w:rPr>
        <w:t xml:space="preserve"> fever. Adapted from WHO (11)</w:t>
      </w:r>
    </w:p>
    <w:p w:rsidR="00B82503" w:rsidRDefault="00B82503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Grigliatabella"/>
        <w:tblW w:w="0" w:type="auto"/>
        <w:tblLook w:val="04A0"/>
      </w:tblPr>
      <w:tblGrid>
        <w:gridCol w:w="1668"/>
        <w:gridCol w:w="3260"/>
        <w:gridCol w:w="4926"/>
      </w:tblGrid>
      <w:tr w:rsidR="00B82503" w:rsidRPr="00747288" w:rsidTr="00B82503">
        <w:tc>
          <w:tcPr>
            <w:tcW w:w="166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FFFFFF" w:themeColor="background1"/>
            </w:tcBorders>
          </w:tcPr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History</w:t>
            </w:r>
          </w:p>
        </w:tc>
        <w:tc>
          <w:tcPr>
            <w:tcW w:w="8186" w:type="dxa"/>
            <w:gridSpan w:val="2"/>
            <w:tcBorders>
              <w:top w:val="single" w:sz="18" w:space="0" w:color="auto"/>
              <w:left w:val="single" w:sz="18" w:space="0" w:color="FFFFFF" w:themeColor="background1"/>
              <w:bottom w:val="single" w:sz="18" w:space="0" w:color="auto"/>
              <w:right w:val="nil"/>
            </w:tcBorders>
          </w:tcPr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 date of onset of fever/illness;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 quantity of oral intake;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 assessment for warning signs;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 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diarrhoea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 change in mental state/seizure/dizziness;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 urine output (frequency, volume and time of last voiding);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 other important relevant histories, such as family or 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neighbourhood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travel to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endemic areas, co-existing conditions (e.g. infancy, pregnancy, obesity, diabetes mellitus, hypertension), jungle trekking and swimming in waterfall (consider 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leptospirosis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typhus, malaria), recent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unprotected sex or drug abuse (consider acute HIV 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seroconversion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illness).</w:t>
            </w:r>
          </w:p>
        </w:tc>
      </w:tr>
      <w:tr w:rsidR="00B82503" w:rsidRPr="00B82503" w:rsidTr="00B82503">
        <w:tc>
          <w:tcPr>
            <w:tcW w:w="166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FFFFFF" w:themeColor="background1"/>
            </w:tcBorders>
          </w:tcPr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Physical examination</w:t>
            </w:r>
          </w:p>
        </w:tc>
        <w:tc>
          <w:tcPr>
            <w:tcW w:w="8186" w:type="dxa"/>
            <w:gridSpan w:val="2"/>
            <w:tcBorders>
              <w:top w:val="single" w:sz="18" w:space="0" w:color="auto"/>
              <w:left w:val="single" w:sz="18" w:space="0" w:color="FFFFFF" w:themeColor="background1"/>
              <w:right w:val="nil"/>
            </w:tcBorders>
          </w:tcPr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 assessment of mental state;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assessment of hydration status;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assessment of 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haemodynamic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status;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–checking for 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tachypnoea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acidotic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breathing/pleural effusion;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–checking for abdominal tenderness/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hepatomegaly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ascites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–examination for rash and bleeding manifestations;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tourniquet test </w:t>
            </w:r>
          </w:p>
        </w:tc>
      </w:tr>
      <w:tr w:rsidR="00B82503" w:rsidRPr="00747288" w:rsidTr="00B82503">
        <w:tc>
          <w:tcPr>
            <w:tcW w:w="166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FFFFFF" w:themeColor="background1"/>
            </w:tcBorders>
          </w:tcPr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Investigations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FFFFFF" w:themeColor="background1"/>
              <w:bottom w:val="single" w:sz="18" w:space="0" w:color="auto"/>
              <w:right w:val="single" w:sz="18" w:space="0" w:color="FFFFFF" w:themeColor="background1"/>
            </w:tcBorders>
          </w:tcPr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Full blood count 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Haematocrit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test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White blood cell count 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Platelet count 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Liver function, glucose, serum electrolytes, 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rea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creatinine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bicarbonate, </w:t>
            </w: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lactate, cardiac enzymes, ECG and urine specific gravity.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Disease notification</w:t>
            </w:r>
          </w:p>
        </w:tc>
        <w:tc>
          <w:tcPr>
            <w:tcW w:w="4926" w:type="dxa"/>
            <w:tcBorders>
              <w:top w:val="single" w:sz="18" w:space="0" w:color="auto"/>
              <w:left w:val="single" w:sz="18" w:space="0" w:color="FFFFFF" w:themeColor="background1"/>
              <w:bottom w:val="single" w:sz="18" w:space="0" w:color="auto"/>
              <w:right w:val="nil"/>
            </w:tcBorders>
          </w:tcPr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should be done at the first visit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the early 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febrilephase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establishes the patient’s own baseline 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haematocrit</w:t>
            </w:r>
            <w:proofErr w:type="spellEnd"/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decreasing white blood cell count makes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very likely.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rapid decrease in platelet count in parallel with a rising 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haematocrit</w:t>
            </w:r>
            <w:proofErr w:type="spellEnd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compared to the baseline is suggestive of progress to the plasma leakage/critical phase of the disease.</w:t>
            </w: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Evaluate organ </w:t>
            </w:r>
            <w:proofErr w:type="spellStart"/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disfunction</w:t>
            </w:r>
            <w:proofErr w:type="spellEnd"/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82503" w:rsidRPr="00B82503" w:rsidRDefault="00B82503" w:rsidP="00B8250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Laboratory confirmation is not necessary before notification, but should be obtained.</w:t>
            </w:r>
          </w:p>
        </w:tc>
      </w:tr>
    </w:tbl>
    <w:p w:rsidR="00B82503" w:rsidRPr="00B82503" w:rsidRDefault="00B82503" w:rsidP="00B8250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2503">
        <w:rPr>
          <w:rFonts w:ascii="Times New Roman" w:hAnsi="Times New Roman" w:cs="Times New Roman"/>
          <w:b/>
          <w:sz w:val="24"/>
          <w:szCs w:val="24"/>
          <w:lang w:val="en-US"/>
        </w:rPr>
        <w:t>Table 3.</w:t>
      </w:r>
      <w:r w:rsidRPr="00B82503">
        <w:rPr>
          <w:rFonts w:ascii="Times New Roman" w:hAnsi="Times New Roman" w:cs="Times New Roman"/>
          <w:sz w:val="24"/>
          <w:szCs w:val="24"/>
          <w:lang w:val="en-US"/>
        </w:rPr>
        <w:t xml:space="preserve"> Clinical-</w:t>
      </w:r>
      <w:proofErr w:type="spellStart"/>
      <w:r w:rsidRPr="00B82503">
        <w:rPr>
          <w:rFonts w:ascii="Times New Roman" w:hAnsi="Times New Roman" w:cs="Times New Roman"/>
          <w:sz w:val="24"/>
          <w:szCs w:val="24"/>
          <w:lang w:val="en-US"/>
        </w:rPr>
        <w:t>laboratoristic</w:t>
      </w:r>
      <w:proofErr w:type="spellEnd"/>
      <w:r w:rsidRPr="00B82503">
        <w:rPr>
          <w:rFonts w:ascii="Times New Roman" w:hAnsi="Times New Roman" w:cs="Times New Roman"/>
          <w:sz w:val="24"/>
          <w:szCs w:val="24"/>
          <w:lang w:val="en-US"/>
        </w:rPr>
        <w:t xml:space="preserve"> approach to a child with suspected </w:t>
      </w:r>
      <w:r w:rsidR="00747288">
        <w:rPr>
          <w:rFonts w:ascii="Times New Roman" w:hAnsi="Times New Roman" w:cs="Times New Roman"/>
          <w:sz w:val="24"/>
          <w:szCs w:val="24"/>
          <w:lang w:val="en-US"/>
        </w:rPr>
        <w:t>dengue</w:t>
      </w:r>
      <w:r w:rsidRPr="00B82503">
        <w:rPr>
          <w:rFonts w:ascii="Times New Roman" w:hAnsi="Times New Roman" w:cs="Times New Roman"/>
          <w:sz w:val="24"/>
          <w:szCs w:val="24"/>
          <w:lang w:val="en-US"/>
        </w:rPr>
        <w:t xml:space="preserve"> fever. Adapted (11)</w:t>
      </w:r>
      <w:r w:rsidR="00EF5BB5">
        <w:rPr>
          <w:rFonts w:ascii="Times New Roman" w:hAnsi="Times New Roman" w:cs="Times New Roman"/>
          <w:sz w:val="24"/>
          <w:szCs w:val="24"/>
          <w:lang w:val="en-US"/>
        </w:rPr>
        <w:t xml:space="preserve">. ECG: electrocardiogram. </w:t>
      </w:r>
    </w:p>
    <w:p w:rsidR="001914AC" w:rsidRDefault="001914A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br w:type="page"/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1914AC" w:rsidRPr="00EF5BB5" w:rsidTr="001914AC">
        <w:tc>
          <w:tcPr>
            <w:tcW w:w="4889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Good practice</w:t>
            </w:r>
          </w:p>
        </w:tc>
        <w:tc>
          <w:tcPr>
            <w:tcW w:w="4889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Bad practice</w:t>
            </w:r>
          </w:p>
        </w:tc>
      </w:tr>
      <w:tr w:rsidR="001914AC" w:rsidRPr="00747288" w:rsidTr="001914AC">
        <w:tc>
          <w:tcPr>
            <w:tcW w:w="4889" w:type="dxa"/>
            <w:tcBorders>
              <w:top w:val="single" w:sz="18" w:space="0" w:color="auto"/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Assessment and follow-up of patients with non-severe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instruction of warning signs to watch out for</w:t>
            </w:r>
          </w:p>
        </w:tc>
        <w:tc>
          <w:tcPr>
            <w:tcW w:w="4889" w:type="dxa"/>
            <w:tcBorders>
              <w:top w:val="single" w:sz="18" w:space="0" w:color="auto"/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Sending patients with non-severe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home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 no follow-up and inadequate instructions</w:t>
            </w:r>
          </w:p>
        </w:tc>
      </w:tr>
      <w:tr w:rsidR="001914AC" w:rsidRPr="00747288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Administration of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paracetamol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 high fever if the patient is uncomfortable</w:t>
            </w:r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Administration of acetylsalicylic acid (aspirin) or ibuprofen</w:t>
            </w:r>
          </w:p>
        </w:tc>
      </w:tr>
      <w:tr w:rsidR="001914AC" w:rsidRPr="00747288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Obtaining a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haematocrit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level before and after fluid boluses</w:t>
            </w:r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Not knowing when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haematocrit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levels are taken</w:t>
            </w:r>
          </w:p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 respect to fluid therapy</w:t>
            </w:r>
          </w:p>
        </w:tc>
      </w:tr>
      <w:tr w:rsidR="001914AC" w:rsidRPr="001914AC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Clinical assessment of the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haemodynamic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status before and after each fluid bolus</w:t>
            </w:r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clinical assessment of patient with respect</w:t>
            </w:r>
          </w:p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 fluid therapy</w:t>
            </w:r>
          </w:p>
        </w:tc>
      </w:tr>
      <w:tr w:rsidR="001914AC" w:rsidRPr="00747288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Interpretation of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haematocrit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levels in the context of fluid administered and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haemodynamic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assessment</w:t>
            </w:r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Interpretation of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haematocrit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levels independent</w:t>
            </w:r>
          </w:p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clinical status</w:t>
            </w:r>
          </w:p>
        </w:tc>
      </w:tr>
      <w:tr w:rsidR="001914AC" w:rsidRPr="001914AC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Administration of intravenous fluids for repeated vomiting or a high or rapidly rising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haematocrit</w:t>
            </w:r>
            <w:proofErr w:type="spellEnd"/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Administration of intravenous fluids to any patient</w:t>
            </w:r>
          </w:p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with non-severe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</w:p>
        </w:tc>
      </w:tr>
      <w:tr w:rsidR="001914AC" w:rsidRPr="00747288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Use of isotonic intravenous fluids for severe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Use of hypotonic intravenous fluids for severe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</w:p>
        </w:tc>
      </w:tr>
      <w:tr w:rsidR="001914AC" w:rsidRPr="00747288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Giving intravenous fluid volume just sufficient to maintain effective circulation during the period of plasma leakage for severe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Excessive or prolonged intravenous fluid</w:t>
            </w:r>
          </w:p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administration for severe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</w:p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14AC" w:rsidRPr="00747288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Avoiding intramuscular injections in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patients</w:t>
            </w:r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Giving intramuscular injections to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patients</w:t>
            </w:r>
          </w:p>
        </w:tc>
      </w:tr>
      <w:tr w:rsidR="001914AC" w:rsidRPr="00747288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Intravenous fluid rate and frequency of monitoring and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haematocrit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measurement adjusted according to the patient’s condition</w:t>
            </w:r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Fixed intravenous fluid rate and unchanged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frequency of monitoring and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haematocrit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measurement during entire hospitalization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for severe </w:t>
            </w:r>
            <w:r w:rsidR="007472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dengue</w:t>
            </w:r>
          </w:p>
        </w:tc>
      </w:tr>
      <w:tr w:rsidR="001914AC" w:rsidRPr="00747288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Close monitoring of blood glucose</w:t>
            </w:r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monitoring blood glucose, unaware of the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hyperglycaemic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effect on osmotic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diuresis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confounding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hypovolaemia</w:t>
            </w:r>
            <w:proofErr w:type="spellEnd"/>
          </w:p>
        </w:tc>
      </w:tr>
      <w:tr w:rsidR="001914AC" w:rsidRPr="00747288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Discontinuation or reducing fluid therapy once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haemodynamic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status stabilizes</w:t>
            </w:r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Continuation and no review of intravenous</w:t>
            </w:r>
          </w:p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fluid therapy once </w:t>
            </w:r>
            <w:proofErr w:type="spellStart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haemodynamic</w:t>
            </w:r>
            <w:proofErr w:type="spellEnd"/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status stabilizes</w:t>
            </w:r>
          </w:p>
        </w:tc>
      </w:tr>
      <w:tr w:rsidR="001914AC" w:rsidRPr="00747288" w:rsidTr="001914AC">
        <w:tc>
          <w:tcPr>
            <w:tcW w:w="4889" w:type="dxa"/>
            <w:tcBorders>
              <w:lef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Careful evaluation of c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linical warning signs</w:t>
            </w:r>
          </w:p>
        </w:tc>
        <w:tc>
          <w:tcPr>
            <w:tcW w:w="4889" w:type="dxa"/>
            <w:tcBorders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evaluation of new clinical warning signs</w:t>
            </w:r>
          </w:p>
        </w:tc>
      </w:tr>
      <w:tr w:rsidR="001914AC" w:rsidRPr="00747288" w:rsidTr="001914AC">
        <w:tc>
          <w:tcPr>
            <w:tcW w:w="4889" w:type="dxa"/>
            <w:tcBorders>
              <w:left w:val="nil"/>
              <w:bottom w:val="single" w:sz="18" w:space="0" w:color="auto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Careful evaluation of l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aboratory warning signs</w:t>
            </w:r>
          </w:p>
        </w:tc>
        <w:tc>
          <w:tcPr>
            <w:tcW w:w="4889" w:type="dxa"/>
            <w:tcBorders>
              <w:bottom w:val="single" w:sz="18" w:space="0" w:color="auto"/>
              <w:right w:val="nil"/>
            </w:tcBorders>
          </w:tcPr>
          <w:p w:rsidR="001914AC" w:rsidRPr="001914AC" w:rsidRDefault="001914AC" w:rsidP="001914AC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evaluation of l</w:t>
            </w:r>
            <w:r w:rsidRPr="001914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aboratory warning signs</w:t>
            </w:r>
          </w:p>
        </w:tc>
      </w:tr>
    </w:tbl>
    <w:p w:rsidR="001914AC" w:rsidRPr="001914AC" w:rsidRDefault="001914AC" w:rsidP="001914A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 w:rsidRPr="001914AC">
        <w:rPr>
          <w:rFonts w:ascii="Times New Roman" w:hAnsi="Times New Roman" w:cs="Times New Roman"/>
          <w:b/>
          <w:sz w:val="24"/>
          <w:szCs w:val="20"/>
          <w:lang w:val="en-US"/>
        </w:rPr>
        <w:t>Table 4.</w:t>
      </w:r>
      <w:r w:rsidRPr="001914AC">
        <w:rPr>
          <w:rFonts w:ascii="Times New Roman" w:hAnsi="Times New Roman" w:cs="Times New Roman"/>
          <w:sz w:val="24"/>
          <w:szCs w:val="20"/>
          <w:lang w:val="en-US"/>
        </w:rPr>
        <w:t xml:space="preserve"> Good and bad practice for a clinician dealing with a case of </w:t>
      </w:r>
      <w:r w:rsidR="00747288">
        <w:rPr>
          <w:rFonts w:ascii="Times New Roman" w:hAnsi="Times New Roman" w:cs="Times New Roman"/>
          <w:sz w:val="24"/>
          <w:szCs w:val="20"/>
          <w:lang w:val="en-US"/>
        </w:rPr>
        <w:t>dengue</w:t>
      </w:r>
      <w:r w:rsidRPr="001914AC">
        <w:rPr>
          <w:rFonts w:ascii="Times New Roman" w:hAnsi="Times New Roman" w:cs="Times New Roman"/>
          <w:sz w:val="24"/>
          <w:szCs w:val="20"/>
          <w:lang w:val="en-US"/>
        </w:rPr>
        <w:t xml:space="preserve"> fever.</w:t>
      </w:r>
    </w:p>
    <w:p w:rsidR="005175F4" w:rsidRPr="00B82503" w:rsidRDefault="005175F4" w:rsidP="00B8250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175F4" w:rsidRPr="00B82503" w:rsidSect="005175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00196"/>
    <w:rsid w:val="001416AC"/>
    <w:rsid w:val="001914AC"/>
    <w:rsid w:val="003E78BC"/>
    <w:rsid w:val="005175F4"/>
    <w:rsid w:val="005E007A"/>
    <w:rsid w:val="00700196"/>
    <w:rsid w:val="00747288"/>
    <w:rsid w:val="007900BB"/>
    <w:rsid w:val="008E5C95"/>
    <w:rsid w:val="00AC54BF"/>
    <w:rsid w:val="00B82503"/>
    <w:rsid w:val="00EF5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01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001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ECB73-A13B-4AF6-A1A3-A58A9BC2F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</dc:creator>
  <cp:lastModifiedBy>danilo</cp:lastModifiedBy>
  <cp:revision>5</cp:revision>
  <dcterms:created xsi:type="dcterms:W3CDTF">2014-04-07T19:54:00Z</dcterms:created>
  <dcterms:modified xsi:type="dcterms:W3CDTF">2014-07-07T21:15:00Z</dcterms:modified>
</cp:coreProperties>
</file>