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9BD" w:rsidRPr="00250409" w:rsidRDefault="00AB482C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AB482C">
        <w:rPr>
          <w:rFonts w:ascii="Times New Roman" w:eastAsia="Arial Unicode MS" w:hAnsi="Times New Roman"/>
          <w:b/>
          <w:sz w:val="24"/>
          <w:szCs w:val="24"/>
        </w:rPr>
        <w:t>Supplementary</w:t>
      </w:r>
      <w:r>
        <w:rPr>
          <w:rFonts w:ascii="Times New Roman" w:eastAsia="Arial Unicode MS" w:hAnsi="Times New Roman" w:hint="eastAsia"/>
          <w:b/>
          <w:sz w:val="24"/>
          <w:szCs w:val="24"/>
        </w:rPr>
        <w:t xml:space="preserve"> m</w:t>
      </w:r>
      <w:r w:rsidR="00E949BD" w:rsidRPr="00250409">
        <w:rPr>
          <w:rFonts w:ascii="Times New Roman" w:eastAsia="Arial Unicode MS" w:hAnsi="Times New Roman"/>
          <w:b/>
          <w:sz w:val="24"/>
          <w:szCs w:val="24"/>
        </w:rPr>
        <w:t xml:space="preserve">aterials and </w:t>
      </w:r>
      <w:r>
        <w:rPr>
          <w:rFonts w:ascii="Times New Roman" w:eastAsia="Arial Unicode MS" w:hAnsi="Times New Roman" w:hint="eastAsia"/>
          <w:b/>
          <w:sz w:val="24"/>
          <w:szCs w:val="24"/>
        </w:rPr>
        <w:t>m</w:t>
      </w:r>
      <w:r w:rsidR="00E949BD" w:rsidRPr="00250409">
        <w:rPr>
          <w:rFonts w:ascii="Times New Roman" w:eastAsia="Arial Unicode MS" w:hAnsi="Times New Roman"/>
          <w:b/>
          <w:sz w:val="24"/>
          <w:szCs w:val="24"/>
        </w:rPr>
        <w:t>ethods</w:t>
      </w: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250409">
        <w:rPr>
          <w:rFonts w:ascii="Times New Roman" w:eastAsia="Arial Unicode MS" w:hAnsi="Times New Roman"/>
          <w:b/>
          <w:sz w:val="24"/>
          <w:szCs w:val="24"/>
        </w:rPr>
        <w:t>Recombinant protein expression and purification of</w:t>
      </w:r>
      <w:r w:rsidRPr="00250409">
        <w:rPr>
          <w:rFonts w:ascii="Times New Roman" w:eastAsia="Arial Unicode MS" w:hAnsi="Times New Roman"/>
          <w:b/>
          <w:i/>
          <w:sz w:val="24"/>
          <w:szCs w:val="24"/>
        </w:rPr>
        <w:t xml:space="preserve"> Cs</w:t>
      </w:r>
      <w:r w:rsidRPr="00250409">
        <w:rPr>
          <w:rFonts w:ascii="Times New Roman" w:eastAsia="Arial Unicode MS" w:hAnsi="Times New Roman"/>
          <w:b/>
          <w:sz w:val="24"/>
          <w:szCs w:val="24"/>
        </w:rPr>
        <w:t>Mb</w:t>
      </w: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  <w:r w:rsidRPr="00250409">
        <w:rPr>
          <w:rFonts w:ascii="Times New Roman" w:eastAsia="Arial Unicode MS" w:hAnsi="Times New Roman"/>
          <w:sz w:val="24"/>
          <w:szCs w:val="24"/>
        </w:rPr>
        <w:t xml:space="preserve">The gene of </w:t>
      </w:r>
      <w:bookmarkStart w:id="0" w:name="OLE_LINK1"/>
      <w:bookmarkStart w:id="1" w:name="OLE_LINK2"/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bookmarkEnd w:id="0"/>
      <w:bookmarkEnd w:id="1"/>
      <w:r w:rsidRPr="00250409">
        <w:rPr>
          <w:rFonts w:ascii="Times New Roman" w:eastAsia="Arial Unicode MS" w:hAnsi="Times New Roman"/>
          <w:sz w:val="24"/>
          <w:szCs w:val="24"/>
        </w:rPr>
        <w:t xml:space="preserve">Mb was amplified from our complementary DNA (cDNA) plasmid library of adult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C. sinensis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 by polymerase chain reaction (PCR) using primers containing restriction sites for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Bam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HI and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Xho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 I </w:t>
      </w:r>
      <w:bookmarkStart w:id="2" w:name="OLE_LINK7"/>
      <w:bookmarkStart w:id="3" w:name="OLE_LINK8"/>
      <w:r w:rsidRPr="00250409">
        <w:rPr>
          <w:rFonts w:ascii="Times New Roman" w:eastAsia="Arial Unicode MS" w:hAnsi="Times New Roman"/>
          <w:sz w:val="24"/>
          <w:szCs w:val="24"/>
        </w:rPr>
        <w:t>(Table 1)</w:t>
      </w:r>
      <w:bookmarkEnd w:id="2"/>
      <w:bookmarkEnd w:id="3"/>
      <w:r w:rsidRPr="00250409">
        <w:rPr>
          <w:rFonts w:ascii="Times New Roman" w:eastAsia="Arial Unicode MS" w:hAnsi="Times New Roman"/>
          <w:sz w:val="24"/>
          <w:szCs w:val="24"/>
        </w:rPr>
        <w:t xml:space="preserve">. The PCR products were cloned into a prokaryotic expression vector pET28a (+) (Novagen, USA). The nucleotide sequence of the recombinant plasmids were confirmed by DNA sequencing, after which the constructs were, transformed to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 xml:space="preserve">E. coli </w:t>
      </w:r>
      <w:r w:rsidRPr="00250409">
        <w:rPr>
          <w:rFonts w:ascii="Times New Roman" w:eastAsia="Arial Unicode MS" w:hAnsi="Times New Roman"/>
          <w:sz w:val="24"/>
          <w:szCs w:val="24"/>
        </w:rPr>
        <w:t>BL21 (DE3) competent cells. The r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>Mb protein was expressed in Luria–Bertani medium at 37</w:t>
      </w:r>
      <w:bookmarkStart w:id="4" w:name="OLE_LINK3"/>
      <w:bookmarkStart w:id="5" w:name="OLE_LINK4"/>
      <w:r w:rsidRPr="00AB482C">
        <w:rPr>
          <w:rFonts w:ascii="Times New Roman" w:eastAsia="Arial Unicode MS" w:hAnsi="Times New Roman"/>
          <w:sz w:val="24"/>
          <w:szCs w:val="24"/>
        </w:rPr>
        <w:t>℃</w:t>
      </w:r>
      <w:bookmarkEnd w:id="4"/>
      <w:bookmarkEnd w:id="5"/>
      <w:r w:rsidRPr="00250409">
        <w:rPr>
          <w:rFonts w:ascii="Times New Roman" w:eastAsia="Arial Unicode MS" w:hAnsi="Times New Roman"/>
          <w:sz w:val="24"/>
          <w:szCs w:val="24"/>
        </w:rPr>
        <w:t>. When the cell density reached an OD600 of about 0.8, the protein expression was induced with 1.0 mM isopropyl-</w:t>
      </w:r>
      <w:r w:rsidRPr="00250409">
        <w:rPr>
          <w:rStyle w:val="apple-style-span"/>
          <w:rFonts w:ascii="Times New Roman" w:eastAsia="Arial Unicode MS" w:hAnsi="Times New Roman"/>
          <w:color w:val="333333"/>
          <w:sz w:val="24"/>
          <w:szCs w:val="24"/>
        </w:rPr>
        <w:t>β</w:t>
      </w:r>
      <w:r w:rsidRPr="00250409">
        <w:rPr>
          <w:rFonts w:ascii="Times New Roman" w:eastAsia="Arial Unicode MS" w:hAnsi="Times New Roman"/>
          <w:sz w:val="24"/>
          <w:szCs w:val="24"/>
        </w:rPr>
        <w:t>-D-thiogalactopyranoside (IPTG) for 5 h at 37</w:t>
      </w:r>
      <w:r w:rsidRPr="00AB482C">
        <w:rPr>
          <w:rFonts w:ascii="Times New Roman" w:eastAsia="Arial Unicode MS" w:hAnsi="Times New Roman"/>
          <w:sz w:val="24"/>
          <w:szCs w:val="24"/>
        </w:rPr>
        <w:t>℃</w:t>
      </w:r>
      <w:r w:rsidRPr="00250409">
        <w:rPr>
          <w:rFonts w:ascii="Times New Roman" w:eastAsia="Arial Unicode MS" w:hAnsi="Times New Roman"/>
          <w:sz w:val="24"/>
          <w:szCs w:val="24"/>
        </w:rPr>
        <w:t>.</w:t>
      </w:r>
      <w:r w:rsidRPr="00250409">
        <w:rPr>
          <w:rFonts w:ascii="Times New Roman" w:eastAsia="Arial Unicode MS" w:hAnsi="Times New Roman"/>
          <w:i/>
          <w:sz w:val="24"/>
          <w:szCs w:val="24"/>
        </w:rPr>
        <w:t xml:space="preserve"> E. coli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 cells were harvested, sonicated and the r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Mb proteins were purified by nickel–nitrilotriacetic acid (Ni–NTA) agarose chromatography (Qiagen, USA). The final concentration of purified </w:t>
      </w:r>
      <w:bookmarkStart w:id="6" w:name="OLE_LINK5"/>
      <w:bookmarkStart w:id="7" w:name="OLE_LINK6"/>
      <w:r w:rsidRPr="00250409">
        <w:rPr>
          <w:rFonts w:ascii="Times New Roman" w:eastAsia="Arial Unicode MS" w:hAnsi="Times New Roman"/>
          <w:sz w:val="24"/>
          <w:szCs w:val="24"/>
        </w:rPr>
        <w:t>rCsM</w:t>
      </w:r>
      <w:bookmarkEnd w:id="6"/>
      <w:bookmarkEnd w:id="7"/>
      <w:r w:rsidRPr="00250409">
        <w:rPr>
          <w:rFonts w:ascii="Times New Roman" w:eastAsia="Arial Unicode MS" w:hAnsi="Times New Roman"/>
          <w:sz w:val="24"/>
          <w:szCs w:val="24"/>
        </w:rPr>
        <w:t>b was determined by bicinchoninic acid (BCA) protein assay kit (Novagen, USA). The molecular weights and purity of the proteins were examined by 12% SDS–PAGE under reducing conditions. The purified recombinant proteins were stored at −80 °C for later use.</w:t>
      </w: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250409">
        <w:rPr>
          <w:rFonts w:ascii="Times New Roman" w:eastAsia="Arial Unicode MS" w:hAnsi="Times New Roman"/>
          <w:b/>
          <w:sz w:val="24"/>
          <w:szCs w:val="24"/>
        </w:rPr>
        <w:t xml:space="preserve">Preparation of antiserum of recombinant </w:t>
      </w:r>
      <w:r w:rsidRPr="00250409">
        <w:rPr>
          <w:rFonts w:ascii="Times New Roman" w:eastAsia="Arial Unicode MS" w:hAnsi="Times New Roman"/>
          <w:b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b/>
          <w:sz w:val="24"/>
          <w:szCs w:val="24"/>
        </w:rPr>
        <w:t xml:space="preserve">Mb and </w:t>
      </w:r>
      <w:r w:rsidRPr="00250409">
        <w:rPr>
          <w:rFonts w:ascii="Times New Roman" w:eastAsia="Arial Unicode MS" w:hAnsi="Times New Roman"/>
          <w:b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b/>
          <w:sz w:val="24"/>
          <w:szCs w:val="24"/>
        </w:rPr>
        <w:t>ESPs</w:t>
      </w: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  <w:r w:rsidRPr="00250409">
        <w:rPr>
          <w:rFonts w:ascii="Times New Roman" w:eastAsia="Arial Unicode MS" w:hAnsi="Times New Roman"/>
          <w:sz w:val="24"/>
          <w:szCs w:val="24"/>
        </w:rPr>
        <w:t xml:space="preserve">Sprague–Dawley </w:t>
      </w:r>
      <w:bookmarkStart w:id="8" w:name="OLE_LINK17"/>
      <w:bookmarkStart w:id="9" w:name="OLE_LINK18"/>
      <w:r w:rsidRPr="00250409">
        <w:rPr>
          <w:rFonts w:ascii="Times New Roman" w:eastAsia="Arial Unicode MS" w:hAnsi="Times New Roman"/>
          <w:sz w:val="24"/>
          <w:szCs w:val="24"/>
        </w:rPr>
        <w:t>rat</w:t>
      </w:r>
      <w:bookmarkEnd w:id="8"/>
      <w:bookmarkEnd w:id="9"/>
      <w:r w:rsidRPr="00250409">
        <w:rPr>
          <w:rFonts w:ascii="Times New Roman" w:eastAsia="Arial Unicode MS" w:hAnsi="Times New Roman"/>
          <w:sz w:val="24"/>
          <w:szCs w:val="24"/>
        </w:rPr>
        <w:t>s were purchased from animal center of Sun Yat-sen University. The r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Mb or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ESPs (50 μg of protein for each rat) was emulsified with equivalent </w:t>
      </w:r>
      <w:r w:rsidRPr="00250409">
        <w:rPr>
          <w:rFonts w:ascii="Times New Roman" w:eastAsia="Arial Unicode MS" w:hAnsi="Times New Roman"/>
          <w:sz w:val="24"/>
          <w:szCs w:val="24"/>
        </w:rPr>
        <w:lastRenderedPageBreak/>
        <w:t>complete Freund adjuvant and subcutaneously immunized. Subsequently each rat was given 25 μg of proteins for 3 booster injections at 2-week interval. Antiserum was collected at the 8</w:t>
      </w:r>
      <w:r w:rsidRPr="00250409">
        <w:rPr>
          <w:rFonts w:ascii="Times New Roman" w:eastAsia="Arial Unicode MS" w:hAnsi="Times New Roman"/>
          <w:sz w:val="24"/>
          <w:szCs w:val="24"/>
          <w:vertAlign w:val="superscript"/>
        </w:rPr>
        <w:t>th</w:t>
      </w:r>
      <w:r w:rsidRPr="00250409">
        <w:rPr>
          <w:rFonts w:ascii="Times New Roman" w:eastAsia="Arial Unicode MS" w:hAnsi="Times New Roman"/>
          <w:sz w:val="24"/>
          <w:szCs w:val="24"/>
        </w:rPr>
        <w:t>-weeks. The antibody titer was determined by enzyme-linked immunosorbent assay (ELISA).</w:t>
      </w:r>
    </w:p>
    <w:p w:rsidR="00E949BD" w:rsidRPr="00250409" w:rsidRDefault="00E949BD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p w:rsidR="00571037" w:rsidRDefault="007365E7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eastAsia="Arial Unicode MS" w:hAnsi="Times New Roman"/>
          <w:b/>
          <w:noProof/>
          <w:sz w:val="24"/>
          <w:szCs w:val="24"/>
        </w:rPr>
        <w:drawing>
          <wp:inline distT="0" distB="0" distL="0" distR="0">
            <wp:extent cx="5274310" cy="3731260"/>
            <wp:effectExtent l="19050" t="0" r="2540" b="0"/>
            <wp:docPr id="1" name="图片 0" descr="fig.S1 Stage-specifi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1 Stage-specific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040" w:rsidRPr="00974040" w:rsidRDefault="00974040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974040">
        <w:rPr>
          <w:rFonts w:ascii="Times New Roman" w:eastAsia="Arial Unicode MS" w:hAnsi="Times New Roman"/>
          <w:b/>
          <w:sz w:val="24"/>
          <w:szCs w:val="24"/>
        </w:rPr>
        <w:t xml:space="preserve">Fig. </w:t>
      </w:r>
      <w:r w:rsidRPr="00974040">
        <w:rPr>
          <w:rFonts w:ascii="Times New Roman" w:eastAsia="Arial Unicode MS" w:hAnsi="Times New Roman" w:hint="eastAsia"/>
          <w:b/>
          <w:sz w:val="24"/>
          <w:szCs w:val="24"/>
        </w:rPr>
        <w:t>S1</w:t>
      </w:r>
    </w:p>
    <w:p w:rsidR="00974040" w:rsidRPr="00250409" w:rsidRDefault="00974040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  <w:r w:rsidRPr="00384BC0">
        <w:rPr>
          <w:rFonts w:ascii="Times New Roman" w:eastAsia="Arial Unicode MS" w:hAnsi="Times New Roman"/>
          <w:b/>
          <w:sz w:val="24"/>
          <w:szCs w:val="24"/>
        </w:rPr>
        <w:t xml:space="preserve">Quantitative real-time PCR analysis of </w:t>
      </w:r>
      <w:r w:rsidRPr="00384BC0">
        <w:rPr>
          <w:rFonts w:ascii="Times New Roman" w:eastAsia="Arial Unicode MS" w:hAnsi="Times New Roman"/>
          <w:b/>
          <w:i/>
          <w:sz w:val="24"/>
          <w:szCs w:val="24"/>
        </w:rPr>
        <w:t>Cs</w:t>
      </w:r>
      <w:r w:rsidRPr="00384BC0">
        <w:rPr>
          <w:rFonts w:ascii="Times New Roman" w:eastAsia="Arial Unicode MS" w:hAnsi="Times New Roman"/>
          <w:b/>
          <w:sz w:val="24"/>
          <w:szCs w:val="24"/>
        </w:rPr>
        <w:t xml:space="preserve">Mb at different life cycle stages of </w:t>
      </w:r>
      <w:r w:rsidRPr="00384BC0">
        <w:rPr>
          <w:rFonts w:ascii="Times New Roman" w:eastAsia="Arial Unicode MS" w:hAnsi="Times New Roman"/>
          <w:b/>
          <w:i/>
          <w:sz w:val="24"/>
          <w:szCs w:val="24"/>
        </w:rPr>
        <w:t>C. sinensis</w:t>
      </w:r>
      <w:r w:rsidRPr="00384BC0">
        <w:rPr>
          <w:rFonts w:ascii="Times New Roman" w:eastAsia="Arial Unicode MS" w:hAnsi="Times New Roman"/>
          <w:b/>
          <w:sz w:val="24"/>
          <w:szCs w:val="24"/>
        </w:rPr>
        <w:t xml:space="preserve">. 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>The transcript</w:t>
      </w:r>
      <w:r w:rsidR="006F58F5">
        <w:rPr>
          <w:rFonts w:ascii="Times New Roman" w:eastAsia="Arial Unicode MS" w:hAnsi="Times New Roman" w:hint="eastAsia"/>
          <w:sz w:val="24"/>
          <w:szCs w:val="24"/>
        </w:rPr>
        <w:t>s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 of </w:t>
      </w:r>
      <w:r w:rsidR="006F58F5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Mb </w:t>
      </w:r>
      <w:r w:rsidR="006F58F5">
        <w:rPr>
          <w:rFonts w:ascii="Times New Roman" w:eastAsia="Arial Unicode MS" w:hAnsi="Times New Roman" w:hint="eastAsia"/>
          <w:sz w:val="24"/>
          <w:szCs w:val="24"/>
        </w:rPr>
        <w:t>were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 detected in four developmental stages of </w:t>
      </w:r>
      <w:r w:rsidR="006F58F5" w:rsidRPr="00250409">
        <w:rPr>
          <w:rFonts w:ascii="Times New Roman" w:eastAsia="Arial Unicode MS" w:hAnsi="Times New Roman"/>
          <w:i/>
          <w:sz w:val="24"/>
          <w:szCs w:val="24"/>
        </w:rPr>
        <w:t>C. sinensis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 including adult worms, metacercariae, </w:t>
      </w:r>
      <w:bookmarkStart w:id="10" w:name="OLE_LINK9"/>
      <w:bookmarkStart w:id="11" w:name="OLE_LINK10"/>
      <w:r w:rsidR="006F58F5" w:rsidRPr="00250409">
        <w:rPr>
          <w:rFonts w:ascii="Times New Roman" w:eastAsia="Arial Unicode MS" w:hAnsi="Times New Roman"/>
          <w:sz w:val="24"/>
          <w:szCs w:val="24"/>
        </w:rPr>
        <w:t>excysted metacercariae and eggs</w:t>
      </w:r>
      <w:bookmarkEnd w:id="10"/>
      <w:bookmarkEnd w:id="11"/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. Transcription of excysted metacercariae was set as a calibrator to measure the relative </w:t>
      </w:r>
      <w:r w:rsidR="006F58F5">
        <w:rPr>
          <w:rFonts w:ascii="Times New Roman" w:eastAsia="Arial Unicode MS" w:hAnsi="Times New Roman" w:hint="eastAsia"/>
          <w:sz w:val="24"/>
          <w:szCs w:val="24"/>
        </w:rPr>
        <w:t>mRNA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 levels of </w:t>
      </w:r>
      <w:r w:rsidR="006F58F5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6F58F5" w:rsidRPr="00250409">
        <w:rPr>
          <w:rFonts w:ascii="Times New Roman" w:eastAsia="Arial Unicode MS" w:hAnsi="Times New Roman"/>
          <w:sz w:val="24"/>
          <w:szCs w:val="24"/>
        </w:rPr>
        <w:t xml:space="preserve">Mb in other stages. 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The transcription levels of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Mb at life stages of adult worm, metacercaria, excysted metacercariae and eggs </w:t>
      </w:r>
      <w:bookmarkStart w:id="12" w:name="OLE_LINK232"/>
      <w:bookmarkStart w:id="13" w:name="OLE_LINK233"/>
      <w:r w:rsidRPr="00250409">
        <w:rPr>
          <w:rFonts w:ascii="Times New Roman" w:eastAsia="Arial Unicode MS" w:hAnsi="Times New Roman"/>
          <w:sz w:val="24"/>
          <w:szCs w:val="24"/>
        </w:rPr>
        <w:t>are analyzed by means of the 2</w:t>
      </w:r>
      <w:r w:rsidRPr="00250409">
        <w:rPr>
          <w:rFonts w:ascii="Times New Roman" w:eastAsia="Arial Unicode MS" w:hAnsi="Times New Roman"/>
          <w:sz w:val="24"/>
          <w:szCs w:val="24"/>
          <w:vertAlign w:val="superscript"/>
        </w:rPr>
        <w:t>−ΔΔCT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 ratio, with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>β-actin serving as the internal standard.</w:t>
      </w:r>
      <w:bookmarkEnd w:id="12"/>
      <w:bookmarkEnd w:id="13"/>
      <w:r w:rsidRPr="00250409">
        <w:rPr>
          <w:rFonts w:ascii="Times New Roman" w:eastAsia="Arial Unicode MS" w:hAnsi="Times New Roman"/>
          <w:sz w:val="24"/>
          <w:szCs w:val="24"/>
        </w:rPr>
        <w:t xml:space="preserve">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Mb showed a </w:t>
      </w:r>
      <w:r w:rsidRPr="00250409">
        <w:rPr>
          <w:rFonts w:ascii="Times New Roman" w:eastAsia="Arial Unicode MS" w:hAnsi="Times New Roman"/>
          <w:sz w:val="24"/>
          <w:szCs w:val="24"/>
        </w:rPr>
        <w:lastRenderedPageBreak/>
        <w:t xml:space="preserve">significantly higher transcription level at the stage of adult worm than </w:t>
      </w:r>
      <w:r>
        <w:rPr>
          <w:rFonts w:ascii="Times New Roman" w:eastAsia="Arial Unicode MS" w:hAnsi="Times New Roman" w:hint="eastAsia"/>
          <w:sz w:val="24"/>
          <w:szCs w:val="24"/>
        </w:rPr>
        <w:t xml:space="preserve">those of 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excysted metacercariae (154.1-fold; </w:t>
      </w:r>
      <w:r w:rsidRPr="00384BC0">
        <w:rPr>
          <w:rFonts w:ascii="Times New Roman" w:eastAsia="Arial Unicode MS" w:hAnsi="Times New Roman"/>
          <w:i/>
          <w:sz w:val="24"/>
          <w:szCs w:val="24"/>
        </w:rPr>
        <w:t>p</w:t>
      </w:r>
      <w:r w:rsidRPr="00250409">
        <w:rPr>
          <w:rFonts w:ascii="Times New Roman" w:eastAsia="Arial Unicode MS" w:hAnsi="Times New Roman"/>
          <w:sz w:val="24"/>
          <w:szCs w:val="24"/>
        </w:rPr>
        <w:t> &lt; 0.01)</w:t>
      </w:r>
      <w:r>
        <w:rPr>
          <w:rFonts w:ascii="Times New Roman" w:eastAsia="Arial Unicode MS" w:hAnsi="Times New Roman" w:hint="eastAsia"/>
          <w:sz w:val="24"/>
          <w:szCs w:val="24"/>
        </w:rPr>
        <w:t xml:space="preserve">, 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metacercariae (24.5-fold; </w:t>
      </w:r>
      <w:r w:rsidRPr="00384BC0">
        <w:rPr>
          <w:rFonts w:ascii="Times New Roman" w:eastAsia="Arial Unicode MS" w:hAnsi="Times New Roman"/>
          <w:i/>
          <w:sz w:val="24"/>
          <w:szCs w:val="24"/>
        </w:rPr>
        <w:t>p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 &lt; 0.01), and eggs (1.7-fold; </w:t>
      </w:r>
      <w:r w:rsidRPr="00384BC0">
        <w:rPr>
          <w:rFonts w:ascii="Times New Roman" w:eastAsia="Arial Unicode MS" w:hAnsi="Times New Roman"/>
          <w:i/>
          <w:sz w:val="24"/>
          <w:szCs w:val="24"/>
        </w:rPr>
        <w:t>p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 &lt; 0.01). </w:t>
      </w:r>
      <w:r>
        <w:rPr>
          <w:rFonts w:ascii="Times New Roman" w:eastAsia="Arial Unicode MS" w:hAnsi="Times New Roman" w:hint="eastAsia"/>
          <w:sz w:val="24"/>
          <w:szCs w:val="24"/>
        </w:rPr>
        <w:t>T</w:t>
      </w:r>
      <w:r w:rsidRPr="00250409">
        <w:rPr>
          <w:rFonts w:ascii="Times New Roman" w:eastAsia="Arial Unicode MS" w:hAnsi="Times New Roman"/>
          <w:sz w:val="24"/>
          <w:szCs w:val="24"/>
        </w:rPr>
        <w:t>ranscript</w:t>
      </w:r>
      <w:r>
        <w:rPr>
          <w:rFonts w:ascii="Times New Roman" w:eastAsia="Arial Unicode MS" w:hAnsi="Times New Roman" w:hint="eastAsia"/>
          <w:sz w:val="24"/>
          <w:szCs w:val="24"/>
        </w:rPr>
        <w:t>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 of </w:t>
      </w:r>
      <w:r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Mb </w:t>
      </w:r>
      <w:r>
        <w:rPr>
          <w:rFonts w:ascii="Times New Roman" w:eastAsia="Arial Unicode MS" w:hAnsi="Times New Roman" w:hint="eastAsia"/>
          <w:sz w:val="24"/>
          <w:szCs w:val="24"/>
        </w:rPr>
        <w:t>were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 much higher in </w:t>
      </w:r>
      <w:bookmarkStart w:id="14" w:name="OLE_LINK137"/>
      <w:bookmarkStart w:id="15" w:name="OLE_LINK138"/>
      <w:r w:rsidRPr="00250409">
        <w:rPr>
          <w:rFonts w:ascii="Times New Roman" w:eastAsia="Arial Unicode MS" w:hAnsi="Times New Roman"/>
          <w:sz w:val="24"/>
          <w:szCs w:val="24"/>
        </w:rPr>
        <w:t>eggs</w:t>
      </w:r>
      <w:bookmarkEnd w:id="14"/>
      <w:bookmarkEnd w:id="15"/>
      <w:r w:rsidRPr="00250409">
        <w:rPr>
          <w:rFonts w:ascii="Times New Roman" w:eastAsia="Arial Unicode MS" w:hAnsi="Times New Roman"/>
          <w:sz w:val="24"/>
          <w:szCs w:val="24"/>
        </w:rPr>
        <w:t xml:space="preserve"> than </w:t>
      </w:r>
      <w:r>
        <w:rPr>
          <w:rFonts w:ascii="Times New Roman" w:eastAsia="Arial Unicode MS" w:hAnsi="Times New Roman" w:hint="eastAsia"/>
          <w:sz w:val="24"/>
          <w:szCs w:val="24"/>
        </w:rPr>
        <w:t xml:space="preserve">in </w:t>
      </w:r>
      <w:r w:rsidRPr="00250409">
        <w:rPr>
          <w:rFonts w:ascii="Times New Roman" w:eastAsia="Arial Unicode MS" w:hAnsi="Times New Roman"/>
          <w:sz w:val="24"/>
          <w:szCs w:val="24"/>
        </w:rPr>
        <w:t>excysted metacercariae (88.9-fold;</w:t>
      </w:r>
      <w:r w:rsidRPr="00384BC0">
        <w:rPr>
          <w:rFonts w:ascii="Times New Roman" w:eastAsia="Arial Unicode MS" w:hAnsi="Times New Roman"/>
          <w:i/>
          <w:sz w:val="24"/>
          <w:szCs w:val="24"/>
        </w:rPr>
        <w:t xml:space="preserve"> p</w:t>
      </w:r>
      <w:r w:rsidRPr="00250409">
        <w:rPr>
          <w:rFonts w:ascii="Times New Roman" w:eastAsia="Arial Unicode MS" w:hAnsi="Times New Roman"/>
          <w:sz w:val="24"/>
          <w:szCs w:val="24"/>
        </w:rPr>
        <w:t xml:space="preserve"> &lt; 0.01) and metacercariae (14.1-fold; </w:t>
      </w:r>
      <w:r w:rsidRPr="00384BC0">
        <w:rPr>
          <w:rFonts w:ascii="Times New Roman" w:eastAsia="Arial Unicode MS" w:hAnsi="Times New Roman"/>
          <w:i/>
          <w:sz w:val="24"/>
          <w:szCs w:val="24"/>
        </w:rPr>
        <w:t>p</w:t>
      </w:r>
      <w:r w:rsidRPr="00250409">
        <w:rPr>
          <w:rFonts w:ascii="Times New Roman" w:eastAsia="Arial Unicode MS" w:hAnsi="Times New Roman"/>
          <w:sz w:val="24"/>
          <w:szCs w:val="24"/>
        </w:rPr>
        <w:t> &lt; 0.01)</w:t>
      </w:r>
      <w:r>
        <w:rPr>
          <w:rFonts w:ascii="Times New Roman" w:eastAsia="Arial Unicode MS" w:hAnsi="Times New Roman" w:hint="eastAsia"/>
          <w:sz w:val="24"/>
          <w:szCs w:val="24"/>
        </w:rPr>
        <w:t xml:space="preserve">. </w:t>
      </w:r>
      <w:r w:rsidRPr="00250409">
        <w:rPr>
          <w:rFonts w:ascii="Times New Roman" w:eastAsia="Arial Unicode MS" w:hAnsi="Times New Roman"/>
          <w:sz w:val="24"/>
          <w:szCs w:val="24"/>
        </w:rPr>
        <w:t>*</w:t>
      </w:r>
      <w:r>
        <w:rPr>
          <w:rFonts w:ascii="Times New Roman" w:eastAsia="Arial Unicode MS" w:hAnsi="Times New Roman" w:hint="eastAsia"/>
          <w:sz w:val="24"/>
          <w:szCs w:val="24"/>
        </w:rPr>
        <w:t xml:space="preserve"> indicates </w:t>
      </w:r>
      <w:r w:rsidRPr="00384BC0">
        <w:rPr>
          <w:rFonts w:ascii="Times New Roman" w:eastAsia="Arial Unicode MS" w:hAnsi="Times New Roman" w:hint="eastAsia"/>
          <w:i/>
          <w:sz w:val="24"/>
          <w:szCs w:val="24"/>
        </w:rPr>
        <w:t>p</w:t>
      </w:r>
      <w:r w:rsidRPr="00250409">
        <w:rPr>
          <w:rFonts w:ascii="Times New Roman" w:eastAsia="Arial Unicode MS" w:hAnsi="Times New Roman"/>
          <w:sz w:val="24"/>
          <w:szCs w:val="24"/>
        </w:rPr>
        <w:t> </w:t>
      </w:r>
      <w:r>
        <w:rPr>
          <w:rFonts w:ascii="Times New Roman" w:eastAsia="Arial Unicode MS" w:hAnsi="Times New Roman"/>
          <w:sz w:val="24"/>
          <w:szCs w:val="24"/>
        </w:rPr>
        <w:t>&lt; 0.01</w:t>
      </w:r>
      <w:r w:rsidRPr="00250409">
        <w:rPr>
          <w:rFonts w:ascii="Times New Roman" w:eastAsia="Arial Unicode MS" w:hAnsi="Times New Roman"/>
          <w:sz w:val="24"/>
          <w:szCs w:val="24"/>
        </w:rPr>
        <w:t>.</w:t>
      </w:r>
      <w:r w:rsidRPr="00250409">
        <w:rPr>
          <w:rFonts w:ascii="Times New Roman" w:hAnsi="Times New Roman"/>
          <w:sz w:val="24"/>
          <w:szCs w:val="24"/>
        </w:rPr>
        <w:t xml:space="preserve"> </w:t>
      </w:r>
      <w:r w:rsidRPr="00250409">
        <w:rPr>
          <w:rFonts w:ascii="Times New Roman" w:eastAsia="Arial Unicode MS" w:hAnsi="Times New Roman"/>
          <w:sz w:val="24"/>
          <w:szCs w:val="24"/>
        </w:rPr>
        <w:t>No difference was detected between adult worm and eggs (</w:t>
      </w:r>
      <w:r w:rsidRPr="00384BC0">
        <w:rPr>
          <w:rFonts w:ascii="Times New Roman" w:eastAsia="Arial Unicode MS" w:hAnsi="Times New Roman"/>
          <w:i/>
          <w:sz w:val="24"/>
          <w:szCs w:val="24"/>
        </w:rPr>
        <w:t>p</w:t>
      </w:r>
      <w:r w:rsidRPr="00250409">
        <w:rPr>
          <w:rFonts w:ascii="Times New Roman" w:eastAsia="Arial Unicode MS" w:hAnsi="Times New Roman"/>
          <w:sz w:val="24"/>
          <w:szCs w:val="24"/>
        </w:rPr>
        <w:t> &gt; 0.05)</w:t>
      </w:r>
    </w:p>
    <w:p w:rsidR="00974040" w:rsidRDefault="00974040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p w:rsidR="00AB482C" w:rsidRDefault="00AB482C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eastAsia="Arial Unicode MS" w:hAnsi="Times New Roman" w:hint="eastAsia"/>
          <w:b/>
          <w:noProof/>
          <w:sz w:val="24"/>
          <w:szCs w:val="24"/>
        </w:rPr>
        <w:drawing>
          <wp:inline distT="0" distB="0" distL="0" distR="0">
            <wp:extent cx="3936563" cy="3076575"/>
            <wp:effectExtent l="19050" t="0" r="6787" b="0"/>
            <wp:docPr id="2" name="图片 0" descr="fig.S2 Identification of CsMb as a component of CsESP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2 Identification of CsMb as a component of CsESPs.tif"/>
                    <pic:cNvPicPr/>
                  </pic:nvPicPr>
                  <pic:blipFill>
                    <a:blip r:embed="rId7"/>
                    <a:srcRect l="24685" t="19540" r="12120" b="8752"/>
                    <a:stretch>
                      <a:fillRect/>
                    </a:stretch>
                  </pic:blipFill>
                  <pic:spPr>
                    <a:xfrm>
                      <a:off x="0" y="0"/>
                      <a:ext cx="3936563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82C" w:rsidRPr="00384BC0" w:rsidRDefault="00AB482C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384BC0">
        <w:rPr>
          <w:rFonts w:ascii="Times New Roman" w:eastAsia="Arial Unicode MS" w:hAnsi="Times New Roman"/>
          <w:b/>
          <w:sz w:val="24"/>
          <w:szCs w:val="24"/>
        </w:rPr>
        <w:t xml:space="preserve">Fig. </w:t>
      </w:r>
      <w:r>
        <w:rPr>
          <w:rFonts w:ascii="Times New Roman" w:eastAsia="Arial Unicode MS" w:hAnsi="Times New Roman" w:hint="eastAsia"/>
          <w:b/>
          <w:sz w:val="24"/>
          <w:szCs w:val="24"/>
        </w:rPr>
        <w:t>S2</w:t>
      </w:r>
    </w:p>
    <w:p w:rsidR="00AB482C" w:rsidRDefault="0071751B" w:rsidP="00FA153A">
      <w:pPr>
        <w:spacing w:line="480" w:lineRule="auto"/>
      </w:pPr>
      <w:bookmarkStart w:id="16" w:name="OLE_LINK279"/>
      <w:bookmarkStart w:id="17" w:name="OLE_LINK280"/>
      <w:r>
        <w:rPr>
          <w:rStyle w:val="a7"/>
          <w:rFonts w:ascii="inherit" w:hAnsi="inherit"/>
          <w:color w:val="000000"/>
          <w:sz w:val="23"/>
          <w:szCs w:val="23"/>
          <w:bdr w:val="none" w:sz="0" w:space="0" w:color="auto" w:frame="1"/>
        </w:rPr>
        <w:t>Determination of</w:t>
      </w:r>
      <w:r>
        <w:rPr>
          <w:rStyle w:val="apple-converted-space"/>
          <w:rFonts w:ascii="inherit" w:hAnsi="inherit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Style w:val="a8"/>
          <w:rFonts w:ascii="inherit" w:hAnsi="inherit"/>
          <w:b/>
          <w:bCs/>
          <w:color w:val="000000"/>
          <w:sz w:val="23"/>
          <w:szCs w:val="23"/>
          <w:bdr w:val="none" w:sz="0" w:space="0" w:color="auto" w:frame="1"/>
        </w:rPr>
        <w:t>Cs</w:t>
      </w:r>
      <w:r>
        <w:rPr>
          <w:rStyle w:val="a7"/>
          <w:rFonts w:ascii="inherit" w:hAnsi="inherit" w:hint="eastAsia"/>
          <w:color w:val="000000"/>
          <w:sz w:val="23"/>
          <w:szCs w:val="23"/>
          <w:bdr w:val="none" w:sz="0" w:space="0" w:color="auto" w:frame="1"/>
        </w:rPr>
        <w:t>Mb</w:t>
      </w:r>
      <w:r>
        <w:rPr>
          <w:rStyle w:val="a7"/>
          <w:rFonts w:ascii="inherit" w:hAnsi="inherit"/>
          <w:color w:val="000000"/>
          <w:sz w:val="23"/>
          <w:szCs w:val="23"/>
          <w:bdr w:val="none" w:sz="0" w:space="0" w:color="auto" w:frame="1"/>
        </w:rPr>
        <w:t xml:space="preserve"> as a component of</w:t>
      </w:r>
      <w:r>
        <w:rPr>
          <w:rStyle w:val="apple-converted-space"/>
          <w:rFonts w:ascii="inherit" w:hAnsi="inherit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Style w:val="a8"/>
          <w:rFonts w:ascii="inherit" w:hAnsi="inherit"/>
          <w:b/>
          <w:bCs/>
          <w:color w:val="000000"/>
          <w:sz w:val="23"/>
          <w:szCs w:val="23"/>
          <w:bdr w:val="none" w:sz="0" w:space="0" w:color="auto" w:frame="1"/>
        </w:rPr>
        <w:t>C. Sinensis</w:t>
      </w:r>
      <w:r>
        <w:rPr>
          <w:rStyle w:val="apple-converted-space"/>
          <w:rFonts w:ascii="inherit" w:hAnsi="inherit"/>
          <w:b/>
          <w:bCs/>
          <w:i/>
          <w:iCs/>
          <w:color w:val="000000"/>
          <w:sz w:val="23"/>
          <w:szCs w:val="23"/>
          <w:bdr w:val="none" w:sz="0" w:space="0" w:color="auto" w:frame="1"/>
        </w:rPr>
        <w:t> </w:t>
      </w:r>
      <w:r>
        <w:rPr>
          <w:rStyle w:val="a7"/>
          <w:rFonts w:ascii="inherit" w:hAnsi="inherit"/>
          <w:color w:val="000000"/>
          <w:sz w:val="23"/>
          <w:szCs w:val="23"/>
          <w:bdr w:val="none" w:sz="0" w:space="0" w:color="auto" w:frame="1"/>
        </w:rPr>
        <w:t>ESPs.</w:t>
      </w:r>
      <w:r w:rsidR="00AB482C">
        <w:rPr>
          <w:rFonts w:ascii="Times New Roman" w:eastAsia="Arial Unicode MS" w:hAnsi="Times New Roman" w:hint="eastAsia"/>
          <w:sz w:val="24"/>
          <w:szCs w:val="24"/>
        </w:rPr>
        <w:t xml:space="preserve"> </w:t>
      </w:r>
      <w:bookmarkEnd w:id="16"/>
      <w:bookmarkEnd w:id="17"/>
      <w:r w:rsidR="00AB482C" w:rsidRPr="00250409">
        <w:rPr>
          <w:rFonts w:ascii="Times New Roman" w:eastAsia="Arial Unicode MS" w:hAnsi="Times New Roman"/>
          <w:sz w:val="24"/>
          <w:szCs w:val="24"/>
        </w:rPr>
        <w:t xml:space="preserve">Recombinant 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>Mb was probed with anti-His tag monoclonal antibody, rat anti-r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 xml:space="preserve">Mb serum, or serum from 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C. sinensis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 xml:space="preserve"> infected rat by western blotting (lane 1, lane 2 and lane 3). </w:t>
      </w:r>
      <w:r w:rsidR="00AB482C">
        <w:rPr>
          <w:rFonts w:ascii="Times New Roman" w:eastAsia="Arial Unicode MS" w:hAnsi="Times New Roman" w:hint="eastAsia"/>
          <w:sz w:val="24"/>
          <w:szCs w:val="24"/>
        </w:rPr>
        <w:t>R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 xml:space="preserve">at </w:t>
      </w:r>
      <w:r w:rsidR="00AB482C">
        <w:rPr>
          <w:rFonts w:ascii="Times New Roman" w:eastAsia="Arial Unicode MS" w:hAnsi="Times New Roman" w:hint="eastAsia"/>
          <w:sz w:val="24"/>
          <w:szCs w:val="24"/>
        </w:rPr>
        <w:t>a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>nti-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>ESP serum could specifically recognize r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 xml:space="preserve">Mb (lane 4). In addition, 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>ESPs was probed with rat anti-r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>Mb serum at 18kDa (lane 5). Either r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 xml:space="preserve">Mb or </w:t>
      </w:r>
      <w:r w:rsidR="00AB482C" w:rsidRPr="00250409">
        <w:rPr>
          <w:rFonts w:ascii="Times New Roman" w:eastAsia="Arial Unicode MS" w:hAnsi="Times New Roman"/>
          <w:i/>
          <w:sz w:val="24"/>
          <w:szCs w:val="24"/>
        </w:rPr>
        <w:t>Cs</w:t>
      </w:r>
      <w:r w:rsidR="00AB482C" w:rsidRPr="00250409">
        <w:rPr>
          <w:rFonts w:ascii="Times New Roman" w:eastAsia="Arial Unicode MS" w:hAnsi="Times New Roman"/>
          <w:sz w:val="24"/>
          <w:szCs w:val="24"/>
        </w:rPr>
        <w:t>ESPs could not be probed with naive rat serum (lane 6, lane 7).</w:t>
      </w:r>
    </w:p>
    <w:p w:rsidR="00AB482C" w:rsidRPr="00974040" w:rsidRDefault="00AB482C" w:rsidP="00FA153A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974040">
        <w:rPr>
          <w:rFonts w:ascii="Times New Roman" w:eastAsia="Arial Unicode MS" w:hAnsi="Times New Roman"/>
          <w:b/>
          <w:sz w:val="24"/>
          <w:szCs w:val="24"/>
        </w:rPr>
        <w:lastRenderedPageBreak/>
        <w:t>Table</w:t>
      </w:r>
      <w:r w:rsidR="006878F2">
        <w:rPr>
          <w:rFonts w:ascii="Times New Roman" w:eastAsia="Arial Unicode MS" w:hAnsi="Times New Roman" w:hint="eastAsia"/>
          <w:b/>
          <w:sz w:val="24"/>
          <w:szCs w:val="24"/>
        </w:rPr>
        <w:t xml:space="preserve"> S1</w:t>
      </w:r>
      <w:r w:rsidRPr="00974040">
        <w:rPr>
          <w:rFonts w:ascii="Times New Roman" w:eastAsia="Arial Unicode MS" w:hAnsi="Times New Roman"/>
          <w:b/>
          <w:sz w:val="24"/>
          <w:szCs w:val="24"/>
        </w:rPr>
        <w:t>:</w:t>
      </w:r>
      <w:r w:rsidRPr="00974040">
        <w:rPr>
          <w:rFonts w:ascii="Times New Roman" w:eastAsia="Arial Unicode MS" w:hAnsi="Times New Roman" w:hint="eastAsia"/>
          <w:b/>
          <w:sz w:val="24"/>
          <w:szCs w:val="24"/>
        </w:rPr>
        <w:t xml:space="preserve"> Sequences information of homologues from other species</w:t>
      </w:r>
    </w:p>
    <w:p w:rsidR="00AB482C" w:rsidRPr="00250409" w:rsidRDefault="00AB482C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12"/>
        <w:gridCol w:w="2267"/>
        <w:gridCol w:w="2103"/>
        <w:gridCol w:w="2240"/>
      </w:tblGrid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bookmarkStart w:id="18" w:name="_Hlk367476143"/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Organism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Common name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Abbreviation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Accession no.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19" w:name="OLE_LINK265"/>
            <w:bookmarkStart w:id="20" w:name="OLE_LINK266"/>
            <w:bookmarkEnd w:id="18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Auxis rochei</w:t>
            </w:r>
            <w:bookmarkEnd w:id="19"/>
            <w:bookmarkEnd w:id="20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bullet tuna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A. rochei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BAD23846.1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Ascaris suum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Large roundworm of pigs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A.suum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 xml:space="preserve">P49672.1 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21" w:name="_Hlk367476251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Bos taurus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cattle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B.taurus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NP_776306.1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22" w:name="OLE_LINK269"/>
            <w:bookmarkStart w:id="23" w:name="OLE_LINK270"/>
            <w:bookmarkEnd w:id="21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Callorhinchus milii</w:t>
            </w:r>
            <w:bookmarkEnd w:id="22"/>
            <w:bookmarkEnd w:id="23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Elephant Shark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C. milii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AFM87716.1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24" w:name="_Hlk367476940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Canis lupus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Wolf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C.lupus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P63113.2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25" w:name="OLE_LINK271"/>
            <w:bookmarkStart w:id="26" w:name="OLE_LINK272"/>
            <w:bookmarkEnd w:id="24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Caretta caretta</w:t>
            </w:r>
            <w:bookmarkEnd w:id="25"/>
            <w:bookmarkEnd w:id="26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loggerhead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C.caretta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P56208.2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27" w:name="_Hlk367477128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Clonorchis sinensis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Chinese liver fluke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C.sinensis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AAM18464.1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28" w:name="OLE_LINK267"/>
            <w:bookmarkStart w:id="29" w:name="OLE_LINK268"/>
            <w:bookmarkStart w:id="30" w:name="_Hlk367477195"/>
            <w:bookmarkEnd w:id="27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Danio rerio</w:t>
            </w:r>
            <w:bookmarkEnd w:id="28"/>
            <w:bookmarkEnd w:id="29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zebra fish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D.rerio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AAH56727.1</w:t>
            </w:r>
          </w:p>
        </w:tc>
      </w:tr>
      <w:bookmarkEnd w:id="30"/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Equus burchellii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Plains Zebra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E.burchellii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P68083.2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31" w:name="OLE_LINK263"/>
            <w:bookmarkStart w:id="32" w:name="OLE_LINK264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Galeorhinus galeus</w:t>
            </w:r>
            <w:bookmarkEnd w:id="31"/>
            <w:bookmarkEnd w:id="32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school shark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G.galeus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P14397.2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33" w:name="OLE_LINK275"/>
            <w:bookmarkStart w:id="34" w:name="OLE_LINK276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Gallus gallus</w:t>
            </w:r>
            <w:bookmarkEnd w:id="33"/>
            <w:bookmarkEnd w:id="34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Chicken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G.gallus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P02197.4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35" w:name="_Hlk367477645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Haloferax lucentense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H.lucentense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WP_004063165.1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36" w:name="_Hlk367477797"/>
            <w:bookmarkEnd w:id="35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Haloferax prahovense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H.prahovense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WP_008093645.1</w:t>
            </w:r>
          </w:p>
        </w:tc>
      </w:tr>
      <w:bookmarkEnd w:id="36"/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lastRenderedPageBreak/>
              <w:t>Haloferax volcanii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H.volcanii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WP_004041552.1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Halogranum salarium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 salarium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WP_009365573.1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Hemitriakis japanica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Japanese tope shark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H.japanica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P14398.2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Heterodontus portusjacksoni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Port Jackson Shark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H.portusjacksoni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P02206.2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Homo sapiens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human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H.sapiens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AAH14547.1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37" w:name="OLE_LINK273"/>
            <w:bookmarkStart w:id="38" w:name="OLE_LINK274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Iguana iguana</w:t>
            </w:r>
            <w:bookmarkEnd w:id="37"/>
            <w:bookmarkEnd w:id="38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Green Iguana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I.iguana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ABN71515.1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Isoparorchis hypselobagri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I.hypselobagri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P80722.2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Macaca mulatta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Rhesus Macaque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M.mulatta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XP_001081975.2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Mus musculus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mouse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M.musculus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AAH25172.1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Mustelus antarcticus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Gummy Shark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M.antarcticus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P14399.2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39" w:name="OLE_LINK261"/>
            <w:bookmarkStart w:id="40" w:name="OLE_LINK262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Nasonia vitripennis</w:t>
            </w:r>
            <w:bookmarkEnd w:id="39"/>
            <w:bookmarkEnd w:id="40"/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N.vitripennis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XP_001608300.1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Ophelia bicornis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O.bicornis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AAX73248.1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Oryctolagus cuniculus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Rabbit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O.cuniculus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P02170.2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41" w:name="_Hlk367478912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Pan troglodytes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chimpanzees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P.troglodytes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XP_001156646.1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42" w:name="_Hlk367479095"/>
            <w:bookmarkEnd w:id="41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lastRenderedPageBreak/>
              <w:t>Paragonimus westermani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P.westermani Mb1</w:t>
            </w:r>
          </w:p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P.westermani Mb2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AAX11352.1</w:t>
            </w:r>
          </w:p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AAX11353.1</w:t>
            </w:r>
          </w:p>
        </w:tc>
      </w:tr>
      <w:bookmarkEnd w:id="42"/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Paramphistomum epiclitum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P.epiclitum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AAG48877.1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43" w:name="_Hlk367479249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Physeter catodon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Sperm Whale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P.catodon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BAF03579.1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Pongo abelii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Sumatran Orangutan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P.abelii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NP_001125556.1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Rattus norvegicus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Rat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R.norvegicus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AAH70511.1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Salmo salar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Atlantic Salmon,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S.salar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ACM09229.1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44" w:name="_Hlk367479663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Schistosoma mansoni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--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S.mansoni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XP_002578632.1</w:t>
            </w:r>
          </w:p>
        </w:tc>
      </w:tr>
      <w:bookmarkEnd w:id="44"/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Sus scrofa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Feral Pig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S.scrofa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NP_999401.1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Tetraodon nigroviridis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Green Spotted Puffer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T.nigroviridis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Q701N9.4</w:t>
            </w:r>
          </w:p>
        </w:tc>
      </w:tr>
      <w:tr w:rsidR="00AB482C" w:rsidRPr="00250409" w:rsidTr="006878F2">
        <w:tc>
          <w:tcPr>
            <w:tcW w:w="1122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bookmarkStart w:id="45" w:name="_Hlk367479895"/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1330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sz w:val="24"/>
                <w:szCs w:val="24"/>
              </w:rPr>
              <w:t>pork worm</w:t>
            </w:r>
          </w:p>
        </w:tc>
        <w:tc>
          <w:tcPr>
            <w:tcW w:w="1234" w:type="pct"/>
          </w:tcPr>
          <w:p w:rsidR="00AB482C" w:rsidRPr="00250409" w:rsidRDefault="00AB482C" w:rsidP="00FA153A">
            <w:pPr>
              <w:spacing w:line="48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250409">
              <w:rPr>
                <w:rFonts w:ascii="Times New Roman" w:eastAsia="Arial Unicode MS" w:hAnsi="Times New Roman"/>
                <w:i/>
                <w:sz w:val="24"/>
                <w:szCs w:val="24"/>
              </w:rPr>
              <w:t>T.spiralis</w:t>
            </w:r>
          </w:p>
        </w:tc>
        <w:tc>
          <w:tcPr>
            <w:tcW w:w="1314" w:type="pct"/>
          </w:tcPr>
          <w:p w:rsidR="00AB482C" w:rsidRPr="00250409" w:rsidRDefault="00AB482C" w:rsidP="00FA153A">
            <w:pPr>
              <w:pStyle w:val="HTML"/>
              <w:spacing w:line="48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25040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zh-CN"/>
              </w:rPr>
              <w:t>XP_003374157.1</w:t>
            </w:r>
          </w:p>
        </w:tc>
      </w:tr>
      <w:bookmarkEnd w:id="43"/>
      <w:bookmarkEnd w:id="45"/>
    </w:tbl>
    <w:p w:rsidR="006878F2" w:rsidRDefault="006878F2" w:rsidP="006878F2">
      <w:pPr>
        <w:spacing w:line="480" w:lineRule="auto"/>
        <w:rPr>
          <w:rFonts w:ascii="Times New Roman" w:eastAsia="Arial Unicode MS" w:hAnsi="Times New Roman" w:hint="eastAsia"/>
          <w:b/>
          <w:sz w:val="24"/>
          <w:szCs w:val="24"/>
        </w:rPr>
      </w:pPr>
    </w:p>
    <w:p w:rsidR="006878F2" w:rsidRPr="000A7C16" w:rsidRDefault="006878F2" w:rsidP="006878F2">
      <w:pPr>
        <w:spacing w:line="480" w:lineRule="auto"/>
        <w:rPr>
          <w:rFonts w:ascii="Times New Roman" w:eastAsia="Arial Unicode MS" w:hAnsi="Times New Roman"/>
          <w:b/>
          <w:sz w:val="24"/>
          <w:szCs w:val="24"/>
        </w:rPr>
      </w:pPr>
      <w:r w:rsidRPr="000A7C16">
        <w:rPr>
          <w:rFonts w:ascii="Times New Roman" w:eastAsia="Arial Unicode MS" w:hAnsi="Times New Roman"/>
          <w:b/>
          <w:sz w:val="24"/>
          <w:szCs w:val="24"/>
        </w:rPr>
        <w:t>Table</w:t>
      </w:r>
      <w:r>
        <w:rPr>
          <w:rFonts w:ascii="Times New Roman" w:eastAsia="Arial Unicode MS" w:hAnsi="Times New Roman" w:hint="eastAsia"/>
          <w:b/>
          <w:sz w:val="24"/>
          <w:szCs w:val="24"/>
        </w:rPr>
        <w:t xml:space="preserve"> S2 </w:t>
      </w:r>
      <w:r w:rsidRPr="000A7C16">
        <w:rPr>
          <w:rFonts w:ascii="Times New Roman" w:eastAsia="Arial Unicode MS" w:hAnsi="Times New Roman"/>
          <w:b/>
          <w:sz w:val="24"/>
          <w:szCs w:val="24"/>
        </w:rPr>
        <w:t xml:space="preserve"> Residues at site 34 and 68 of wild-type </w:t>
      </w:r>
      <w:r w:rsidRPr="000A7C16">
        <w:rPr>
          <w:rFonts w:ascii="Times New Roman" w:eastAsia="Arial Unicode MS" w:hAnsi="Times New Roman" w:hint="eastAsia"/>
          <w:b/>
          <w:i/>
          <w:sz w:val="24"/>
          <w:szCs w:val="24"/>
        </w:rPr>
        <w:t>Cs</w:t>
      </w:r>
      <w:r w:rsidRPr="000A7C16">
        <w:rPr>
          <w:rFonts w:ascii="Times New Roman" w:eastAsia="Arial Unicode MS" w:hAnsi="Times New Roman"/>
          <w:b/>
          <w:sz w:val="24"/>
          <w:szCs w:val="24"/>
        </w:rPr>
        <w:t>Mb and di</w:t>
      </w:r>
      <w:r w:rsidRPr="000A7C16">
        <w:rPr>
          <w:rFonts w:ascii="Times New Roman" w:hAnsi="Times New Roman"/>
          <w:b/>
          <w:sz w:val="24"/>
          <w:szCs w:val="24"/>
        </w:rPr>
        <w:t>ff</w:t>
      </w:r>
      <w:r w:rsidRPr="000A7C16">
        <w:rPr>
          <w:rFonts w:ascii="Times New Roman" w:eastAsia="Arial Unicode MS" w:hAnsi="Times New Roman"/>
          <w:b/>
          <w:sz w:val="24"/>
          <w:szCs w:val="24"/>
        </w:rPr>
        <w:t>erent mutants</w:t>
      </w:r>
    </w:p>
    <w:tbl>
      <w:tblPr>
        <w:tblW w:w="0" w:type="auto"/>
        <w:tblBorders>
          <w:top w:val="single" w:sz="8" w:space="0" w:color="auto"/>
        </w:tblBorders>
        <w:tblLook w:val="04A0"/>
      </w:tblPr>
      <w:tblGrid>
        <w:gridCol w:w="2840"/>
        <w:gridCol w:w="2841"/>
        <w:gridCol w:w="2841"/>
      </w:tblGrid>
      <w:tr w:rsidR="006878F2" w:rsidRPr="00250409" w:rsidTr="00DD6223">
        <w:trPr>
          <w:trHeight w:val="480"/>
        </w:trPr>
        <w:tc>
          <w:tcPr>
            <w:tcW w:w="2840" w:type="dxa"/>
            <w:tcBorders>
              <w:top w:val="single" w:sz="8" w:space="0" w:color="auto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Residues </w:t>
            </w:r>
          </w:p>
        </w:tc>
        <w:tc>
          <w:tcPr>
            <w:tcW w:w="2841" w:type="dxa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F2" w:rsidRPr="00250409" w:rsidTr="00DD6223">
        <w:trPr>
          <w:trHeight w:val="510"/>
        </w:trPr>
        <w:tc>
          <w:tcPr>
            <w:tcW w:w="2840" w:type="dxa"/>
            <w:tcBorders>
              <w:bottom w:val="single" w:sz="8" w:space="0" w:color="000000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Mutant </w:t>
            </w:r>
          </w:p>
        </w:tc>
        <w:tc>
          <w:tcPr>
            <w:tcW w:w="2841" w:type="dxa"/>
            <w:tcBorders>
              <w:bottom w:val="single" w:sz="8" w:space="0" w:color="000000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>Site 34</w:t>
            </w:r>
          </w:p>
        </w:tc>
        <w:tc>
          <w:tcPr>
            <w:tcW w:w="2841" w:type="dxa"/>
            <w:tcBorders>
              <w:bottom w:val="single" w:sz="8" w:space="0" w:color="000000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>Site 68</w:t>
            </w:r>
          </w:p>
        </w:tc>
      </w:tr>
      <w:tr w:rsidR="006878F2" w:rsidRPr="00250409" w:rsidTr="00DD6223">
        <w:tc>
          <w:tcPr>
            <w:tcW w:w="2840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>Wild-type</w:t>
            </w:r>
          </w:p>
        </w:tc>
        <w:tc>
          <w:tcPr>
            <w:tcW w:w="2841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Tyr </w:t>
            </w:r>
          </w:p>
        </w:tc>
        <w:tc>
          <w:tcPr>
            <w:tcW w:w="2841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Tyr </w:t>
            </w:r>
          </w:p>
        </w:tc>
      </w:tr>
      <w:tr w:rsidR="006878F2" w:rsidRPr="00250409" w:rsidTr="00DD6223">
        <w:tc>
          <w:tcPr>
            <w:tcW w:w="2840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bookmarkStart w:id="46" w:name="OLE_LINK151"/>
            <w:bookmarkStart w:id="47" w:name="OLE_LINK152"/>
            <w:r w:rsidRPr="00250409">
              <w:rPr>
                <w:rFonts w:ascii="Times New Roman" w:hAnsi="Times New Roman"/>
                <w:sz w:val="24"/>
                <w:szCs w:val="24"/>
              </w:rPr>
              <w:lastRenderedPageBreak/>
              <w:t>Y34A</w:t>
            </w:r>
            <w:bookmarkEnd w:id="46"/>
            <w:bookmarkEnd w:id="47"/>
          </w:p>
        </w:tc>
        <w:tc>
          <w:tcPr>
            <w:tcW w:w="2841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</w:p>
        </w:tc>
        <w:tc>
          <w:tcPr>
            <w:tcW w:w="2841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Tyr </w:t>
            </w:r>
          </w:p>
        </w:tc>
      </w:tr>
      <w:tr w:rsidR="006878F2" w:rsidRPr="00250409" w:rsidTr="00DD6223">
        <w:tc>
          <w:tcPr>
            <w:tcW w:w="2840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>Y68A</w:t>
            </w:r>
          </w:p>
        </w:tc>
        <w:tc>
          <w:tcPr>
            <w:tcW w:w="2841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Tyr </w:t>
            </w:r>
          </w:p>
        </w:tc>
        <w:tc>
          <w:tcPr>
            <w:tcW w:w="2841" w:type="dxa"/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</w:p>
        </w:tc>
      </w:tr>
      <w:tr w:rsidR="006878F2" w:rsidRPr="00250409" w:rsidTr="00DD6223">
        <w:tc>
          <w:tcPr>
            <w:tcW w:w="2840" w:type="dxa"/>
            <w:tcBorders>
              <w:bottom w:val="single" w:sz="4" w:space="0" w:color="auto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>Y34A/Y68A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6878F2" w:rsidRPr="00250409" w:rsidRDefault="006878F2" w:rsidP="00DD622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250409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</w:p>
        </w:tc>
      </w:tr>
    </w:tbl>
    <w:p w:rsidR="006878F2" w:rsidRDefault="006878F2" w:rsidP="006878F2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p w:rsidR="00AB482C" w:rsidRPr="00250409" w:rsidRDefault="00AB482C" w:rsidP="00FA153A">
      <w:pPr>
        <w:spacing w:line="480" w:lineRule="auto"/>
        <w:rPr>
          <w:rFonts w:ascii="Times New Roman" w:eastAsia="Arial Unicode MS" w:hAnsi="Times New Roman"/>
          <w:sz w:val="24"/>
          <w:szCs w:val="24"/>
        </w:rPr>
      </w:pPr>
    </w:p>
    <w:sectPr w:rsidR="00AB482C" w:rsidRPr="00250409" w:rsidSect="00EA59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3A0" w:rsidRDefault="008163A0" w:rsidP="005D0BF7">
      <w:r>
        <w:separator/>
      </w:r>
    </w:p>
  </w:endnote>
  <w:endnote w:type="continuationSeparator" w:id="1">
    <w:p w:rsidR="008163A0" w:rsidRDefault="008163A0" w:rsidP="005D0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3A0" w:rsidRDefault="008163A0" w:rsidP="005D0BF7">
      <w:r>
        <w:separator/>
      </w:r>
    </w:p>
  </w:footnote>
  <w:footnote w:type="continuationSeparator" w:id="1">
    <w:p w:rsidR="008163A0" w:rsidRDefault="008163A0" w:rsidP="005D0B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NE.Ref{262B2AD5-B276-48C6-BBAA-6C98ABD82DB4}" w:val=" ADDIN NE.Ref.{262B2AD5-B276-48C6-BBAA-6C98ABD82DB4}&lt;Citation&gt;&lt;Group&gt;&lt;References&gt;&lt;Item&gt;&lt;ID&gt;218&lt;/ID&gt;&lt;UID&gt;{C5103425-33D4-47C9-BC93-946168228551}&lt;/UID&gt;&lt;Title&gt;Oxygen-dependent leishmanicidal activity of stimulated macrophages&lt;/Title&gt;&lt;Template&gt;Journal Article&lt;/Template&gt;&lt;Star&gt;0&lt;/Star&gt;&lt;Tag&gt;0&lt;/Tag&gt;&lt;Author&gt;Chakraborty, R; Mukherjee, S; Basu, M K&lt;/Author&gt;&lt;Year&gt;1996&lt;/Year&gt;&lt;Details&gt;&lt;_accession_num&gt;8717413&lt;/_accession_num&gt;&lt;_author_adr&gt;Biomembrane Division, Indian Institute of Chemical Biology, Calcutta, India.&lt;/_author_adr&gt;&lt;_date_display&gt;1996 Jan 12&lt;/_date_display&gt;&lt;_date&gt;1996-01-12&lt;/_date&gt;&lt;_issue&gt;1&lt;/_issue&gt;&lt;_journal&gt;Mol Cell Biochem&lt;/_journal&gt;&lt;_keywords&gt;Animals; Cells, Cultured; Hydrogen Peroxide/metabolism; *Leishmania donovani; Macrophages, Peritoneal/drug effects/*parasitology/*physiology; Male; Mice; Mice, Inbred BALB C; *Oxygen Consumption; *Phagocytosis/drug effects; *Respiratory Burst; Superoxides/metabolism; Tetradecanoylphorbol Acetate/*pharmacology; Zymosan/pharmacology&lt;/_keywords&gt;&lt;_language&gt;eng&lt;/_language&gt;&lt;_pages&gt;23-9&lt;/_pages&gt;&lt;_type_work&gt;Comparative Study; Journal Article; Research Support, Non-U.S. Gov&amp;apos;t&lt;/_type_work&gt;&lt;_url&gt;http://www.ncbi.nlm.nih.gov/entrez/query.fcgi?cmd=Retrieve&amp;amp;db=pubmed&amp;amp;dopt=Abstract&amp;amp;list_uids=8717413&amp;amp;query_hl=1&lt;/_url&gt;&lt;_volume&gt;154&lt;/_volume&gt;&lt;_created&gt;59817044&lt;/_created&gt;&lt;_modified&gt;59817044&lt;/_modified&gt;&lt;/Details&gt;&lt;Extra&gt;&lt;DBUID&gt;{F2F0BADE-0539-416F-8F99-9BE45C02286C}&lt;/DBUID&gt;&lt;/Extra&gt;&lt;/Item&gt;&lt;/References&gt;&lt;/Group&gt;&lt;/Citation&gt;&#10;"/>
    <w:docVar w:name="NE.Ref{42352171-9242-4C9A-8B9D-E3213BDC81A4}" w:val=" ADDIN NE.Ref.{42352171-9242-4C9A-8B9D-E3213BDC81A4} ADDIN NE.Ref.{42352171-9242-4C9A-8B9D-E3213BDC81A4}&lt;Citation&gt;&lt;Group&gt;&lt;References&gt;&lt;Item&gt;&lt;ID&gt;218&lt;/ID&gt;&lt;UID&gt;{C5103425-33D4-47C9-BC93-946168228551}&lt;/UID&gt;&lt;Title&gt;Oxygen-dependent leishmanicidal activity of stimulated macrophages&lt;/Title&gt;&lt;Template&gt;Journal Article&lt;/Template&gt;&lt;Star&gt;0&lt;/Star&gt;&lt;Tag&gt;0&lt;/Tag&gt;&lt;Author&gt;Chakraborty, R; Mukherjee, S; Basu, M K&lt;/Author&gt;&lt;Year&gt;1996&lt;/Year&gt;&lt;Details&gt;&lt;_accession_num&gt;8717413&lt;/_accession_num&gt;&lt;_author_adr&gt;Biomembrane Division, Indian Institute of Chemical Biology, Calcutta, India.&lt;/_author_adr&gt;&lt;_date_display&gt;1996 Jan 12&lt;/_date_display&gt;&lt;_date&gt;1996-01-12&lt;/_date&gt;&lt;_issue&gt;1&lt;/_issue&gt;&lt;_journal&gt;Mol Cell Biochem&lt;/_journal&gt;&lt;_keywords&gt;Animals; Cells, Cultured; Hydrogen Peroxide/metabolism; *Leishmania donovani; Macrophages, Peritoneal/drug effects/*parasitology/*physiology; Male; Mice; Mice, Inbred BALB C; *Oxygen Consumption; *Phagocytosis/drug effects; *Respiratory Burst; Superoxides/metabolism; Tetradecanoylphorbol Acetate/*pharmacology; Zymosan/pharmacology&lt;/_keywords&gt;&lt;_language&gt;eng&lt;/_language&gt;&lt;_pages&gt;23-9&lt;/_pages&gt;&lt;_type_work&gt;Comparative Study; Journal Article; Research Support, Non-U.S. Gov&amp;apos;t&lt;/_type_work&gt;&lt;_url&gt;http://www.ncbi.nlm.nih.gov/entrez/query.fcgi?cmd=Retrieve&amp;amp;db=pubmed&amp;amp;dopt=Abstract&amp;amp;list_uids=8717413&amp;amp;query_hl=1&lt;/_url&gt;&lt;_volume&gt;154&lt;/_volume&gt;&lt;_created&gt;59817044&lt;/_created&gt;&lt;_modified&gt;59817044&lt;/_modified&gt;&lt;/Details&gt;&lt;Extra&gt;&lt;DBUID&gt;{F2F0BADE-0539-416F-8F99-9BE45C02286C}&lt;/DBUID&gt;&lt;/Extra&gt;&lt;/Item&gt;&lt;/References&gt;&lt;/Group&gt;&lt;/Citation&gt;&#10;"/>
    <w:docVar w:name="NE.Ref{4CD0F1EE-AC82-4B0F-B528-64F0B8193617}" w:val=" ADDIN NE.Ref.{4CD0F1EE-AC82-4B0F-B528-64F0B8193617} ADDIN NE.Ref.{4CD0F1EE-AC82-4B0F-B528-64F0B8193617}&lt;Citation&gt;&lt;Group&gt;&lt;References&gt;&lt;Item&gt;&lt;ID&gt;191&lt;/ID&gt;&lt;UID&gt;{614E7FFE-B401-4AB5-B03E-6C05AE13E6AF}&lt;/UID&gt;&lt;Title&gt;Clonorchis sinensis: expression, characterization, immunolocalization and serological reactivity of one excretory/secretory antigen-LPAP homologue&lt;/Title&gt;&lt;Template&gt;Journal Article&lt;/Template&gt;&lt;Star&gt;0&lt;/Star&gt;&lt;Tag&gt;0&lt;/Tag&gt;&lt;Author&gt;Hu, F; Yu, X; Ma, C; Zhou, H; Zhou, Z; Li, Y; Lu, F; Xu, J; Wu, Z; Hu, X&lt;/Author&gt;&lt;Year&gt;2007&lt;/Year&gt;&lt;Details&gt;&lt;_accession_num&gt;17507009&lt;/_accession_num&gt;&lt;_author_adr&gt;Department of Parasitology, Preclinical School of Sun Yat-sen University, Guangzhou 510089, PR China.&lt;/_author_adr&gt;&lt;_date_display&gt;2007 Oct&lt;/_date_display&gt;&lt;_date&gt;2007-10-01&lt;/_date&gt;&lt;_doi&gt;10.1016/j.exppara.2007.04.003&lt;/_doi&gt;&lt;_issue&gt;2&lt;/_issue&gt;&lt;_journal&gt;Exp Parasitol&lt;/_journal&gt;&lt;_keywords&gt;Amino Acid Sequence; Animals; Antibodies, Helminth/blood; Antigens, Helminth/*biosynthesis/chemistry/genetics/immunology; Blotting, Western; Cloning, Molecular; Clonorchiasis/*diagnosis/immunology; Clonorchis sinensis/enzymology/genetics/*immunology; Consensus Sequence; DNA, Complementary/chemistry; DNA, Helminth/chemistry; Electrophoresis, Polyacrylamide Gel; Enzyme-Linked Immunosorbent Assay; Fluorescent Antibody Technique; Gene Expression Regulation, Enzymologic; Humans; Immune Sera/immunology; Molecular Sequence Data; Phosphoric Monoester Hydrolases/*biosynthesis/chemistry/genetics/immunology; Recombinant Proteins/biosynthesis/genetics/immunology/isolation &amp;amp; purification; Sequence Alignment&lt;/_keywords&gt;&lt;_language&gt;eng&lt;/_language&gt;&lt;_pages&gt;157-64&lt;/_pages&gt;&lt;_type_work&gt;Journal Article; Research Support, Non-U.S. Gov&amp;apos;t&lt;/_type_work&gt;&lt;_url&gt;http://www.ncbi.nlm.nih.gov/entrez/query.fcgi?cmd=Retrieve&amp;amp;db=pubmed&amp;amp;dopt=Abstract&amp;amp;list_uids=17507009&amp;amp;query_hl=1&lt;/_url&gt;&lt;_volume&gt;117&lt;/_volume&gt;&lt;_created&gt;59809879&lt;/_created&gt;&lt;_modified&gt;59809879&lt;/_modified&gt;&lt;/Details&gt;&lt;Extra&gt;&lt;DBUID&gt;{F2F0BADE-0539-416F-8F99-9BE45C02286C}&lt;/DBUID&gt;&lt;/Extra&gt;&lt;/Item&gt;&lt;/References&gt;&lt;/Group&gt;&lt;/Citation&gt;&#10;"/>
    <w:docVar w:name="NE.Ref{73B20EB2-3559-4B6D-A71A-7DECD4DE65E4}" w:val=" ADDIN NE.Ref.{73B20EB2-3559-4B6D-A71A-7DECD4DE65E4} ADDIN NE.Ref.{73B20EB2-3559-4B6D-A71A-7DECD4DE65E4}&lt;Citation&gt;&lt;Group&gt;&lt;References&gt;&lt;Item&gt;&lt;ID&gt;192&lt;/ID&gt;&lt;UID&gt;{7AC89D47-9EF7-478E-87CF-EF127ACB0641}&lt;/UID&gt;&lt;Title&gt;Functional differentiation of myoglobin isoforms in hypoxia-tolerant carp indicates tissue-specific protective roles&lt;/Title&gt;&lt;Template&gt;Journal Article&lt;/Template&gt;&lt;Star&gt;0&lt;/Star&gt;&lt;Tag&gt;0&lt;/Tag&gt;&lt;Author&gt;Helbo, S; Dewilde, S; Williams, D R; Berghmans, H; Berenbrink, M; Cossins, A R; Fago, A&lt;/Author&gt;&lt;Year&gt;2012&lt;/Year&gt;&lt;Details&gt;&lt;_accession_num&gt;22170621&lt;/_accession_num&gt;&lt;_author_adr&gt;Department of Bioscience, Aarhus University, Denmark.&lt;/_author_adr&gt;&lt;_date_display&gt;2012 Mar 15&lt;/_date_display&gt;&lt;_date&gt;2012-03-15&lt;/_date&gt;&lt;_doi&gt;10.1152/ajpregu.00501.2011&lt;/_doi&gt;&lt;_issue&gt;6&lt;/_issue&gt;&lt;_journal&gt;Am J Physiol Regul Integr Comp Physiol&lt;/_journal&gt;&lt;_keywords&gt;Amino Acid Sequence; Animals; Anoxia/metabolism/*physiopathology; Brain/metabolism/*physiopathology; Carbon Monoxide/metabolism; Carps/*physiology; Hydrogen Peroxide; Models, Animal; Molecular Sequence Data; Myoglobin/*physiology; Nitric Oxide/metabolism; Oxygen/metabolism; Protein Isoforms/physiology; Reactive Oxygen Species/metabolism&lt;/_keywords&gt;&lt;_language&gt;eng&lt;/_language&gt;&lt;_pages&gt;R693-701&lt;/_pages&gt;&lt;_type_work&gt;Comparative Study; Journal Article; Research Support, Non-U.S. Gov&amp;apos;t&lt;/_type_work&gt;&lt;_url&gt;http://www.ncbi.nlm.nih.gov/entrez/query.fcgi?cmd=Retrieve&amp;amp;db=pubmed&amp;amp;dopt=Abstract&amp;amp;list_uids=22170621&amp;amp;query_hl=1&lt;/_url&gt;&lt;_volume&gt;302&lt;/_volume&gt;&lt;_created&gt;59809904&lt;/_created&gt;&lt;_modified&gt;59809904&lt;/_modified&gt;&lt;/Details&gt;&lt;Extra&gt;&lt;DBUID&gt;{F2F0BADE-0539-416F-8F99-9BE45C02286C}&lt;/DBUID&gt;&lt;/Extra&gt;&lt;/Item&gt;&lt;/References&gt;&lt;/Group&gt;&lt;/Citation&gt;&#10;"/>
    <w:docVar w:name="NE.Ref{82EEDAAC-8127-4E3C-9731-2DFD9FC078B2}" w:val=" ADDIN NE.Ref.{82EEDAAC-8127-4E3C-9731-2DFD9FC078B2}&lt;Citation&gt;&lt;Group&gt;&lt;References&gt;&lt;Item&gt;&lt;ID&gt;217&lt;/ID&gt;&lt;UID&gt;{0C0F032E-39E5-4471-8275-4B8F132AB5EF}&lt;/UID&gt;&lt;Title&gt;Release of reactive nitrogen intermediates and reactive oxygen intermediates from mouse peritoneal macrophages. Comparison of activating cytokines and evidence for independent production&lt;/Title&gt;&lt;Template&gt;Journal Article&lt;/Template&gt;&lt;Star&gt;0&lt;/Star&gt;&lt;Tag&gt;0&lt;/Tag&gt;&lt;Author&gt;Ding, A H; Nathan, C F; Stuehr, D J&lt;/Author&gt;&lt;Year&gt;1988&lt;/Year&gt;&lt;Details&gt;&lt;_accession_num&gt;3139757&lt;/_accession_num&gt;&lt;_author_adr&gt;Beatrice and Samuel A. Seaver Laboratory, Cornell University Medical College, New York 10021.&lt;/_author_adr&gt;&lt;_date_display&gt;1988 Oct 1&lt;/_date_display&gt;&lt;_date&gt;1988-10-01&lt;/_date&gt;&lt;_issue&gt;7&lt;/_issue&gt;&lt;_journal&gt;J Immunol&lt;/_journal&gt;&lt;_keywords&gt;Animals; Arginine/analogs &amp;amp; derivatives/pharmacology; Biological Factors/*pharmacology; Cytokines; Drug Synergism; Female; Free Radicals; Hydrogen Peroxide/*metabolism; Interferon Type I/pharmacology; Interferon-gamma/pharmacology; Lipopolysaccharides/pharmacology; Macrophage Activation/*drug effects; Macrophages/drug effects/*metabolism; Mice; Nitrates/*metabolism; Peritoneal Cavity/cytology; Recombinant Proteins/pharmacology; Tumor Necrosis Factor-alpha/pharmacology; omega-N-Methylarginine&lt;/_keywords&gt;&lt;_language&gt;eng&lt;/_language&gt;&lt;_pages&gt;2407-12&lt;/_pages&gt;&lt;_type_work&gt;Comparative Study; Journal Article; Research Support, Non-U.S. Gov&amp;apos;t; Research Support, U.S. Gov&amp;apos;t, P.H.S.&lt;/_type_work&gt;&lt;_url&gt;http://www.ncbi.nlm.nih.gov/entrez/query.fcgi?cmd=Retrieve&amp;amp;db=pubmed&amp;amp;dopt=Abstract&amp;amp;list_uids=3139757&amp;amp;query_hl=1&lt;/_url&gt;&lt;_volume&gt;141&lt;/_volume&gt;&lt;_created&gt;59817043&lt;/_created&gt;&lt;_modified&gt;59817043&lt;/_modified&gt;&lt;/Details&gt;&lt;Extra&gt;&lt;DBUID&gt;{F2F0BADE-0539-416F-8F99-9BE45C02286C}&lt;/DBUID&gt;&lt;/Extra&gt;&lt;/Item&gt;&lt;/References&gt;&lt;/Group&gt;&lt;/Citation&gt;&#10;"/>
    <w:docVar w:name="NE.Ref{AE256A5E-5FDC-43B5-9CE2-3DE761D9D4BC}" w:val=" ADDIN NE.Ref.{AE256A5E-5FDC-43B5-9CE2-3DE761D9D4BC}&lt;Citation&gt;&lt;Group&gt;&lt;References&gt;&lt;Item&gt;&lt;ID&gt;175&lt;/ID&gt;&lt;UID&gt;{4CD51C26-1DCF-4593-AA0B-DDA0686A0EF3}&lt;/UID&gt;&lt;Title&gt;Clonorchiasis: a key foodborne zoonosis in China&lt;/Title&gt;&lt;Template&gt;Journal Article&lt;/Template&gt;&lt;Star&gt;0&lt;/Star&gt;&lt;Tag&gt;0&lt;/Tag&gt;&lt;Author&gt;Lun, Z R; Gasser, R B; Lai, D H; Li, A X; Zhu, X Q; Yu, X B; Fang, Y Y&lt;/Author&gt;&lt;Year&gt;2005&lt;/Year&gt;&lt;Details&gt;&lt;_accession_num&gt;15620559&lt;/_accession_num&gt;&lt;_author_adr&gt;Center for Parasitic Organisms and the Key Laboratory for Tropical Diseases Control of the Ministry of Education, School of Life Sciences, Zhongshan (Sun Yat-Sen) University, Guangzhou, China. lsslzr@zsu.edu.cn&lt;/_author_adr&gt;&lt;_created&gt;59809596&lt;/_created&gt;&lt;_date&gt;2005-01-01&lt;/_date&gt;&lt;_date_display&gt;2005 Jan&lt;/_date_display&gt;&lt;_doi&gt;10.1016/S1473-3099(04)01252-6&lt;/_doi&gt;&lt;_issue&gt;1&lt;/_issue&gt;&lt;_journal&gt;Lancet Infect Dis&lt;/_journal&gt;&lt;_keywords&gt;Animals; China/epidemiology; *Clonorchiasis/epidemiology/parasitology/physiopathology; *Clonorchis sinensis/growth &amp;amp; development/pathogenicity/physiology; Female; Humans; Life Cycle Stages; Male; Prevalence; Zoonoses&lt;/_keywords&gt;&lt;_language&gt;eng&lt;/_language&gt;&lt;_modified&gt;59809596&lt;/_modified&gt;&lt;_pages&gt;31-41&lt;/_pages&gt;&lt;_type_work&gt;Journal Article; Research Support, Non-U.S. Gov&amp;apos;t; Review&lt;/_type_work&gt;&lt;_url&gt;http://www.ncbi.nlm.nih.gov/entrez/query.fcgi?cmd=Retrieve&amp;amp;db=pubmed&amp;amp;dopt=Abstract&amp;amp;list_uids=15620559&amp;amp;query_hl=1&lt;/_url&gt;&lt;_volume&gt;5&lt;/_volume&gt;&lt;/Details&gt;&lt;Extra&gt;&lt;DBUID&gt;{F2F0BADE-0539-416F-8F99-9BE45C02286C}&lt;/DBUID&gt;&lt;/Extra&gt;&lt;/Item&gt;&lt;/References&gt;&lt;/Group&gt;&lt;/Citation&gt;&#10;"/>
    <w:docVar w:name="NE.Ref{C3FD38BD-D5BA-4D33-85C0-4A9A5BA453E2}" w:val=" ADDIN NE.Ref.{C3FD38BD-D5BA-4D33-85C0-4A9A5BA453E2} ADDIN NE.Ref.{C3FD38BD-D5BA-4D33-85C0-4A9A5BA453E2}&lt;Citation&gt;&lt;Group&gt;&lt;References&gt;&lt;Item&gt;&lt;ID&gt;217&lt;/ID&gt;&lt;UID&gt;{0C0F032E-39E5-4471-8275-4B8F132AB5EF}&lt;/UID&gt;&lt;Title&gt;Release of reactive nitrogen intermediates and reactive oxygen intermediates from mouse peritoneal macrophages. Comparison of activating cytokines and evidence for independent production&lt;/Title&gt;&lt;Template&gt;Journal Article&lt;/Template&gt;&lt;Star&gt;0&lt;/Star&gt;&lt;Tag&gt;0&lt;/Tag&gt;&lt;Author&gt;Ding, A H; Nathan, C F; Stuehr, D J&lt;/Author&gt;&lt;Year&gt;1988&lt;/Year&gt;&lt;Details&gt;&lt;_accession_num&gt;3139757&lt;/_accession_num&gt;&lt;_author_adr&gt;Beatrice and Samuel A. Seaver Laboratory, Cornell University Medical College, New York 10021.&lt;/_author_adr&gt;&lt;_date_display&gt;1988 Oct 1&lt;/_date_display&gt;&lt;_date&gt;1988-10-01&lt;/_date&gt;&lt;_issue&gt;7&lt;/_issue&gt;&lt;_journal&gt;J Immunol&lt;/_journal&gt;&lt;_keywords&gt;Animals; Arginine/analogs &amp;amp; derivatives/pharmacology; Biological Factors/*pharmacology; Cytokines; Drug Synergism; Female; Free Radicals; Hydrogen Peroxide/*metabolism; Interferon Type I/pharmacology; Interferon-gamma/pharmacology; Lipopolysaccharides/pharmacology; Macrophage Activation/*drug effects; Macrophages/drug effects/*metabolism; Mice; Nitrates/*metabolism; Peritoneal Cavity/cytology; Recombinant Proteins/pharmacology; Tumor Necrosis Factor-alpha/pharmacology; omega-N-Methylarginine&lt;/_keywords&gt;&lt;_language&gt;eng&lt;/_language&gt;&lt;_pages&gt;2407-12&lt;/_pages&gt;&lt;_type_work&gt;Comparative Study; Journal Article; Research Support, Non-U.S. Gov&amp;apos;t; Research Support, U.S. Gov&amp;apos;t, P.H.S.&lt;/_type_work&gt;&lt;_url&gt;http://www.ncbi.nlm.nih.gov/entrez/query.fcgi?cmd=Retrieve&amp;amp;db=pubmed&amp;amp;dopt=Abstract&amp;amp;list_uids=3139757&amp;amp;query_hl=1&lt;/_url&gt;&lt;_volume&gt;141&lt;/_volume&gt;&lt;_created&gt;59817043&lt;/_created&gt;&lt;_modified&gt;59817043&lt;/_modified&gt;&lt;/Details&gt;&lt;Extra&gt;&lt;DBUID&gt;{F2F0BADE-0539-416F-8F99-9BE45C02286C}&lt;/DBUID&gt;&lt;/Extra&gt;&lt;/Item&gt;&lt;/References&gt;&lt;/Group&gt;&lt;/Citation&gt;&#10;"/>
    <w:docVar w:name="NE.Ref{E2E45099-CECA-44A6-8EC2-EF2958E31425}" w:val=" ADDIN NE.Ref.{E2E45099-CECA-44A6-8EC2-EF2958E31425}&lt;Citation&gt;&lt;Group&gt;&lt;References&gt;&lt;Item&gt;&lt;ID&gt;191&lt;/ID&gt;&lt;UID&gt;{614E7FFE-B401-4AB5-B03E-6C05AE13E6AF}&lt;/UID&gt;&lt;Title&gt;Clonorchis sinensis: expression, characterization, immunolocalization and serological reactivity of one excretory/secretory antigen-LPAP homologue&lt;/Title&gt;&lt;Template&gt;Journal Article&lt;/Template&gt;&lt;Star&gt;0&lt;/Star&gt;&lt;Tag&gt;0&lt;/Tag&gt;&lt;Author&gt;Hu, F; Yu, X; Ma, C; Zhou, H; Zhou, Z; Li, Y; Lu, F; Xu, J; Wu, Z; Hu, X&lt;/Author&gt;&lt;Year&gt;2007&lt;/Year&gt;&lt;Details&gt;&lt;_accession_num&gt;17507009&lt;/_accession_num&gt;&lt;_author_adr&gt;Department of Parasitology, Preclinical School of Sun Yat-sen University, Guangzhou 510089, PR China.&lt;/_author_adr&gt;&lt;_date_display&gt;2007 Oct&lt;/_date_display&gt;&lt;_date&gt;2007-10-01&lt;/_date&gt;&lt;_doi&gt;10.1016/j.exppara.2007.04.003&lt;/_doi&gt;&lt;_issue&gt;2&lt;/_issue&gt;&lt;_journal&gt;Exp Parasitol&lt;/_journal&gt;&lt;_keywords&gt;Amino Acid Sequence; Animals; Antibodies, Helminth/blood; Antigens, Helminth/*biosynthesis/chemistry/genetics/immunology; Blotting, Western; Cloning, Molecular; Clonorchiasis/*diagnosis/immunology; Clonorchis sinensis/enzymology/genetics/*immunology; Consensus Sequence; DNA, Complementary/chemistry; DNA, Helminth/chemistry; Electrophoresis, Polyacrylamide Gel; Enzyme-Linked Immunosorbent Assay; Fluorescent Antibody Technique; Gene Expression Regulation, Enzymologic; Humans; Immune Sera/immunology; Molecular Sequence Data; Phosphoric Monoester Hydrolases/*biosynthesis/chemistry/genetics/immunology; Recombinant Proteins/biosynthesis/genetics/immunology/isolation &amp;amp; purification; Sequence Alignment&lt;/_keywords&gt;&lt;_language&gt;eng&lt;/_language&gt;&lt;_pages&gt;157-64&lt;/_pages&gt;&lt;_type_work&gt;Journal Article; Research Support, Non-U.S. Gov&amp;apos;t&lt;/_type_work&gt;&lt;_url&gt;http://www.ncbi.nlm.nih.gov/entrez/query.fcgi?cmd=Retrieve&amp;amp;db=pubmed&amp;amp;dopt=Abstract&amp;amp;list_uids=17507009&amp;amp;query_hl=1&lt;/_url&gt;&lt;_volume&gt;117&lt;/_volume&gt;&lt;_created&gt;59809879&lt;/_created&gt;&lt;_modified&gt;59809879&lt;/_modified&gt;&lt;/Details&gt;&lt;Extra&gt;&lt;DBUID&gt;{F2F0BADE-0539-416F-8F99-9BE45C02286C}&lt;/DBUID&gt;&lt;/Extra&gt;&lt;/Item&gt;&lt;/References&gt;&lt;/Group&gt;&lt;/Citation&gt;&#10;"/>
    <w:docVar w:name="NE.Ref{FCC622E0-2C96-49AA-88B7-B52AD01E1847}" w:val=" ADDIN NE.Ref.{FCC622E0-2C96-49AA-88B7-B52AD01E1847}&lt;Citation&gt;&lt;Group&gt;&lt;References&gt;&lt;Item&gt;&lt;ID&gt;192&lt;/ID&gt;&lt;UID&gt;{7AC89D47-9EF7-478E-87CF-EF127ACB0641}&lt;/UID&gt;&lt;Title&gt;Functional differentiation of myoglobin isoforms in hypoxia-tolerant carp indicates tissue-specific protective roles&lt;/Title&gt;&lt;Template&gt;Journal Article&lt;/Template&gt;&lt;Star&gt;0&lt;/Star&gt;&lt;Tag&gt;0&lt;/Tag&gt;&lt;Author&gt;Helbo, S; Dewilde, S; Williams, D R; Berghmans, H; Berenbrink, M; Cossins, A R; Fago, A&lt;/Author&gt;&lt;Year&gt;2012&lt;/Year&gt;&lt;Details&gt;&lt;_accession_num&gt;22170621&lt;/_accession_num&gt;&lt;_author_adr&gt;Department of Bioscience, Aarhus University, Denmark.&lt;/_author_adr&gt;&lt;_date_display&gt;2012 Mar 15&lt;/_date_display&gt;&lt;_date&gt;2012-03-15&lt;/_date&gt;&lt;_doi&gt;10.1152/ajpregu.00501.2011&lt;/_doi&gt;&lt;_issue&gt;6&lt;/_issue&gt;&lt;_journal&gt;Am J Physiol Regul Integr Comp Physiol&lt;/_journal&gt;&lt;_keywords&gt;Amino Acid Sequence; Animals; Anoxia/metabolism/*physiopathology; Brain/metabolism/*physiopathology; Carbon Monoxide/metabolism; Carps/*physiology; Hydrogen Peroxide; Models, Animal; Molecular Sequence Data; Myoglobin/*physiology; Nitric Oxide/metabolism; Oxygen/metabolism; Protein Isoforms/physiology; Reactive Oxygen Species/metabolism&lt;/_keywords&gt;&lt;_language&gt;eng&lt;/_language&gt;&lt;_pages&gt;R693-701&lt;/_pages&gt;&lt;_type_work&gt;Comparative Study; Journal Article; Research Support, Non-U.S. Gov&amp;apos;t&lt;/_type_work&gt;&lt;_url&gt;http://www.ncbi.nlm.nih.gov/entrez/query.fcgi?cmd=Retrieve&amp;amp;db=pubmed&amp;amp;dopt=Abstract&amp;amp;list_uids=22170621&amp;amp;query_hl=1&lt;/_url&gt;&lt;_volume&gt;302&lt;/_volume&gt;&lt;_created&gt;59809904&lt;/_created&gt;&lt;_modified&gt;59809904&lt;/_modified&gt;&lt;/Details&gt;&lt;Extra&gt;&lt;DBUID&gt;{F2F0BADE-0539-416F-8F99-9BE45C02286C}&lt;/DBUID&gt;&lt;/Extra&gt;&lt;/Item&gt;&lt;/References&gt;&lt;/Group&gt;&lt;/Citation&gt;&#10;"/>
    <w:docVar w:name="ne_docsoft" w:val="MSWord"/>
    <w:docVar w:name="ne_docversion" w:val="NoteExpress 2.0"/>
    <w:docVar w:name="ne_stylename" w:val="Numbered(multilingual)"/>
  </w:docVars>
  <w:rsids>
    <w:rsidRoot w:val="005D0BF7"/>
    <w:rsid w:val="000A7C16"/>
    <w:rsid w:val="00107E1E"/>
    <w:rsid w:val="00195414"/>
    <w:rsid w:val="001E7534"/>
    <w:rsid w:val="001F14E0"/>
    <w:rsid w:val="002918B6"/>
    <w:rsid w:val="004D5FE8"/>
    <w:rsid w:val="00527BD8"/>
    <w:rsid w:val="00571037"/>
    <w:rsid w:val="0057141F"/>
    <w:rsid w:val="005B0B1C"/>
    <w:rsid w:val="005D0BF7"/>
    <w:rsid w:val="006878F2"/>
    <w:rsid w:val="006E094B"/>
    <w:rsid w:val="006F58F5"/>
    <w:rsid w:val="006F6589"/>
    <w:rsid w:val="007112D2"/>
    <w:rsid w:val="0071751B"/>
    <w:rsid w:val="0073523A"/>
    <w:rsid w:val="007365E7"/>
    <w:rsid w:val="00754AC8"/>
    <w:rsid w:val="007F3C9B"/>
    <w:rsid w:val="008163A0"/>
    <w:rsid w:val="0088700D"/>
    <w:rsid w:val="008A618A"/>
    <w:rsid w:val="008C488D"/>
    <w:rsid w:val="008D5B8E"/>
    <w:rsid w:val="009132AF"/>
    <w:rsid w:val="00974040"/>
    <w:rsid w:val="009E3876"/>
    <w:rsid w:val="00A66B2A"/>
    <w:rsid w:val="00A75DDB"/>
    <w:rsid w:val="00AB482C"/>
    <w:rsid w:val="00AE68F6"/>
    <w:rsid w:val="00C351E7"/>
    <w:rsid w:val="00CB17E4"/>
    <w:rsid w:val="00CB4C7F"/>
    <w:rsid w:val="00CD2567"/>
    <w:rsid w:val="00D0345C"/>
    <w:rsid w:val="00D95490"/>
    <w:rsid w:val="00E712A0"/>
    <w:rsid w:val="00E949BD"/>
    <w:rsid w:val="00EA594B"/>
    <w:rsid w:val="00EF0622"/>
    <w:rsid w:val="00F654B5"/>
    <w:rsid w:val="00F675EA"/>
    <w:rsid w:val="00FA1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BF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0B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0B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0B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0BF7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9740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character" w:customStyle="1" w:styleId="HTMLChar">
    <w:name w:val="HTML 预设格式 Char"/>
    <w:basedOn w:val="a0"/>
    <w:link w:val="HTML"/>
    <w:uiPriority w:val="99"/>
    <w:rsid w:val="00974040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6F58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F58F5"/>
    <w:rPr>
      <w:rFonts w:ascii="Calibri" w:eastAsia="宋体" w:hAnsi="Calibri" w:cs="Times New Roman"/>
      <w:sz w:val="18"/>
      <w:szCs w:val="18"/>
    </w:rPr>
  </w:style>
  <w:style w:type="character" w:customStyle="1" w:styleId="apple-style-span">
    <w:name w:val="apple-style-span"/>
    <w:basedOn w:val="a0"/>
    <w:rsid w:val="00E949BD"/>
  </w:style>
  <w:style w:type="character" w:styleId="a6">
    <w:name w:val="Hyperlink"/>
    <w:basedOn w:val="a0"/>
    <w:uiPriority w:val="99"/>
    <w:unhideWhenUsed/>
    <w:rsid w:val="00E949BD"/>
    <w:rPr>
      <w:color w:val="0000FF"/>
      <w:u w:val="single"/>
    </w:rPr>
  </w:style>
  <w:style w:type="character" w:customStyle="1" w:styleId="apple-converted-space">
    <w:name w:val="apple-converted-space"/>
    <w:basedOn w:val="a0"/>
    <w:rsid w:val="0071751B"/>
  </w:style>
  <w:style w:type="character" w:styleId="a7">
    <w:name w:val="Strong"/>
    <w:basedOn w:val="a0"/>
    <w:uiPriority w:val="22"/>
    <w:qFormat/>
    <w:rsid w:val="0071751B"/>
    <w:rPr>
      <w:b/>
      <w:bCs/>
    </w:rPr>
  </w:style>
  <w:style w:type="character" w:styleId="a8">
    <w:name w:val="Emphasis"/>
    <w:basedOn w:val="a0"/>
    <w:uiPriority w:val="20"/>
    <w:qFormat/>
    <w:rsid w:val="0071751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>NE.Ref</dc:description>
  <cp:lastModifiedBy>DELL</cp:lastModifiedBy>
  <cp:revision>17</cp:revision>
  <dcterms:created xsi:type="dcterms:W3CDTF">2013-10-14T11:11:00Z</dcterms:created>
  <dcterms:modified xsi:type="dcterms:W3CDTF">2014-05-26T07:34:00Z</dcterms:modified>
</cp:coreProperties>
</file>