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AC" w:rsidRDefault="00846BAC" w:rsidP="00846BAC">
      <w:pPr>
        <w:spacing w:line="480" w:lineRule="auto"/>
        <w:jc w:val="both"/>
        <w:rPr>
          <w:b/>
          <w:sz w:val="20"/>
          <w:szCs w:val="20"/>
          <w:lang w:val="en-US"/>
        </w:rPr>
      </w:pPr>
    </w:p>
    <w:p w:rsidR="00846BAC" w:rsidRPr="003E4C3E" w:rsidRDefault="00846BAC" w:rsidP="00846BAC">
      <w:pPr>
        <w:spacing w:line="480" w:lineRule="auto"/>
        <w:jc w:val="both"/>
        <w:rPr>
          <w:sz w:val="20"/>
          <w:szCs w:val="20"/>
          <w:lang w:val="en-US"/>
        </w:rPr>
      </w:pPr>
      <w:r w:rsidRPr="003E4C3E">
        <w:rPr>
          <w:b/>
          <w:sz w:val="20"/>
          <w:szCs w:val="20"/>
          <w:lang w:val="en-US"/>
        </w:rPr>
        <w:t xml:space="preserve">Table </w:t>
      </w:r>
      <w:r>
        <w:rPr>
          <w:b/>
          <w:sz w:val="20"/>
          <w:szCs w:val="20"/>
          <w:lang w:val="en-US"/>
        </w:rPr>
        <w:t>S</w:t>
      </w:r>
      <w:r w:rsidRPr="003E4C3E">
        <w:rPr>
          <w:b/>
          <w:sz w:val="20"/>
          <w:szCs w:val="20"/>
          <w:lang w:val="en-US"/>
        </w:rPr>
        <w:t>1.</w:t>
      </w:r>
      <w:r w:rsidRPr="003E4C3E">
        <w:rPr>
          <w:sz w:val="20"/>
          <w:szCs w:val="20"/>
          <w:lang w:val="en-US"/>
        </w:rPr>
        <w:t xml:space="preserve"> Characteristics of patients</w:t>
      </w:r>
      <w:r>
        <w:rPr>
          <w:sz w:val="20"/>
          <w:szCs w:val="20"/>
          <w:lang w:val="en-US"/>
        </w:rPr>
        <w:t xml:space="preserve"> with AML</w:t>
      </w:r>
      <w:r w:rsidRPr="003E4C3E">
        <w:rPr>
          <w:sz w:val="20"/>
          <w:szCs w:val="20"/>
          <w:lang w:val="en-US"/>
        </w:rPr>
        <w:t xml:space="preserve"> according to mutation status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620"/>
        <w:gridCol w:w="1620"/>
        <w:gridCol w:w="1620"/>
        <w:gridCol w:w="1544"/>
      </w:tblGrid>
      <w:tr w:rsidR="00846BAC" w:rsidRPr="00B62010" w:rsidTr="001E5807">
        <w:tc>
          <w:tcPr>
            <w:tcW w:w="2808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pacing w:line="480" w:lineRule="auto"/>
              <w:jc w:val="center"/>
              <w:rPr>
                <w:rStyle w:val="Ohne"/>
                <w:b/>
                <w:szCs w:val="20"/>
              </w:rPr>
            </w:pPr>
            <w:r w:rsidRPr="00B62010">
              <w:rPr>
                <w:rStyle w:val="Ohne"/>
                <w:b/>
                <w:szCs w:val="20"/>
              </w:rPr>
              <w:t>Total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</w:tabs>
              <w:spacing w:line="480" w:lineRule="auto"/>
              <w:jc w:val="center"/>
              <w:rPr>
                <w:rStyle w:val="Ohne"/>
                <w:b/>
                <w:szCs w:val="20"/>
              </w:rPr>
            </w:pPr>
            <w:r w:rsidRPr="00B62010">
              <w:rPr>
                <w:rStyle w:val="Ohne"/>
                <w:b/>
                <w:i/>
                <w:szCs w:val="20"/>
              </w:rPr>
              <w:t xml:space="preserve">DNMT3A </w:t>
            </w:r>
            <w:proofErr w:type="spellStart"/>
            <w:r w:rsidRPr="00B62010">
              <w:rPr>
                <w:rStyle w:val="Ohne"/>
                <w:b/>
                <w:szCs w:val="20"/>
              </w:rPr>
              <w:t>mut</w:t>
            </w:r>
            <w:proofErr w:type="spellEnd"/>
            <w:r w:rsidRPr="00B62010">
              <w:rPr>
                <w:rStyle w:val="Ohne"/>
                <w:b/>
                <w:szCs w:val="20"/>
              </w:rPr>
              <w:t>+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</w:tabs>
              <w:spacing w:line="480" w:lineRule="auto"/>
              <w:jc w:val="center"/>
              <w:rPr>
                <w:rStyle w:val="Ohne"/>
                <w:b/>
                <w:szCs w:val="20"/>
              </w:rPr>
            </w:pPr>
            <w:r w:rsidRPr="00B62010">
              <w:rPr>
                <w:rStyle w:val="Ohne"/>
                <w:b/>
                <w:i/>
                <w:szCs w:val="20"/>
              </w:rPr>
              <w:t>IDH1</w:t>
            </w:r>
            <w:r w:rsidRPr="00B62010">
              <w:rPr>
                <w:rStyle w:val="Ohne"/>
                <w:b/>
                <w:szCs w:val="20"/>
              </w:rPr>
              <w:t xml:space="preserve"> </w:t>
            </w:r>
            <w:proofErr w:type="spellStart"/>
            <w:r w:rsidRPr="00B62010">
              <w:rPr>
                <w:rStyle w:val="Ohne"/>
                <w:b/>
                <w:szCs w:val="20"/>
              </w:rPr>
              <w:t>mut</w:t>
            </w:r>
            <w:proofErr w:type="spellEnd"/>
            <w:r w:rsidRPr="00B62010">
              <w:rPr>
                <w:rStyle w:val="Ohne"/>
                <w:b/>
                <w:szCs w:val="20"/>
              </w:rPr>
              <w:t>+</w:t>
            </w:r>
          </w:p>
        </w:tc>
        <w:tc>
          <w:tcPr>
            <w:tcW w:w="1544" w:type="dxa"/>
            <w:shd w:val="clear" w:color="auto" w:fill="auto"/>
          </w:tcPr>
          <w:p w:rsidR="00846BAC" w:rsidRPr="00B62010" w:rsidRDefault="00846BAC" w:rsidP="001E580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</w:tabs>
              <w:spacing w:line="480" w:lineRule="auto"/>
              <w:jc w:val="center"/>
              <w:rPr>
                <w:rStyle w:val="Ohne"/>
                <w:b/>
                <w:szCs w:val="20"/>
              </w:rPr>
            </w:pPr>
            <w:r w:rsidRPr="00B62010">
              <w:rPr>
                <w:rStyle w:val="Ohne"/>
                <w:b/>
                <w:i/>
                <w:szCs w:val="20"/>
              </w:rPr>
              <w:t>IDH2</w:t>
            </w:r>
            <w:r w:rsidRPr="00B62010">
              <w:rPr>
                <w:rStyle w:val="Ohne"/>
                <w:b/>
                <w:szCs w:val="20"/>
              </w:rPr>
              <w:t xml:space="preserve"> </w:t>
            </w:r>
            <w:proofErr w:type="spellStart"/>
            <w:r w:rsidRPr="00B62010">
              <w:rPr>
                <w:rStyle w:val="Ohne"/>
                <w:b/>
                <w:szCs w:val="20"/>
              </w:rPr>
              <w:t>mut</w:t>
            </w:r>
            <w:proofErr w:type="spellEnd"/>
            <w:r w:rsidRPr="00B62010">
              <w:rPr>
                <w:rStyle w:val="Ohne"/>
                <w:b/>
                <w:szCs w:val="20"/>
              </w:rPr>
              <w:t>+</w:t>
            </w:r>
          </w:p>
        </w:tc>
      </w:tr>
      <w:tr w:rsidR="00846BAC" w:rsidRPr="00B62010" w:rsidTr="001E5807">
        <w:tc>
          <w:tcPr>
            <w:tcW w:w="2808" w:type="dxa"/>
            <w:shd w:val="clear" w:color="auto" w:fill="auto"/>
          </w:tcPr>
          <w:p w:rsidR="00846BAC" w:rsidRPr="00B62010" w:rsidRDefault="00846BAC" w:rsidP="001E5807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</w:tabs>
              <w:spacing w:line="480" w:lineRule="auto"/>
              <w:jc w:val="center"/>
              <w:rPr>
                <w:rStyle w:val="Ohne"/>
                <w:b/>
                <w:szCs w:val="20"/>
              </w:rPr>
            </w:pPr>
            <w:proofErr w:type="spellStart"/>
            <w:r w:rsidRPr="00B62010">
              <w:rPr>
                <w:rStyle w:val="Ohne"/>
                <w:b/>
                <w:szCs w:val="20"/>
              </w:rPr>
              <w:t>Characteristics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pacing w:line="480" w:lineRule="auto"/>
              <w:jc w:val="center"/>
              <w:rPr>
                <w:sz w:val="20"/>
                <w:szCs w:val="20"/>
              </w:rPr>
            </w:pPr>
            <w:r w:rsidRPr="00B62010">
              <w:rPr>
                <w:sz w:val="20"/>
                <w:szCs w:val="20"/>
              </w:rPr>
              <w:t>230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</w:tabs>
              <w:spacing w:line="480" w:lineRule="auto"/>
              <w:jc w:val="center"/>
              <w:rPr>
                <w:sz w:val="20"/>
                <w:szCs w:val="20"/>
              </w:rPr>
            </w:pPr>
            <w:r w:rsidRPr="00B62010">
              <w:rPr>
                <w:sz w:val="20"/>
                <w:szCs w:val="20"/>
              </w:rPr>
              <w:t>30 (13%)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</w:tabs>
              <w:spacing w:line="480" w:lineRule="auto"/>
              <w:jc w:val="center"/>
              <w:rPr>
                <w:sz w:val="20"/>
                <w:szCs w:val="20"/>
              </w:rPr>
            </w:pPr>
            <w:r w:rsidRPr="00B62010">
              <w:rPr>
                <w:sz w:val="20"/>
                <w:szCs w:val="20"/>
              </w:rPr>
              <w:t>36 (16%)</w:t>
            </w:r>
          </w:p>
        </w:tc>
        <w:tc>
          <w:tcPr>
            <w:tcW w:w="1544" w:type="dxa"/>
            <w:shd w:val="clear" w:color="auto" w:fill="auto"/>
          </w:tcPr>
          <w:p w:rsidR="00846BAC" w:rsidRPr="00B62010" w:rsidRDefault="00846BAC" w:rsidP="001E580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</w:tabs>
              <w:spacing w:line="480" w:lineRule="auto"/>
              <w:jc w:val="center"/>
              <w:rPr>
                <w:sz w:val="20"/>
                <w:szCs w:val="20"/>
              </w:rPr>
            </w:pPr>
            <w:r w:rsidRPr="00B62010">
              <w:rPr>
                <w:sz w:val="20"/>
                <w:szCs w:val="20"/>
              </w:rPr>
              <w:t>16 (7%)</w:t>
            </w:r>
          </w:p>
        </w:tc>
      </w:tr>
      <w:tr w:rsidR="00846BAC" w:rsidRPr="00B62010" w:rsidTr="001E5807">
        <w:tc>
          <w:tcPr>
            <w:tcW w:w="2808" w:type="dxa"/>
            <w:shd w:val="clear" w:color="auto" w:fill="auto"/>
          </w:tcPr>
          <w:p w:rsidR="00846BAC" w:rsidRPr="00B62010" w:rsidRDefault="00846BAC" w:rsidP="001E5807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</w:tabs>
              <w:spacing w:line="480" w:lineRule="auto"/>
              <w:rPr>
                <w:rStyle w:val="Ohne"/>
                <w:szCs w:val="20"/>
                <w:lang w:val="en-GB"/>
              </w:rPr>
            </w:pPr>
            <w:r w:rsidRPr="00B62010">
              <w:rPr>
                <w:rStyle w:val="Ohne"/>
                <w:szCs w:val="20"/>
                <w:lang w:val="en-GB"/>
              </w:rPr>
              <w:t>Age (y), median  (range)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spacing w:line="480" w:lineRule="auto"/>
              <w:jc w:val="center"/>
              <w:rPr>
                <w:rStyle w:val="Ohne"/>
                <w:szCs w:val="20"/>
              </w:rPr>
            </w:pPr>
            <w:r w:rsidRPr="00B62010">
              <w:rPr>
                <w:rStyle w:val="Ohne"/>
                <w:szCs w:val="20"/>
              </w:rPr>
              <w:t>57 (16-94)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</w:tabs>
              <w:spacing w:line="480" w:lineRule="auto"/>
              <w:jc w:val="center"/>
              <w:rPr>
                <w:rStyle w:val="Ohne"/>
                <w:szCs w:val="20"/>
              </w:rPr>
            </w:pPr>
            <w:r w:rsidRPr="00B62010">
              <w:rPr>
                <w:rStyle w:val="Ohne"/>
                <w:szCs w:val="20"/>
              </w:rPr>
              <w:t>58 (24-87)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</w:tabs>
              <w:spacing w:line="480" w:lineRule="auto"/>
              <w:jc w:val="center"/>
              <w:rPr>
                <w:rStyle w:val="Ohne"/>
                <w:szCs w:val="20"/>
              </w:rPr>
            </w:pPr>
            <w:r w:rsidRPr="00B62010">
              <w:rPr>
                <w:rStyle w:val="Ohne"/>
                <w:szCs w:val="20"/>
              </w:rPr>
              <w:t>36 (19-85)</w:t>
            </w:r>
          </w:p>
        </w:tc>
        <w:tc>
          <w:tcPr>
            <w:tcW w:w="1544" w:type="dxa"/>
            <w:shd w:val="clear" w:color="auto" w:fill="auto"/>
          </w:tcPr>
          <w:p w:rsidR="00846BAC" w:rsidRPr="00B62010" w:rsidRDefault="00846BAC" w:rsidP="001E580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</w:tabs>
              <w:spacing w:line="480" w:lineRule="auto"/>
              <w:jc w:val="center"/>
              <w:rPr>
                <w:sz w:val="20"/>
                <w:szCs w:val="20"/>
              </w:rPr>
            </w:pPr>
            <w:r w:rsidRPr="00B62010">
              <w:rPr>
                <w:rStyle w:val="Ohne"/>
                <w:szCs w:val="20"/>
              </w:rPr>
              <w:t>63 (32-86)</w:t>
            </w:r>
          </w:p>
        </w:tc>
      </w:tr>
      <w:tr w:rsidR="00846BAC" w:rsidRPr="00B62010" w:rsidTr="001E5807">
        <w:trPr>
          <w:trHeight w:val="272"/>
        </w:trPr>
        <w:tc>
          <w:tcPr>
            <w:tcW w:w="2808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B62010">
              <w:rPr>
                <w:rStyle w:val="Ohne"/>
                <w:szCs w:val="20"/>
                <w:lang w:val="en-US"/>
              </w:rPr>
              <w:t>M/F ratio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116/114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11/19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18/18</w:t>
            </w:r>
          </w:p>
        </w:tc>
        <w:tc>
          <w:tcPr>
            <w:tcW w:w="1544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9/7</w:t>
            </w:r>
          </w:p>
        </w:tc>
      </w:tr>
      <w:tr w:rsidR="00846BAC" w:rsidRPr="00B62010" w:rsidTr="001E5807">
        <w:tc>
          <w:tcPr>
            <w:tcW w:w="2808" w:type="dxa"/>
            <w:shd w:val="clear" w:color="auto" w:fill="auto"/>
          </w:tcPr>
          <w:p w:rsidR="00846BAC" w:rsidRPr="00B62010" w:rsidRDefault="00846BAC" w:rsidP="001E5807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</w:tabs>
              <w:spacing w:line="480" w:lineRule="auto"/>
              <w:rPr>
                <w:color w:val="000000"/>
                <w:sz w:val="20"/>
                <w:lang w:val="nl-NL"/>
              </w:rPr>
            </w:pPr>
            <w:r w:rsidRPr="00B62010">
              <w:rPr>
                <w:rStyle w:val="Ohne"/>
                <w:lang w:val="nl-NL"/>
              </w:rPr>
              <w:t>de novo AML, n (%)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164 (71%)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21 (70%)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25 (69%)</w:t>
            </w:r>
          </w:p>
        </w:tc>
        <w:tc>
          <w:tcPr>
            <w:tcW w:w="1544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13 (81%)</w:t>
            </w:r>
          </w:p>
        </w:tc>
      </w:tr>
      <w:tr w:rsidR="00846BAC" w:rsidRPr="00B62010" w:rsidTr="001E5807">
        <w:tc>
          <w:tcPr>
            <w:tcW w:w="2808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Normal karyotype, n (%)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115 (50%)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16 (53%)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20 (55%)</w:t>
            </w:r>
          </w:p>
        </w:tc>
        <w:tc>
          <w:tcPr>
            <w:tcW w:w="1544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10 (62%)</w:t>
            </w:r>
          </w:p>
        </w:tc>
      </w:tr>
      <w:tr w:rsidR="00846BAC" w:rsidRPr="00B62010" w:rsidTr="001E5807">
        <w:tc>
          <w:tcPr>
            <w:tcW w:w="2808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 xml:space="preserve">Favourable </w:t>
            </w:r>
            <w:proofErr w:type="spellStart"/>
            <w:r w:rsidRPr="00B62010">
              <w:rPr>
                <w:sz w:val="20"/>
                <w:szCs w:val="20"/>
                <w:lang w:val="en-GB"/>
              </w:rPr>
              <w:t>cytogenetics</w:t>
            </w:r>
            <w:proofErr w:type="spellEnd"/>
            <w:r w:rsidRPr="00B62010">
              <w:rPr>
                <w:sz w:val="20"/>
                <w:szCs w:val="20"/>
                <w:lang w:val="en-GB"/>
              </w:rPr>
              <w:t>, n (%)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18 (8%)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3 (8%)</w:t>
            </w:r>
          </w:p>
        </w:tc>
        <w:tc>
          <w:tcPr>
            <w:tcW w:w="1544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0</w:t>
            </w:r>
          </w:p>
        </w:tc>
      </w:tr>
      <w:tr w:rsidR="00846BAC" w:rsidRPr="00B62010" w:rsidTr="001E5807">
        <w:tc>
          <w:tcPr>
            <w:tcW w:w="2808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 xml:space="preserve">Adverse </w:t>
            </w:r>
            <w:proofErr w:type="spellStart"/>
            <w:r w:rsidRPr="00B62010">
              <w:rPr>
                <w:sz w:val="20"/>
                <w:szCs w:val="20"/>
                <w:lang w:val="en-GB"/>
              </w:rPr>
              <w:t>cytogenetics</w:t>
            </w:r>
            <w:proofErr w:type="spellEnd"/>
            <w:r w:rsidRPr="00B62010">
              <w:rPr>
                <w:sz w:val="20"/>
                <w:szCs w:val="20"/>
                <w:lang w:val="en-GB"/>
              </w:rPr>
              <w:t xml:space="preserve">, n (%) 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64 (28%)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9 (30%)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7 (19%)</w:t>
            </w:r>
          </w:p>
        </w:tc>
        <w:tc>
          <w:tcPr>
            <w:tcW w:w="1544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3 (19%)</w:t>
            </w:r>
          </w:p>
        </w:tc>
      </w:tr>
      <w:tr w:rsidR="00846BAC" w:rsidRPr="00B62010" w:rsidTr="001E5807">
        <w:tc>
          <w:tcPr>
            <w:tcW w:w="2808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B62010">
              <w:rPr>
                <w:i/>
                <w:sz w:val="20"/>
                <w:szCs w:val="20"/>
                <w:lang w:val="en-GB"/>
              </w:rPr>
              <w:t>NPM1</w:t>
            </w:r>
            <w:r w:rsidRPr="00B62010">
              <w:rPr>
                <w:sz w:val="20"/>
                <w:szCs w:val="20"/>
                <w:lang w:val="en-GB"/>
              </w:rPr>
              <w:t xml:space="preserve"> mutations, n (%)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43 (19%)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11 (37%)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6 (17%)</w:t>
            </w:r>
          </w:p>
        </w:tc>
        <w:tc>
          <w:tcPr>
            <w:tcW w:w="1544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7 (44%)</w:t>
            </w:r>
          </w:p>
        </w:tc>
      </w:tr>
      <w:tr w:rsidR="00846BAC" w:rsidRPr="00B62010" w:rsidTr="001E5807">
        <w:tc>
          <w:tcPr>
            <w:tcW w:w="2808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both"/>
              <w:rPr>
                <w:sz w:val="20"/>
                <w:szCs w:val="20"/>
                <w:lang w:val="en-GB"/>
              </w:rPr>
            </w:pPr>
            <w:r w:rsidRPr="00B62010">
              <w:rPr>
                <w:i/>
                <w:sz w:val="20"/>
                <w:szCs w:val="20"/>
                <w:lang w:val="en-GB"/>
              </w:rPr>
              <w:t>FLT3</w:t>
            </w:r>
            <w:r w:rsidRPr="00B62010">
              <w:rPr>
                <w:sz w:val="20"/>
                <w:szCs w:val="20"/>
                <w:lang w:val="en-GB"/>
              </w:rPr>
              <w:t xml:space="preserve"> mutations, n (%)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66 (29%)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16 (53%)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6 (17%)</w:t>
            </w:r>
          </w:p>
        </w:tc>
        <w:tc>
          <w:tcPr>
            <w:tcW w:w="1544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 w:rsidRPr="00B62010">
              <w:rPr>
                <w:sz w:val="20"/>
                <w:szCs w:val="20"/>
                <w:lang w:val="en-GB"/>
              </w:rPr>
              <w:t>2 (12%)</w:t>
            </w:r>
          </w:p>
        </w:tc>
      </w:tr>
      <w:tr w:rsidR="00846BAC" w:rsidRPr="00B62010" w:rsidTr="001E5807">
        <w:tc>
          <w:tcPr>
            <w:tcW w:w="2808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both"/>
              <w:rPr>
                <w:rStyle w:val="Ohne"/>
                <w:lang w:val="en-US"/>
              </w:rPr>
            </w:pPr>
            <w:r w:rsidRPr="00B62010">
              <w:rPr>
                <w:rStyle w:val="Ohne"/>
                <w:lang w:val="en-US"/>
              </w:rPr>
              <w:t>WBC count (10</w:t>
            </w:r>
            <w:r w:rsidRPr="00B62010">
              <w:rPr>
                <w:rStyle w:val="Ohne"/>
                <w:vertAlign w:val="superscript"/>
                <w:lang w:val="en-US"/>
              </w:rPr>
              <w:t>9</w:t>
            </w:r>
            <w:r w:rsidRPr="00B62010">
              <w:rPr>
                <w:rStyle w:val="Ohne"/>
                <w:lang w:val="en-US"/>
              </w:rPr>
              <w:t xml:space="preserve">x/L), </w:t>
            </w:r>
          </w:p>
          <w:p w:rsidR="00846BAC" w:rsidRPr="00B62010" w:rsidRDefault="00846BAC" w:rsidP="001E5807">
            <w:pPr>
              <w:spacing w:line="480" w:lineRule="auto"/>
              <w:jc w:val="both"/>
              <w:rPr>
                <w:sz w:val="20"/>
                <w:szCs w:val="20"/>
                <w:lang w:val="en-US"/>
              </w:rPr>
            </w:pPr>
            <w:r w:rsidRPr="00B62010">
              <w:rPr>
                <w:rStyle w:val="Ohne"/>
                <w:lang w:val="en-US"/>
              </w:rPr>
              <w:t>median (range)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39.6 (0.</w:t>
            </w:r>
            <w:r w:rsidRPr="00B62010">
              <w:rPr>
                <w:sz w:val="20"/>
                <w:szCs w:val="20"/>
                <w:lang w:val="en-GB"/>
              </w:rPr>
              <w:t>4-400)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46.9 (0.</w:t>
            </w:r>
            <w:r w:rsidRPr="00B62010">
              <w:rPr>
                <w:sz w:val="20"/>
                <w:szCs w:val="20"/>
                <w:lang w:val="en-GB"/>
              </w:rPr>
              <w:t>6-197)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31.5 (0.</w:t>
            </w:r>
            <w:r w:rsidRPr="00B62010">
              <w:rPr>
                <w:sz w:val="20"/>
                <w:szCs w:val="20"/>
                <w:lang w:val="en-GB"/>
              </w:rPr>
              <w:t>5-182)</w:t>
            </w:r>
          </w:p>
        </w:tc>
        <w:tc>
          <w:tcPr>
            <w:tcW w:w="1544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39.9 (0.</w:t>
            </w:r>
            <w:r w:rsidRPr="00B62010">
              <w:rPr>
                <w:sz w:val="20"/>
                <w:szCs w:val="20"/>
                <w:lang w:val="en-GB"/>
              </w:rPr>
              <w:t>5-149)</w:t>
            </w:r>
          </w:p>
        </w:tc>
      </w:tr>
      <w:tr w:rsidR="00846BAC" w:rsidRPr="00B62010" w:rsidTr="001E5807">
        <w:tc>
          <w:tcPr>
            <w:tcW w:w="2808" w:type="dxa"/>
            <w:shd w:val="clear" w:color="auto" w:fill="auto"/>
          </w:tcPr>
          <w:p w:rsidR="00846BAC" w:rsidRPr="00B62010" w:rsidRDefault="00846BAC" w:rsidP="001E5807">
            <w:p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</w:tabs>
              <w:spacing w:line="480" w:lineRule="auto"/>
              <w:jc w:val="both"/>
              <w:rPr>
                <w:rStyle w:val="Ohne"/>
                <w:lang w:val="en-US"/>
              </w:rPr>
            </w:pPr>
            <w:r w:rsidRPr="00B62010">
              <w:rPr>
                <w:rStyle w:val="Ohne"/>
                <w:lang w:val="en-US"/>
              </w:rPr>
              <w:t>BM blasts (%), median (range)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72.</w:t>
            </w:r>
            <w:r w:rsidRPr="00B62010">
              <w:rPr>
                <w:sz w:val="20"/>
                <w:szCs w:val="20"/>
                <w:lang w:val="en-GB"/>
              </w:rPr>
              <w:t>7 (25-99)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75.</w:t>
            </w:r>
            <w:r w:rsidRPr="00B62010">
              <w:rPr>
                <w:sz w:val="20"/>
                <w:szCs w:val="20"/>
                <w:lang w:val="en-GB"/>
              </w:rPr>
              <w:t>1 (25-95)</w:t>
            </w:r>
          </w:p>
        </w:tc>
        <w:tc>
          <w:tcPr>
            <w:tcW w:w="1620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71.</w:t>
            </w:r>
            <w:r w:rsidRPr="00B62010">
              <w:rPr>
                <w:sz w:val="20"/>
                <w:szCs w:val="20"/>
                <w:lang w:val="en-GB"/>
              </w:rPr>
              <w:t>5 (25-95)</w:t>
            </w:r>
          </w:p>
        </w:tc>
        <w:tc>
          <w:tcPr>
            <w:tcW w:w="1544" w:type="dxa"/>
            <w:shd w:val="clear" w:color="auto" w:fill="auto"/>
          </w:tcPr>
          <w:p w:rsidR="00846BAC" w:rsidRPr="00B62010" w:rsidRDefault="00846BAC" w:rsidP="001E5807">
            <w:pPr>
              <w:spacing w:line="480" w:lineRule="auto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78.</w:t>
            </w:r>
            <w:r w:rsidRPr="00B62010">
              <w:rPr>
                <w:sz w:val="20"/>
                <w:szCs w:val="20"/>
                <w:lang w:val="en-GB"/>
              </w:rPr>
              <w:t>5 (30-95)</w:t>
            </w:r>
          </w:p>
        </w:tc>
      </w:tr>
    </w:tbl>
    <w:p w:rsidR="00846BAC" w:rsidRPr="00E34D0C" w:rsidRDefault="00846BAC" w:rsidP="00846BAC">
      <w:pPr>
        <w:spacing w:line="480" w:lineRule="auto"/>
        <w:jc w:val="both"/>
        <w:rPr>
          <w:sz w:val="20"/>
          <w:szCs w:val="20"/>
          <w:lang w:val="en-US"/>
        </w:rPr>
      </w:pPr>
      <w:r w:rsidRPr="00E34D0C">
        <w:rPr>
          <w:i/>
          <w:sz w:val="20"/>
          <w:szCs w:val="20"/>
          <w:lang w:val="en-US"/>
        </w:rPr>
        <w:t xml:space="preserve">DNMT3A </w:t>
      </w:r>
      <w:proofErr w:type="spellStart"/>
      <w:r w:rsidRPr="00E34D0C">
        <w:rPr>
          <w:i/>
          <w:sz w:val="20"/>
          <w:szCs w:val="20"/>
          <w:lang w:val="en-US"/>
        </w:rPr>
        <w:t>mut</w:t>
      </w:r>
      <w:proofErr w:type="spellEnd"/>
      <w:r w:rsidRPr="00E34D0C">
        <w:rPr>
          <w:sz w:val="20"/>
          <w:szCs w:val="20"/>
          <w:lang w:val="en-US"/>
        </w:rPr>
        <w:t xml:space="preserve">+, presence of </w:t>
      </w:r>
      <w:r w:rsidRPr="00E34D0C">
        <w:rPr>
          <w:i/>
          <w:sz w:val="20"/>
          <w:szCs w:val="20"/>
          <w:lang w:val="en-US"/>
        </w:rPr>
        <w:t>DNMT3A</w:t>
      </w:r>
      <w:r w:rsidRPr="00E34D0C">
        <w:rPr>
          <w:sz w:val="20"/>
          <w:szCs w:val="20"/>
          <w:lang w:val="en-US"/>
        </w:rPr>
        <w:t xml:space="preserve"> mutation; </w:t>
      </w:r>
      <w:r w:rsidRPr="00E34D0C">
        <w:rPr>
          <w:i/>
          <w:sz w:val="20"/>
          <w:szCs w:val="20"/>
          <w:lang w:val="en-US"/>
        </w:rPr>
        <w:t xml:space="preserve">IDH1 </w:t>
      </w:r>
      <w:proofErr w:type="spellStart"/>
      <w:r w:rsidRPr="00E34D0C">
        <w:rPr>
          <w:i/>
          <w:sz w:val="20"/>
          <w:szCs w:val="20"/>
          <w:lang w:val="en-US"/>
        </w:rPr>
        <w:t>mut</w:t>
      </w:r>
      <w:proofErr w:type="spellEnd"/>
      <w:r w:rsidRPr="00E34D0C">
        <w:rPr>
          <w:sz w:val="20"/>
          <w:szCs w:val="20"/>
          <w:lang w:val="en-US"/>
        </w:rPr>
        <w:t xml:space="preserve">+, presence of </w:t>
      </w:r>
      <w:r w:rsidRPr="00E34D0C">
        <w:rPr>
          <w:i/>
          <w:sz w:val="20"/>
          <w:szCs w:val="20"/>
          <w:lang w:val="en-US"/>
        </w:rPr>
        <w:t>IDH1</w:t>
      </w:r>
      <w:r w:rsidRPr="00E34D0C">
        <w:rPr>
          <w:sz w:val="20"/>
          <w:szCs w:val="20"/>
          <w:lang w:val="en-US"/>
        </w:rPr>
        <w:t xml:space="preserve"> mutation; </w:t>
      </w:r>
      <w:r w:rsidRPr="00E34D0C">
        <w:rPr>
          <w:i/>
          <w:sz w:val="20"/>
          <w:szCs w:val="20"/>
          <w:lang w:val="en-US"/>
        </w:rPr>
        <w:t xml:space="preserve">IDH2 </w:t>
      </w:r>
      <w:proofErr w:type="spellStart"/>
      <w:r w:rsidRPr="00E34D0C">
        <w:rPr>
          <w:i/>
          <w:sz w:val="20"/>
          <w:szCs w:val="20"/>
          <w:lang w:val="en-US"/>
        </w:rPr>
        <w:t>mut</w:t>
      </w:r>
      <w:proofErr w:type="spellEnd"/>
      <w:r w:rsidRPr="00E34D0C">
        <w:rPr>
          <w:sz w:val="20"/>
          <w:szCs w:val="20"/>
          <w:lang w:val="en-US"/>
        </w:rPr>
        <w:t xml:space="preserve">+, presence of </w:t>
      </w:r>
      <w:r w:rsidRPr="00E34D0C">
        <w:rPr>
          <w:i/>
          <w:sz w:val="20"/>
          <w:szCs w:val="20"/>
          <w:lang w:val="en-US"/>
        </w:rPr>
        <w:t>IDH2</w:t>
      </w:r>
      <w:r w:rsidRPr="00E34D0C">
        <w:rPr>
          <w:sz w:val="20"/>
          <w:szCs w:val="20"/>
          <w:lang w:val="en-US"/>
        </w:rPr>
        <w:t xml:space="preserve"> mutation; </w:t>
      </w:r>
      <w:r w:rsidRPr="00E34D0C">
        <w:rPr>
          <w:color w:val="000000"/>
          <w:sz w:val="20"/>
          <w:szCs w:val="20"/>
          <w:lang w:val="en-US" w:eastAsia="ru-RU"/>
        </w:rPr>
        <w:t xml:space="preserve">n indicates number of patients; </w:t>
      </w:r>
      <w:r w:rsidRPr="00E34D0C">
        <w:rPr>
          <w:sz w:val="20"/>
          <w:szCs w:val="20"/>
          <w:lang w:val="en-US"/>
        </w:rPr>
        <w:t xml:space="preserve">AML, acute myeloid leukemia; WBC, white blood count; BM, bone marrow; </w:t>
      </w:r>
      <w:r w:rsidRPr="00E34D0C">
        <w:rPr>
          <w:color w:val="000000"/>
          <w:sz w:val="20"/>
          <w:szCs w:val="20"/>
          <w:lang w:val="en-US" w:eastAsia="ru-RU"/>
        </w:rPr>
        <w:t>Statistical analysis was performed using</w:t>
      </w:r>
      <w:r w:rsidRPr="00E34D0C">
        <w:rPr>
          <w:sz w:val="20"/>
          <w:szCs w:val="20"/>
          <w:lang w:val="en-US"/>
        </w:rPr>
        <w:t xml:space="preserve"> two-sided exact Fisher </w:t>
      </w:r>
      <w:r w:rsidRPr="00E34D0C">
        <w:rPr>
          <w:sz w:val="20"/>
          <w:szCs w:val="20"/>
          <w:lang w:val="en-US" w:eastAsia="ru-RU"/>
        </w:rPr>
        <w:t>test</w:t>
      </w:r>
      <w:r w:rsidRPr="00E34D0C">
        <w:rPr>
          <w:color w:val="000000"/>
          <w:sz w:val="20"/>
          <w:szCs w:val="20"/>
          <w:lang w:val="en-US" w:eastAsia="ru-RU"/>
        </w:rPr>
        <w:t xml:space="preserve">. </w:t>
      </w:r>
      <w:r w:rsidRPr="00E34D0C">
        <w:rPr>
          <w:sz w:val="20"/>
          <w:szCs w:val="20"/>
          <w:lang w:val="en-US"/>
        </w:rPr>
        <w:t xml:space="preserve">The cytogenetic risk groups were defined as follows: adverse risk, -5/5q-, -7/7q-, </w:t>
      </w:r>
      <w:proofErr w:type="spellStart"/>
      <w:r w:rsidRPr="00E34D0C">
        <w:rPr>
          <w:sz w:val="20"/>
          <w:szCs w:val="20"/>
          <w:lang w:val="en-US"/>
        </w:rPr>
        <w:t>abn</w:t>
      </w:r>
      <w:proofErr w:type="spellEnd"/>
      <w:r w:rsidRPr="00E34D0C">
        <w:rPr>
          <w:sz w:val="20"/>
          <w:szCs w:val="20"/>
          <w:lang w:val="en-US"/>
        </w:rPr>
        <w:t xml:space="preserve">(3q) (excluding t(3;5)), t(11q23) (excluding t(9;11) and t(11;19)), </w:t>
      </w:r>
      <w:proofErr w:type="spellStart"/>
      <w:r w:rsidRPr="00E34D0C">
        <w:rPr>
          <w:sz w:val="20"/>
          <w:szCs w:val="20"/>
          <w:lang w:val="en-US"/>
        </w:rPr>
        <w:t>abn</w:t>
      </w:r>
      <w:proofErr w:type="spellEnd"/>
      <w:r w:rsidRPr="00E34D0C">
        <w:rPr>
          <w:sz w:val="20"/>
          <w:szCs w:val="20"/>
          <w:lang w:val="en-US"/>
        </w:rPr>
        <w:t>(17p), complex aberrations (</w:t>
      </w:r>
      <w:r w:rsidRPr="00E34D0C">
        <w:rPr>
          <w:sz w:val="20"/>
          <w:szCs w:val="20"/>
          <w:u w:val="single"/>
          <w:lang w:val="en-US"/>
        </w:rPr>
        <w:t>&gt;</w:t>
      </w:r>
      <w:r w:rsidRPr="00E34D0C">
        <w:rPr>
          <w:sz w:val="20"/>
          <w:szCs w:val="20"/>
          <w:lang w:val="en-US"/>
        </w:rPr>
        <w:t xml:space="preserve">4 independent aberrations); intermediate risk, patients without low risk or high risk constellations;  favorable risk, t(15;17), </w:t>
      </w:r>
      <w:proofErr w:type="spellStart"/>
      <w:r w:rsidRPr="00E34D0C">
        <w:rPr>
          <w:sz w:val="20"/>
          <w:szCs w:val="20"/>
          <w:lang w:val="en-US"/>
        </w:rPr>
        <w:t>inv</w:t>
      </w:r>
      <w:proofErr w:type="spellEnd"/>
      <w:r w:rsidRPr="00E34D0C">
        <w:rPr>
          <w:sz w:val="20"/>
          <w:szCs w:val="20"/>
          <w:lang w:val="en-US"/>
        </w:rPr>
        <w:t xml:space="preserve">(16)/t(16;16), and t(8;21) irrespective to additional cytogenetic abnormalities </w:t>
      </w:r>
      <w:r>
        <w:rPr>
          <w:sz w:val="20"/>
          <w:szCs w:val="20"/>
          <w:lang w:val="en-US"/>
        </w:rPr>
        <w:fldChar w:fldCharType="begin"/>
      </w:r>
      <w:r>
        <w:rPr>
          <w:sz w:val="20"/>
          <w:szCs w:val="20"/>
          <w:lang w:val="en-US"/>
        </w:rPr>
        <w:instrText xml:space="preserve"> ADDIN EN.CITE &lt;EndNote&gt;&lt;Cite ExcludeYear="1"&gt;&lt;Author&gt;Abdel-Wahab&lt;/Author&gt;&lt;Year&gt;2013&lt;/Year&gt;&lt;RecNum&gt;2&lt;/RecNum&gt;&lt;DisplayText&gt;[40]&lt;/DisplayText&gt;&lt;record&gt;&lt;rec-number&gt;2&lt;/rec-number&gt;&lt;foreign-keys&gt;&lt;key app="EN" db-id="pvzzxdtrztfrdiew9ecpdt5wr0rae9pwr9vs" timestamp="1392299543"&gt;2&lt;/key&gt;&lt;/foreign-keys&gt;&lt;ref-type name="Journal Article"&gt;17&lt;/ref-type&gt;&lt;contributors&gt;&lt;authors&gt;&lt;author&gt;Abdel-Wahab, O.&lt;/author&gt;&lt;author&gt;Levine, R. L.&lt;/author&gt;&lt;/authors&gt;&lt;/contributors&gt;&lt;auth-address&gt;Human Oncology and Pathogenesis Program, and Leukemia Service, Department of Medicine, Memorial Sloan-Kettering Cancer Center, New York, NY, USA.&lt;/auth-address&gt;&lt;titles&gt;&lt;title&gt;Mutations in epigenetic modifiers in the pathogenesis and therapy of acute myeloid leukemia&lt;/title&gt;&lt;secondary-title&gt;Blood&lt;/secondary-title&gt;&lt;alt-title&gt;Blood&lt;/alt-title&gt;&lt;/titles&gt;&lt;periodical&gt;&lt;full-title&gt;Blood&lt;/full-title&gt;&lt;abbr-1&gt;Blood&lt;/abbr-1&gt;&lt;/periodical&gt;&lt;alt-periodical&gt;&lt;full-title&gt;Blood&lt;/full-title&gt;&lt;abbr-1&gt;Blood&lt;/abbr-1&gt;&lt;/alt-periodical&gt;&lt;pages&gt;3563-72&lt;/pages&gt;&lt;volume&gt;121&lt;/volume&gt;&lt;number&gt;18&lt;/number&gt;&lt;keywords&gt;&lt;keyword&gt;Animals&lt;/keyword&gt;&lt;keyword&gt;DNA (Cytosine-5-)-Methyltransferase/*genetics&lt;/keyword&gt;&lt;keyword&gt;DNA-Binding Proteins/*genetics&lt;/keyword&gt;&lt;keyword&gt;*Epigenesis, Genetic&lt;/keyword&gt;&lt;keyword&gt;Genes, Modifier/*genetics&lt;/keyword&gt;&lt;keyword&gt;Genetic Predisposition to Disease&lt;/keyword&gt;&lt;keyword&gt;Humans&lt;/keyword&gt;&lt;keyword&gt;Leukemia, Myeloid, Acute/*genetics/*therapy&lt;/keyword&gt;&lt;keyword&gt;Models, Genetic&lt;/keyword&gt;&lt;keyword&gt;Mutation&lt;/keyword&gt;&lt;keyword&gt;Proto-Oncogene Proteins/*genetics&lt;/keyword&gt;&lt;/keywords&gt;&lt;dates&gt;&lt;year&gt;2013&lt;/year&gt;&lt;pub-dates&gt;&lt;date&gt;May 2&lt;/date&gt;&lt;/pub-dates&gt;&lt;/dates&gt;&lt;isbn&gt;1528-0020 (Electronic)&amp;#xD;0006-4971 (Linking)&lt;/isbn&gt;&lt;accession-num&gt;23640996&lt;/accession-num&gt;&lt;urls&gt;&lt;related-urls&gt;&lt;url&gt;http://www.ncbi.nlm.nih.gov/pubmed/23640996&lt;/url&gt;&lt;/related-urls&gt;&lt;/urls&gt;&lt;custom2&gt;3643757&lt;/custom2&gt;&lt;electronic-resource-num&gt;10.1182/blood-2013-01-451781&lt;/electronic-resource-num&gt;&lt;/record&gt;&lt;/Cite&gt;&lt;/EndNote&gt;</w:instrText>
      </w:r>
      <w:r>
        <w:rPr>
          <w:sz w:val="20"/>
          <w:szCs w:val="20"/>
          <w:lang w:val="en-US"/>
        </w:rPr>
        <w:fldChar w:fldCharType="separate"/>
      </w:r>
      <w:r>
        <w:rPr>
          <w:noProof/>
          <w:sz w:val="20"/>
          <w:szCs w:val="20"/>
          <w:lang w:val="en-US"/>
        </w:rPr>
        <w:t>[</w:t>
      </w:r>
      <w:hyperlink w:anchor="_ENREF_40" w:tooltip="Abdel-Wahab, 2013 #2" w:history="1">
        <w:r>
          <w:rPr>
            <w:noProof/>
            <w:sz w:val="20"/>
            <w:szCs w:val="20"/>
            <w:lang w:val="en-US"/>
          </w:rPr>
          <w:t>40</w:t>
        </w:r>
      </w:hyperlink>
      <w:r>
        <w:rPr>
          <w:noProof/>
          <w:sz w:val="20"/>
          <w:szCs w:val="20"/>
          <w:lang w:val="en-US"/>
        </w:rPr>
        <w:t>]</w:t>
      </w:r>
      <w:r>
        <w:rPr>
          <w:sz w:val="20"/>
          <w:szCs w:val="20"/>
          <w:lang w:val="en-US"/>
        </w:rPr>
        <w:fldChar w:fldCharType="end"/>
      </w:r>
      <w:r w:rsidRPr="00E34D0C">
        <w:rPr>
          <w:sz w:val="20"/>
          <w:szCs w:val="20"/>
          <w:lang w:val="en-US"/>
        </w:rPr>
        <w:t xml:space="preserve">.  </w:t>
      </w:r>
    </w:p>
    <w:p w:rsidR="00373171" w:rsidRPr="00846BAC" w:rsidRDefault="00373171">
      <w:pPr>
        <w:rPr>
          <w:lang w:val="en-US"/>
        </w:rPr>
      </w:pPr>
      <w:bookmarkStart w:id="0" w:name="_GoBack"/>
      <w:bookmarkEnd w:id="0"/>
    </w:p>
    <w:sectPr w:rsidR="00373171" w:rsidRPr="00846B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BAC"/>
    <w:rsid w:val="00373171"/>
    <w:rsid w:val="00502DAC"/>
    <w:rsid w:val="00846BAC"/>
    <w:rsid w:val="00954324"/>
    <w:rsid w:val="0097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46BAC"/>
    <w:rPr>
      <w:rFonts w:eastAsia="MS Mincho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Ohne">
    <w:name w:val="Ohne"/>
    <w:rsid w:val="00846BAC"/>
    <w:rPr>
      <w:color w:val="00000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46BAC"/>
    <w:rPr>
      <w:rFonts w:eastAsia="MS Mincho"/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Ohne">
    <w:name w:val="Ohne"/>
    <w:rsid w:val="00846BAC"/>
    <w:rPr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7CEE6A30.dotm</Template>
  <TotalTime>0</TotalTime>
  <Pages>1</Pages>
  <Words>476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Charite Universitaetsmedizin Berlin</Company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Berenstein, Rimma</dc:creator>
  <cp:keywords/>
  <dc:description/>
  <cp:lastModifiedBy>Berenstein, Rimma</cp:lastModifiedBy>
  <cp:revision>1</cp:revision>
  <dcterms:created xsi:type="dcterms:W3CDTF">2014-05-05T08:37:00Z</dcterms:created>
  <dcterms:modified xsi:type="dcterms:W3CDTF">2014-05-05T08:37:00Z</dcterms:modified>
</cp:coreProperties>
</file>