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315" w:rsidRPr="00A6514D" w:rsidRDefault="00A6514D" w:rsidP="00A6514D">
      <w:pPr>
        <w:jc w:val="center"/>
        <w:rPr>
          <w:b/>
        </w:rPr>
      </w:pPr>
      <w:r w:rsidRPr="00A6514D">
        <w:rPr>
          <w:rFonts w:hint="eastAsia"/>
          <w:b/>
        </w:rPr>
        <w:t>Supplement Table</w:t>
      </w:r>
    </w:p>
    <w:p w:rsidR="00F2407F" w:rsidRDefault="00F2407F" w:rsidP="00DC5CF5"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268"/>
        <w:gridCol w:w="2268"/>
        <w:gridCol w:w="1319"/>
      </w:tblGrid>
      <w:tr w:rsidR="00F2407F" w:rsidTr="00250BC1"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MS (-)</w:t>
            </w:r>
          </w:p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n=3,518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MS (+)</w:t>
            </w:r>
          </w:p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n=796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407F" w:rsidRPr="00A53641" w:rsidRDefault="00F2407F" w:rsidP="00250BC1">
            <w:pPr>
              <w:tabs>
                <w:tab w:val="left" w:pos="1738"/>
              </w:tabs>
              <w:jc w:val="center"/>
              <w:rPr>
                <w:i/>
              </w:rPr>
            </w:pPr>
            <w:r w:rsidRPr="00A53641">
              <w:rPr>
                <w:rFonts w:hint="eastAsia"/>
                <w:i/>
              </w:rPr>
              <w:t>p</w:t>
            </w:r>
          </w:p>
        </w:tc>
      </w:tr>
      <w:tr w:rsidR="00F2407F" w:rsidTr="00250BC1">
        <w:tc>
          <w:tcPr>
            <w:tcW w:w="3369" w:type="dxa"/>
            <w:tcBorders>
              <w:top w:val="single" w:sz="4" w:space="0" w:color="auto"/>
            </w:tcBorders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Age (</w:t>
            </w:r>
            <w:proofErr w:type="spellStart"/>
            <w:r>
              <w:rPr>
                <w:rFonts w:hint="eastAsia"/>
              </w:rPr>
              <w:t>yrs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43.0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14.8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50.7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14.1</w:t>
            </w:r>
          </w:p>
        </w:tc>
        <w:tc>
          <w:tcPr>
            <w:tcW w:w="1319" w:type="dxa"/>
            <w:tcBorders>
              <w:top w:val="single" w:sz="4" w:space="0" w:color="auto"/>
            </w:tcBorders>
            <w:vAlign w:val="center"/>
          </w:tcPr>
          <w:p w:rsidR="00F2407F" w:rsidRPr="0049192F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49192F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Sex (Male n, 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1,424 (40.5)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427 (53.6)</w:t>
            </w:r>
          </w:p>
        </w:tc>
        <w:tc>
          <w:tcPr>
            <w:tcW w:w="1319" w:type="dxa"/>
            <w:vAlign w:val="center"/>
          </w:tcPr>
          <w:p w:rsidR="00F2407F" w:rsidRPr="0049192F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49192F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BMI (kg/m</w:t>
            </w:r>
            <w:r w:rsidRPr="004371E6"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22.6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2.9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26.1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3.2</w:t>
            </w:r>
          </w:p>
        </w:tc>
        <w:tc>
          <w:tcPr>
            <w:tcW w:w="1319" w:type="dxa"/>
            <w:vAlign w:val="center"/>
          </w:tcPr>
          <w:p w:rsidR="00F2407F" w:rsidRPr="0049192F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49192F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Smoking (n, 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RPr="0049192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no smoker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2,693 (76.5)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561 (70.5)</w:t>
            </w:r>
          </w:p>
        </w:tc>
        <w:tc>
          <w:tcPr>
            <w:tcW w:w="1319" w:type="dxa"/>
            <w:vAlign w:val="center"/>
          </w:tcPr>
          <w:p w:rsidR="00F2407F" w:rsidRPr="0049192F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49192F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</w:t>
            </w:r>
            <w:r>
              <w:t>current</w:t>
            </w:r>
            <w:r>
              <w:rPr>
                <w:rFonts w:hint="eastAsia"/>
              </w:rPr>
              <w:t xml:space="preserve"> smoker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825 (23.5)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235 (29.5)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Alcohol (n, 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no drinker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1,466 (41.7)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340 (42.7)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0.590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regular drinker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2,052 (58.3)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456 (57.3)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proofErr w:type="spellStart"/>
            <w:r>
              <w:rPr>
                <w:rFonts w:hint="eastAsia"/>
              </w:rPr>
              <w:t>Location</w:t>
            </w:r>
            <w:r w:rsidR="0094104E" w:rsidRPr="0094104E">
              <w:rPr>
                <w:rFonts w:hint="eastAsia"/>
                <w:vertAlign w:val="superscript"/>
              </w:rPr>
              <w:t>a</w:t>
            </w:r>
            <w:proofErr w:type="spellEnd"/>
            <w:r>
              <w:rPr>
                <w:rFonts w:hint="eastAsia"/>
              </w:rPr>
              <w:t xml:space="preserve"> (n, 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urban area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2,292 (65.2)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488 (61.3)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 w:rsidRPr="0049192F">
              <w:rPr>
                <w:rFonts w:hint="eastAsia"/>
                <w:color w:val="FF0000"/>
              </w:rPr>
              <w:t>0.041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rural area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1,226 (34.8)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308 (38.7)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Household </w:t>
            </w:r>
            <w:proofErr w:type="spellStart"/>
            <w:r>
              <w:rPr>
                <w:rFonts w:hint="eastAsia"/>
              </w:rPr>
              <w:t>income</w:t>
            </w:r>
            <w:r w:rsidR="0094104E" w:rsidRPr="0094104E">
              <w:rPr>
                <w:rFonts w:hint="eastAsia"/>
                <w:vertAlign w:val="superscript"/>
              </w:rPr>
              <w:t>b</w:t>
            </w:r>
            <w:proofErr w:type="spellEnd"/>
            <w:r>
              <w:rPr>
                <w:rFonts w:hint="eastAsia"/>
              </w:rPr>
              <w:t xml:space="preserve"> (n, 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1</w:t>
            </w:r>
            <w:r w:rsidRPr="00286C08">
              <w:rPr>
                <w:rFonts w:hint="eastAsia"/>
                <w:vertAlign w:val="superscript"/>
              </w:rPr>
              <w:t>st</w:t>
            </w:r>
            <w:r>
              <w:rPr>
                <w:rFonts w:hint="eastAsia"/>
              </w:rPr>
              <w:t xml:space="preserve"> quartile (lowest)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503 (14.3)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160 (20.1)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 w:rsidRPr="0049192F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2</w:t>
            </w:r>
            <w:r w:rsidRPr="00286C08">
              <w:rPr>
                <w:rFonts w:hint="eastAsia"/>
                <w:vertAlign w:val="superscript"/>
              </w:rPr>
              <w:t>nd</w:t>
            </w:r>
            <w:r>
              <w:rPr>
                <w:rFonts w:hint="eastAsia"/>
              </w:rPr>
              <w:t xml:space="preserve"> quartile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897 (25.5)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198 (24.9)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3</w:t>
            </w:r>
            <w:r w:rsidRPr="00286C08">
              <w:rPr>
                <w:rFonts w:hint="eastAsia"/>
                <w:vertAlign w:val="superscript"/>
              </w:rPr>
              <w:t>rd</w:t>
            </w:r>
            <w:r>
              <w:rPr>
                <w:rFonts w:hint="eastAsia"/>
              </w:rPr>
              <w:t xml:space="preserve"> quartile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1,023 (29.1)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226 (28.4)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4</w:t>
            </w:r>
            <w:r w:rsidRPr="00286C08"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quartile (highest)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1,095 (31.1)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212 (26.6)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Education (n, 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elementary school or lower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614 (17.5)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257 (32.3)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 w:rsidRPr="0049192F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middle school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332 (9.4)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96 (12.1)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high school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1,388 (39.5)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262 (32.9)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college or higher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1,184 (33.7)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181 (22.7)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proofErr w:type="spellStart"/>
            <w:r>
              <w:rPr>
                <w:rFonts w:hint="eastAsia"/>
              </w:rPr>
              <w:t>Occupation</w:t>
            </w:r>
            <w:r w:rsidR="0094104E">
              <w:rPr>
                <w:rFonts w:hint="eastAsia"/>
                <w:vertAlign w:val="superscript"/>
              </w:rPr>
              <w:t>c</w:t>
            </w:r>
            <w:proofErr w:type="spellEnd"/>
            <w:r>
              <w:rPr>
                <w:rFonts w:hint="eastAsia"/>
              </w:rPr>
              <w:t xml:space="preserve"> (n, 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group 1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474 (13.5)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95 (11.9)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 w:rsidRPr="0049192F">
              <w:rPr>
                <w:rFonts w:hint="eastAsia"/>
                <w:color w:val="FF0000"/>
              </w:rPr>
              <w:t>0.002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group 2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300 (8.5)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59 (7.4)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group 3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456 (13.0)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123 (15.5)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group 4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315 (9.0)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80 (10.1)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group 5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365 (10.4)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115 (14.4)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group 6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316 (9.0)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74 (9.3)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group 7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1,292 (36.7)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250 (31.4)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Physical </w:t>
            </w:r>
            <w:proofErr w:type="spellStart"/>
            <w:r>
              <w:rPr>
                <w:rFonts w:hint="eastAsia"/>
              </w:rPr>
              <w:t>activity</w:t>
            </w:r>
            <w:r w:rsidR="0094104E" w:rsidRPr="0094104E">
              <w:rPr>
                <w:rFonts w:hint="eastAsia"/>
                <w:vertAlign w:val="superscript"/>
              </w:rPr>
              <w:t>d</w:t>
            </w:r>
            <w:proofErr w:type="spellEnd"/>
            <w:r>
              <w:rPr>
                <w:rFonts w:hint="eastAsia"/>
              </w:rPr>
              <w:t xml:space="preserve"> (n, 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none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1,454 (41.3)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350 (44.0)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0.098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mild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1,087 (30.9)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216 (27.1)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moderate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340 (9.7)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91 (11.4)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lastRenderedPageBreak/>
              <w:t xml:space="preserve">   vigorous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637 (18.1)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139 (17.5)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Glucose tolerance status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250BC1">
        <w:tc>
          <w:tcPr>
            <w:tcW w:w="3369" w:type="dxa"/>
          </w:tcPr>
          <w:p w:rsidR="00F2407F" w:rsidRDefault="00F2407F" w:rsidP="00F2407F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normal fasting glucose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3070 (87.3)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321 (40.3)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 w:rsidRPr="009E08AA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F2407F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impaired fasting glucose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413 (11.7)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399 (50.1)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F2407F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   diabetes mellitus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34 (1.0)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  <w:r>
              <w:rPr>
                <w:rFonts w:hint="eastAsia"/>
              </w:rPr>
              <w:t>76 (9.5)</w:t>
            </w:r>
          </w:p>
        </w:tc>
        <w:tc>
          <w:tcPr>
            <w:tcW w:w="1319" w:type="dxa"/>
            <w:vAlign w:val="center"/>
          </w:tcPr>
          <w:p w:rsidR="00F2407F" w:rsidRDefault="00F2407F" w:rsidP="00250BC1">
            <w:pPr>
              <w:tabs>
                <w:tab w:val="left" w:pos="1738"/>
              </w:tabs>
              <w:jc w:val="center"/>
            </w:pPr>
          </w:p>
        </w:tc>
      </w:tr>
      <w:tr w:rsidR="00F2407F" w:rsidTr="00F2407F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Total cholesterol (mg/</w:t>
            </w:r>
            <w:proofErr w:type="spellStart"/>
            <w:r>
              <w:rPr>
                <w:rFonts w:hint="eastAsia"/>
              </w:rPr>
              <w:t>dL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182.7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33.3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202.1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35.0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Triglycerides (mg/</w:t>
            </w:r>
            <w:proofErr w:type="spellStart"/>
            <w:r>
              <w:rPr>
                <w:rFonts w:hint="eastAsia"/>
              </w:rPr>
              <w:t>dL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104.2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75.8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235.0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174.5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0070C0"/>
              </w:rPr>
            </w:pPr>
            <w:r w:rsidRPr="00917E22">
              <w:rPr>
                <w:rFonts w:hint="eastAsia"/>
                <w:color w:val="0070C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HDL cholesterol (mg/</w:t>
            </w:r>
            <w:proofErr w:type="spellStart"/>
            <w:r>
              <w:rPr>
                <w:rFonts w:hint="eastAsia"/>
              </w:rPr>
              <w:t>dL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50.4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10.6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40.4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7.6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0070C0"/>
              </w:rPr>
            </w:pPr>
            <w:r w:rsidRPr="00917E22">
              <w:rPr>
                <w:rFonts w:hint="eastAsia"/>
                <w:color w:val="0070C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LDL cholesterol (mg/</w:t>
            </w:r>
            <w:proofErr w:type="spellStart"/>
            <w:r>
              <w:rPr>
                <w:rFonts w:hint="eastAsia"/>
              </w:rPr>
              <w:t>dL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111.4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30.4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114.8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41.7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0.032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Non-HDL cholesterol (mg/</w:t>
            </w:r>
            <w:proofErr w:type="spellStart"/>
            <w:r>
              <w:rPr>
                <w:rFonts w:hint="eastAsia"/>
              </w:rPr>
              <w:t>dL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132.3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32.9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161.8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33.9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Non-HDL/HDL ratio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2.8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1.0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4.1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1.1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BUN (mg/</w:t>
            </w:r>
            <w:proofErr w:type="spellStart"/>
            <w:r>
              <w:rPr>
                <w:rFonts w:hint="eastAsia"/>
              </w:rPr>
              <w:t>dL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13.9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4.0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14.6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3.9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creatinine (mg/</w:t>
            </w:r>
            <w:proofErr w:type="spellStart"/>
            <w:r>
              <w:rPr>
                <w:rFonts w:hint="eastAsia"/>
              </w:rPr>
              <w:t>dL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0.89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0.18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0.94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0.21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AST (IU/L)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20.5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15.2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24.7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15.2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ALT (IU/L)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19.1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20.4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28.7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20.8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Fasting plasma glucose (mg/</w:t>
            </w:r>
            <w:proofErr w:type="spellStart"/>
            <w:r>
              <w:rPr>
                <w:rFonts w:hint="eastAsia"/>
              </w:rPr>
              <w:t>dL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91.5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11.4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106.7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25.8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0070C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 xml:space="preserve">Fasting serum insulin 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8.65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3.66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11.89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7.45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  <w:tr w:rsidR="00F2407F" w:rsidTr="00250BC1">
        <w:tc>
          <w:tcPr>
            <w:tcW w:w="3369" w:type="dxa"/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HOMA2 %B (%)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100.7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30.0</w:t>
            </w:r>
          </w:p>
        </w:tc>
        <w:tc>
          <w:tcPr>
            <w:tcW w:w="2268" w:type="dxa"/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96.8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41.4</w:t>
            </w:r>
          </w:p>
        </w:tc>
        <w:tc>
          <w:tcPr>
            <w:tcW w:w="1319" w:type="dxa"/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0.012</w:t>
            </w:r>
          </w:p>
        </w:tc>
      </w:tr>
      <w:tr w:rsidR="00F2407F" w:rsidTr="00250BC1">
        <w:tc>
          <w:tcPr>
            <w:tcW w:w="3369" w:type="dxa"/>
            <w:tcBorders>
              <w:bottom w:val="single" w:sz="4" w:space="0" w:color="auto"/>
            </w:tcBorders>
          </w:tcPr>
          <w:p w:rsidR="00F2407F" w:rsidRDefault="00F2407F" w:rsidP="00250BC1">
            <w:pPr>
              <w:tabs>
                <w:tab w:val="left" w:pos="1738"/>
              </w:tabs>
              <w:jc w:val="left"/>
            </w:pPr>
            <w:r>
              <w:rPr>
                <w:rFonts w:hint="eastAsia"/>
              </w:rPr>
              <w:t>HOMA2 %S (%)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101.3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35.4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F2407F" w:rsidRDefault="00F2407F" w:rsidP="00250BC1">
            <w:pPr>
              <w:jc w:val="center"/>
            </w:pPr>
            <w:r>
              <w:rPr>
                <w:rFonts w:asciiTheme="minorEastAsia" w:hAnsiTheme="minorEastAsia" w:hint="eastAsia"/>
              </w:rPr>
              <w:t>77.1</w:t>
            </w:r>
            <w:r w:rsidRPr="008B3421">
              <w:rPr>
                <w:rFonts w:asciiTheme="minorEastAsia" w:hAnsiTheme="minorEastAsia" w:hint="eastAsia"/>
              </w:rPr>
              <w:t>±</w:t>
            </w:r>
            <w:r>
              <w:rPr>
                <w:rFonts w:asciiTheme="minorEastAsia" w:hAnsiTheme="minorEastAsia" w:hint="eastAsia"/>
              </w:rPr>
              <w:t>31.4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vAlign w:val="center"/>
          </w:tcPr>
          <w:p w:rsidR="00F2407F" w:rsidRPr="00917E22" w:rsidRDefault="00F2407F" w:rsidP="00250BC1">
            <w:pPr>
              <w:tabs>
                <w:tab w:val="left" w:pos="1738"/>
              </w:tabs>
              <w:jc w:val="center"/>
              <w:rPr>
                <w:color w:val="FF0000"/>
              </w:rPr>
            </w:pPr>
            <w:r w:rsidRPr="00917E22">
              <w:rPr>
                <w:rFonts w:hint="eastAsia"/>
                <w:color w:val="FF0000"/>
              </w:rPr>
              <w:t>&lt;0.001</w:t>
            </w:r>
          </w:p>
        </w:tc>
      </w:tr>
    </w:tbl>
    <w:p w:rsidR="00F2407F" w:rsidRPr="001D04FD" w:rsidRDefault="00F2407F" w:rsidP="00F2407F">
      <w:pPr>
        <w:tabs>
          <w:tab w:val="left" w:pos="1738"/>
        </w:tabs>
        <w:jc w:val="right"/>
        <w:rPr>
          <w:rFonts w:ascii="Arial" w:hAnsi="Arial" w:cs="Arial"/>
        </w:rPr>
      </w:pPr>
      <w:proofErr w:type="gramStart"/>
      <w:r w:rsidRPr="00E77C4D">
        <w:rPr>
          <w:rFonts w:ascii="Arial" w:hAnsi="Arial" w:cs="Arial"/>
        </w:rPr>
        <w:t>by</w:t>
      </w:r>
      <w:proofErr w:type="gramEnd"/>
      <w:r w:rsidRPr="00E77C4D">
        <w:rPr>
          <w:rFonts w:ascii="Arial" w:hAnsi="Arial" w:cs="Arial"/>
        </w:rPr>
        <w:t xml:space="preserve"> independent t-test</w:t>
      </w:r>
      <w:r>
        <w:rPr>
          <w:rFonts w:ascii="Arial" w:hAnsi="Arial" w:cs="Arial" w:hint="eastAsia"/>
        </w:rPr>
        <w:t xml:space="preserve"> or</w:t>
      </w:r>
      <w:r>
        <w:rPr>
          <w:rFonts w:ascii="Arial" w:hAnsi="Arial" w:cs="Arial"/>
        </w:rPr>
        <w:t xml:space="preserve"> chi-square test</w:t>
      </w:r>
      <w:r>
        <w:rPr>
          <w:rFonts w:ascii="Arial" w:hAnsi="Arial" w:cs="Arial" w:hint="eastAsia"/>
        </w:rPr>
        <w:t>, m</w:t>
      </w:r>
      <w:r w:rsidRPr="00E77C4D">
        <w:rPr>
          <w:rFonts w:ascii="Arial" w:hAnsi="Arial" w:cs="Arial"/>
        </w:rPr>
        <w:t xml:space="preserve">ean </w:t>
      </w:r>
      <w:r w:rsidRPr="00E77C4D">
        <w:rPr>
          <w:rFonts w:ascii="Arial" w:hAnsi="Arial" w:cs="Arial"/>
          <w:szCs w:val="20"/>
        </w:rPr>
        <w:t>± S.D.</w:t>
      </w:r>
      <w:r>
        <w:rPr>
          <w:rFonts w:ascii="Arial" w:hAnsi="Arial" w:cs="Arial" w:hint="eastAsia"/>
          <w:szCs w:val="20"/>
        </w:rPr>
        <w:t xml:space="preserve"> or n (%).</w:t>
      </w:r>
    </w:p>
    <w:p w:rsidR="00A6514D" w:rsidRDefault="0094104E" w:rsidP="0094104E">
      <w:pPr>
        <w:jc w:val="right"/>
      </w:pPr>
      <w:proofErr w:type="spellStart"/>
      <w:proofErr w:type="gramStart"/>
      <w:r w:rsidRPr="006D4E50">
        <w:rPr>
          <w:rFonts w:ascii="Arial" w:hAnsi="Arial" w:cs="Arial"/>
          <w:szCs w:val="20"/>
          <w:vertAlign w:val="superscript"/>
        </w:rPr>
        <w:t>a</w:t>
      </w:r>
      <w:r w:rsidRPr="006D4E50">
        <w:rPr>
          <w:rFonts w:ascii="Arial" w:eastAsiaTheme="minorHAnsi" w:hAnsi="Arial" w:cs="Arial"/>
          <w:kern w:val="0"/>
          <w:szCs w:val="20"/>
        </w:rPr>
        <w:t>The</w:t>
      </w:r>
      <w:proofErr w:type="spellEnd"/>
      <w:proofErr w:type="gramEnd"/>
      <w:r w:rsidRPr="006D4E50">
        <w:rPr>
          <w:rFonts w:ascii="Arial" w:eastAsiaTheme="minorHAnsi" w:hAnsi="Arial" w:cs="Arial"/>
          <w:kern w:val="0"/>
          <w:szCs w:val="20"/>
        </w:rPr>
        <w:t xml:space="preserve"> 16 residential areas of the KNHANES were classified into two groups: urban areas, including metropolitan cities such as Seoul, Busan, Daegu, Incheon,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Gwangju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, Daejeon, and Ulsan, as well as metropolitan areas such as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Gyeonggi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 province; rural areas, comprising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Gangwon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,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Chungbuk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,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Chungnam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,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Jeonnam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,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Jeonbuk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,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Gyeongbuk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,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Gyeongnam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, and </w:t>
      </w:r>
      <w:proofErr w:type="spellStart"/>
      <w:r w:rsidRPr="006D4E50">
        <w:rPr>
          <w:rFonts w:ascii="Arial" w:eastAsiaTheme="minorHAnsi" w:hAnsi="Arial" w:cs="Arial"/>
          <w:kern w:val="0"/>
          <w:szCs w:val="20"/>
        </w:rPr>
        <w:t>Jeju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 provinces.</w:t>
      </w:r>
      <w:r>
        <w:rPr>
          <w:rFonts w:ascii="Arial" w:eastAsiaTheme="minorHAnsi" w:hAnsi="Arial" w:cs="Arial" w:hint="eastAsia"/>
          <w:kern w:val="0"/>
          <w:szCs w:val="20"/>
        </w:rPr>
        <w:t xml:space="preserve"> </w:t>
      </w:r>
      <w:proofErr w:type="spellStart"/>
      <w:proofErr w:type="gramStart"/>
      <w:r w:rsidRPr="006D4E50">
        <w:rPr>
          <w:rFonts w:ascii="Arial" w:eastAsiaTheme="minorHAnsi" w:hAnsi="Arial" w:cs="Arial"/>
          <w:kern w:val="0"/>
          <w:szCs w:val="20"/>
          <w:vertAlign w:val="superscript"/>
        </w:rPr>
        <w:t>b</w:t>
      </w:r>
      <w:r w:rsidRPr="006D4E50">
        <w:rPr>
          <w:rFonts w:ascii="Arial" w:eastAsiaTheme="minorHAnsi" w:hAnsi="Arial" w:cs="Arial"/>
          <w:kern w:val="0"/>
          <w:szCs w:val="20"/>
        </w:rPr>
        <w:t>Household</w:t>
      </w:r>
      <w:proofErr w:type="spellEnd"/>
      <w:proofErr w:type="gramEnd"/>
      <w:r w:rsidRPr="006D4E50">
        <w:rPr>
          <w:rFonts w:ascii="Arial" w:eastAsiaTheme="minorHAnsi" w:hAnsi="Arial" w:cs="Arial"/>
          <w:kern w:val="0"/>
          <w:szCs w:val="20"/>
        </w:rPr>
        <w:t xml:space="preserve"> income was assigned to a category according to the following quartiles: 1</w:t>
      </w:r>
      <w:r w:rsidRPr="006D4E50">
        <w:rPr>
          <w:rFonts w:ascii="Arial" w:eastAsiaTheme="minorHAnsi" w:hAnsi="Arial" w:cs="Arial"/>
          <w:kern w:val="0"/>
          <w:szCs w:val="20"/>
          <w:vertAlign w:val="superscript"/>
        </w:rPr>
        <w:t>st</w:t>
      </w:r>
      <w:r w:rsidRPr="006D4E50">
        <w:rPr>
          <w:rFonts w:ascii="Arial" w:eastAsiaTheme="minorHAnsi" w:hAnsi="Arial" w:cs="Arial"/>
          <w:kern w:val="0"/>
          <w:szCs w:val="20"/>
        </w:rPr>
        <w:t xml:space="preserve"> quartile (&lt;bottom 25%), 2</w:t>
      </w:r>
      <w:r w:rsidRPr="006D4E50">
        <w:rPr>
          <w:rFonts w:ascii="Arial" w:eastAsiaTheme="minorHAnsi" w:hAnsi="Arial" w:cs="Arial"/>
          <w:kern w:val="0"/>
          <w:szCs w:val="20"/>
          <w:vertAlign w:val="superscript"/>
        </w:rPr>
        <w:t>nd</w:t>
      </w:r>
      <w:r w:rsidRPr="006D4E50">
        <w:rPr>
          <w:rFonts w:ascii="Arial" w:eastAsiaTheme="minorHAnsi" w:hAnsi="Arial" w:cs="Arial"/>
          <w:kern w:val="0"/>
          <w:szCs w:val="20"/>
        </w:rPr>
        <w:t xml:space="preserve"> quartile (25-49%), 3</w:t>
      </w:r>
      <w:r w:rsidRPr="006D4E50">
        <w:rPr>
          <w:rFonts w:ascii="Arial" w:eastAsiaTheme="minorHAnsi" w:hAnsi="Arial" w:cs="Arial"/>
          <w:kern w:val="0"/>
          <w:szCs w:val="20"/>
          <w:vertAlign w:val="superscript"/>
        </w:rPr>
        <w:t>rd</w:t>
      </w:r>
      <w:r w:rsidRPr="006D4E50">
        <w:rPr>
          <w:rFonts w:ascii="Arial" w:eastAsiaTheme="minorHAnsi" w:hAnsi="Arial" w:cs="Arial"/>
          <w:kern w:val="0"/>
          <w:szCs w:val="20"/>
        </w:rPr>
        <w:t xml:space="preserve"> quartile (50-75%) and 4</w:t>
      </w:r>
      <w:r w:rsidRPr="006D4E50">
        <w:rPr>
          <w:rFonts w:ascii="Arial" w:eastAsiaTheme="minorHAnsi" w:hAnsi="Arial" w:cs="Arial"/>
          <w:kern w:val="0"/>
          <w:szCs w:val="20"/>
          <w:vertAlign w:val="superscript"/>
        </w:rPr>
        <w:t>th</w:t>
      </w:r>
      <w:r w:rsidRPr="006D4E50">
        <w:rPr>
          <w:rFonts w:ascii="Arial" w:eastAsiaTheme="minorHAnsi" w:hAnsi="Arial" w:cs="Arial"/>
          <w:kern w:val="0"/>
          <w:szCs w:val="20"/>
        </w:rPr>
        <w:t xml:space="preserve"> quartile (&gt;top 25%).</w:t>
      </w:r>
      <w:r>
        <w:rPr>
          <w:rFonts w:ascii="Arial" w:eastAsiaTheme="minorHAnsi" w:hAnsi="Arial" w:cs="Arial" w:hint="eastAsia"/>
          <w:kern w:val="0"/>
          <w:szCs w:val="20"/>
        </w:rPr>
        <w:t xml:space="preserve"> </w:t>
      </w:r>
      <w:proofErr w:type="spellStart"/>
      <w:r w:rsidRPr="006D4E50">
        <w:rPr>
          <w:rFonts w:ascii="Arial" w:hAnsi="Arial" w:cs="Arial"/>
          <w:szCs w:val="20"/>
          <w:vertAlign w:val="superscript"/>
        </w:rPr>
        <w:t>c</w:t>
      </w:r>
      <w:r w:rsidRPr="006D4E50">
        <w:rPr>
          <w:rFonts w:ascii="Arial" w:hAnsi="Arial" w:cs="Arial"/>
          <w:szCs w:val="20"/>
        </w:rPr>
        <w:t>Occupation</w:t>
      </w:r>
      <w:proofErr w:type="spellEnd"/>
      <w:r w:rsidRPr="006D4E50">
        <w:rPr>
          <w:rFonts w:ascii="Arial" w:hAnsi="Arial" w:cs="Arial"/>
          <w:szCs w:val="20"/>
        </w:rPr>
        <w:t xml:space="preserve"> group referred to the KSCO-6 classification. Group 1 indicates managers, professionals, technicians and associate professionals; group 2, clerical support workers; group 3, service and sales workers; group 4, skilled agricultural, forestry and fishery workers; group 5, craft and related trades workers, plant and machine operators, and assemblers; group 6, elementary occupations; group 7, housewife, student, and unemployed.</w:t>
      </w:r>
      <w:r>
        <w:rPr>
          <w:rFonts w:ascii="Arial" w:hAnsi="Arial" w:cs="Arial" w:hint="eastAsia"/>
          <w:szCs w:val="20"/>
        </w:rPr>
        <w:t xml:space="preserve"> </w:t>
      </w:r>
      <w:proofErr w:type="spellStart"/>
      <w:r w:rsidRPr="006D4E50">
        <w:rPr>
          <w:rFonts w:ascii="Arial" w:hAnsi="Arial" w:cs="Arial"/>
          <w:szCs w:val="20"/>
          <w:vertAlign w:val="superscript"/>
        </w:rPr>
        <w:t>d</w:t>
      </w:r>
      <w:r w:rsidRPr="006D4E50">
        <w:rPr>
          <w:rFonts w:ascii="Arial" w:eastAsiaTheme="minorHAnsi" w:hAnsi="Arial" w:cs="Arial"/>
          <w:kern w:val="0"/>
          <w:szCs w:val="20"/>
        </w:rPr>
        <w:t>Physical</w:t>
      </w:r>
      <w:proofErr w:type="spellEnd"/>
      <w:r w:rsidRPr="006D4E50">
        <w:rPr>
          <w:rFonts w:ascii="Arial" w:eastAsiaTheme="minorHAnsi" w:hAnsi="Arial" w:cs="Arial"/>
          <w:kern w:val="0"/>
          <w:szCs w:val="20"/>
        </w:rPr>
        <w:t xml:space="preserve"> activity of the subjects was categorized according to their participation in recreational physical activity during the week prior to the survey: none, no or minimal activity; mild, &gt;30 minutes of walking more than 5 days per week; moderate, &gt;30 minutes of physical activity in which the subject was tired or breathing slightly hard compared to normal more than 5 days per week; vigorous, &gt;20 min of vigorous physical activity in which the subject was exhausted or breathing hard compared to normal more than 3 days per week.</w:t>
      </w:r>
      <w:r w:rsidR="00DF7953" w:rsidRPr="00DF7953">
        <w:rPr>
          <w:rFonts w:ascii="Arial" w:hAnsi="Arial" w:cs="Arial"/>
          <w:szCs w:val="20"/>
        </w:rPr>
        <w:t xml:space="preserve"> </w:t>
      </w:r>
      <w:r w:rsidR="00DF7953" w:rsidRPr="00C0330E">
        <w:rPr>
          <w:rFonts w:ascii="Arial" w:hAnsi="Arial" w:cs="Arial"/>
          <w:color w:val="FF0000"/>
          <w:szCs w:val="20"/>
        </w:rPr>
        <w:t>BMI, body mass index; HDL, high d</w:t>
      </w:r>
      <w:r w:rsidR="00DF7953" w:rsidRPr="00C0330E">
        <w:rPr>
          <w:rFonts w:ascii="Arial" w:hAnsi="Arial" w:cs="Arial" w:hint="eastAsia"/>
          <w:color w:val="FF0000"/>
          <w:szCs w:val="20"/>
        </w:rPr>
        <w:t>ensity</w:t>
      </w:r>
      <w:r w:rsidR="00DF7953" w:rsidRPr="00C0330E">
        <w:rPr>
          <w:rFonts w:ascii="Arial" w:hAnsi="Arial" w:cs="Arial"/>
          <w:color w:val="FF0000"/>
          <w:szCs w:val="20"/>
        </w:rPr>
        <w:t xml:space="preserve"> lipoprotein; LDL, low d</w:t>
      </w:r>
      <w:r w:rsidR="00DF7953" w:rsidRPr="00C0330E">
        <w:rPr>
          <w:rFonts w:ascii="Arial" w:hAnsi="Arial" w:cs="Arial" w:hint="eastAsia"/>
          <w:color w:val="FF0000"/>
          <w:szCs w:val="20"/>
        </w:rPr>
        <w:t>ensity</w:t>
      </w:r>
      <w:r w:rsidR="00DF7953" w:rsidRPr="00C0330E">
        <w:rPr>
          <w:rFonts w:ascii="Arial" w:hAnsi="Arial" w:cs="Arial"/>
          <w:color w:val="FF0000"/>
          <w:szCs w:val="20"/>
        </w:rPr>
        <w:t xml:space="preserve"> lipoprotein; BUN, blood urea nitrogen; AST, aspartate aminotransferase; ALT, alanin</w:t>
      </w:r>
      <w:r w:rsidR="00DF7953" w:rsidRPr="00C0330E">
        <w:rPr>
          <w:rFonts w:ascii="Arial" w:hAnsi="Arial" w:cs="Arial" w:hint="eastAsia"/>
          <w:color w:val="FF0000"/>
          <w:szCs w:val="20"/>
        </w:rPr>
        <w:t>e</w:t>
      </w:r>
      <w:r w:rsidR="00DF7953" w:rsidRPr="00C0330E">
        <w:rPr>
          <w:rFonts w:ascii="Arial" w:hAnsi="Arial" w:cs="Arial"/>
          <w:color w:val="FF0000"/>
          <w:szCs w:val="20"/>
        </w:rPr>
        <w:t xml:space="preserve"> aminotransferase; FPG, fasting plasma glucose; HOMA2%B, updated homeostasis model assessment for </w:t>
      </w:r>
      <w:r w:rsidR="00DF7953" w:rsidRPr="00C0330E">
        <w:rPr>
          <w:rFonts w:ascii="Arial" w:eastAsia="맑은 고딕" w:hAnsi="Arial" w:cs="Arial"/>
          <w:color w:val="FF0000"/>
          <w:szCs w:val="20"/>
        </w:rPr>
        <w:t>β</w:t>
      </w:r>
      <w:r w:rsidR="00DF7953" w:rsidRPr="00C0330E">
        <w:rPr>
          <w:rFonts w:ascii="Arial" w:hAnsi="Arial" w:cs="Arial"/>
          <w:color w:val="FF0000"/>
          <w:szCs w:val="20"/>
        </w:rPr>
        <w:t>-cell insulin secretion; HOMA2%S, updated homeostasis model assessment for insulin sensitivity</w:t>
      </w:r>
    </w:p>
    <w:sectPr w:rsidR="00A6514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1BE" w:rsidRDefault="003641BE" w:rsidP="00A6514D">
      <w:pPr>
        <w:spacing w:after="0" w:line="240" w:lineRule="auto"/>
      </w:pPr>
      <w:r>
        <w:separator/>
      </w:r>
    </w:p>
  </w:endnote>
  <w:endnote w:type="continuationSeparator" w:id="0">
    <w:p w:rsidR="003641BE" w:rsidRDefault="003641BE" w:rsidP="00A65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1BE" w:rsidRDefault="003641BE" w:rsidP="00A6514D">
      <w:pPr>
        <w:spacing w:after="0" w:line="240" w:lineRule="auto"/>
      </w:pPr>
      <w:r>
        <w:separator/>
      </w:r>
    </w:p>
  </w:footnote>
  <w:footnote w:type="continuationSeparator" w:id="0">
    <w:p w:rsidR="003641BE" w:rsidRDefault="003641BE" w:rsidP="00A651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F9"/>
    <w:rsid w:val="002022DD"/>
    <w:rsid w:val="002453C7"/>
    <w:rsid w:val="003641BE"/>
    <w:rsid w:val="005179B5"/>
    <w:rsid w:val="00524315"/>
    <w:rsid w:val="00630D64"/>
    <w:rsid w:val="0094104E"/>
    <w:rsid w:val="00A6514D"/>
    <w:rsid w:val="00C0330E"/>
    <w:rsid w:val="00DC5CF5"/>
    <w:rsid w:val="00DF7953"/>
    <w:rsid w:val="00ED76F9"/>
    <w:rsid w:val="00F2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51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6514D"/>
  </w:style>
  <w:style w:type="paragraph" w:styleId="a4">
    <w:name w:val="footer"/>
    <w:basedOn w:val="a"/>
    <w:link w:val="Char0"/>
    <w:uiPriority w:val="99"/>
    <w:unhideWhenUsed/>
    <w:rsid w:val="00A651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6514D"/>
  </w:style>
  <w:style w:type="table" w:styleId="a5">
    <w:name w:val="Table Grid"/>
    <w:basedOn w:val="a1"/>
    <w:uiPriority w:val="59"/>
    <w:rsid w:val="00F24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51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6514D"/>
  </w:style>
  <w:style w:type="paragraph" w:styleId="a4">
    <w:name w:val="footer"/>
    <w:basedOn w:val="a"/>
    <w:link w:val="Char0"/>
    <w:uiPriority w:val="99"/>
    <w:unhideWhenUsed/>
    <w:rsid w:val="00A651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6514D"/>
  </w:style>
  <w:style w:type="table" w:styleId="a5">
    <w:name w:val="Table Grid"/>
    <w:basedOn w:val="a1"/>
    <w:uiPriority w:val="59"/>
    <w:rsid w:val="00F24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Bard</dc:creator>
  <cp:lastModifiedBy>SS</cp:lastModifiedBy>
  <cp:revision>2</cp:revision>
  <dcterms:created xsi:type="dcterms:W3CDTF">2014-09-10T23:34:00Z</dcterms:created>
  <dcterms:modified xsi:type="dcterms:W3CDTF">2014-09-10T23:34:00Z</dcterms:modified>
</cp:coreProperties>
</file>