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b/>
          <w:bCs/>
          <w:sz w:val="21"/>
          <w:szCs w:val="21"/>
        </w:rPr>
        <w:t xml:space="preserve">Supplementary Information </w:t>
      </w: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t>Here</w:t>
      </w:r>
      <w:r w:rsidR="00375B55">
        <w:rPr>
          <w:rFonts w:ascii="Century" w:hAnsi="Century" w:cs="Times New Roman"/>
          <w:sz w:val="21"/>
          <w:szCs w:val="21"/>
        </w:rPr>
        <w:t>in</w:t>
      </w:r>
      <w:r w:rsidRPr="00375B55">
        <w:rPr>
          <w:rFonts w:ascii="Century" w:hAnsi="Century" w:cs="Times New Roman"/>
          <w:sz w:val="21"/>
          <w:szCs w:val="21"/>
        </w:rPr>
        <w:t xml:space="preserve"> we present su</w:t>
      </w:r>
      <w:bookmarkStart w:id="0" w:name="_GoBack"/>
      <w:bookmarkEnd w:id="0"/>
      <w:r w:rsidRPr="00375B55">
        <w:rPr>
          <w:rFonts w:ascii="Century" w:hAnsi="Century" w:cs="Times New Roman"/>
          <w:sz w:val="21"/>
          <w:szCs w:val="21"/>
        </w:rPr>
        <w:t xml:space="preserve">pplementary numerical results for two potentially important factors that have been neglected in the </w:t>
      </w:r>
      <w:r w:rsidR="000440BF">
        <w:rPr>
          <w:rFonts w:ascii="Century" w:hAnsi="Century" w:cs="Times New Roman"/>
          <w:sz w:val="21"/>
          <w:szCs w:val="21"/>
        </w:rPr>
        <w:t xml:space="preserve">discussion presented in the </w:t>
      </w:r>
      <w:r w:rsidRPr="00375B55">
        <w:rPr>
          <w:rFonts w:ascii="Century" w:hAnsi="Century" w:cs="Times New Roman"/>
          <w:sz w:val="21"/>
          <w:szCs w:val="21"/>
        </w:rPr>
        <w:t>main text</w:t>
      </w:r>
      <w:r w:rsidR="002C6FC9">
        <w:rPr>
          <w:rFonts w:ascii="Century" w:eastAsiaTheme="minorEastAsia" w:hAnsi="Century" w:cs="Times New Roman" w:hint="eastAsia"/>
          <w:sz w:val="21"/>
          <w:szCs w:val="21"/>
          <w:lang w:eastAsia="ja-JP"/>
        </w:rPr>
        <w:t>. The one factor is mantle depletion effect and the other is sediment effects.</w:t>
      </w:r>
      <w:r w:rsidRPr="00375B55">
        <w:rPr>
          <w:rFonts w:ascii="Century" w:hAnsi="Century" w:cs="Times New Roman"/>
          <w:sz w:val="21"/>
          <w:szCs w:val="21"/>
        </w:rPr>
        <w:t xml:space="preserve">  </w:t>
      </w:r>
      <w:r w:rsidR="002C6FC9">
        <w:rPr>
          <w:rFonts w:ascii="Century" w:eastAsiaTheme="minorEastAsia" w:hAnsi="Century" w:cs="Times New Roman" w:hint="eastAsia"/>
          <w:sz w:val="21"/>
          <w:szCs w:val="21"/>
          <w:lang w:eastAsia="ja-JP"/>
        </w:rPr>
        <w:t xml:space="preserve">Then, we </w:t>
      </w:r>
      <w:r w:rsidRPr="00375B55">
        <w:rPr>
          <w:rFonts w:ascii="Century" w:hAnsi="Century" w:cs="Times New Roman"/>
          <w:sz w:val="21"/>
          <w:szCs w:val="21"/>
        </w:rPr>
        <w:t>verify that the conclusions remain essentially unchanged</w:t>
      </w:r>
      <w:r w:rsidR="00375B55">
        <w:rPr>
          <w:rFonts w:ascii="Century" w:hAnsi="Century" w:cs="Times New Roman"/>
          <w:sz w:val="21"/>
          <w:szCs w:val="21"/>
        </w:rPr>
        <w:t xml:space="preserve"> despite </w:t>
      </w:r>
      <w:r w:rsidR="000440BF">
        <w:rPr>
          <w:rFonts w:ascii="Century" w:hAnsi="Century" w:cs="Times New Roman"/>
          <w:sz w:val="21"/>
          <w:szCs w:val="21"/>
        </w:rPr>
        <w:t>considering</w:t>
      </w:r>
      <w:r w:rsidR="00375B55">
        <w:rPr>
          <w:rFonts w:ascii="Century" w:hAnsi="Century" w:cs="Times New Roman"/>
          <w:sz w:val="21"/>
          <w:szCs w:val="21"/>
        </w:rPr>
        <w:t xml:space="preserve"> these two factors</w:t>
      </w:r>
      <w:r w:rsidRPr="00375B55">
        <w:rPr>
          <w:rFonts w:ascii="Century" w:hAnsi="Century" w:cs="Times New Roman"/>
          <w:sz w:val="21"/>
          <w:szCs w:val="21"/>
        </w:rPr>
        <w:t xml:space="preserve">. </w:t>
      </w:r>
    </w:p>
    <w:p w:rsidR="00C2744B" w:rsidRPr="00375B55" w:rsidRDefault="00C2744B" w:rsidP="00D96241">
      <w:pPr>
        <w:spacing w:line="480" w:lineRule="auto"/>
        <w:rPr>
          <w:rFonts w:ascii="Century" w:hAnsi="Century" w:cs="Times New Roman"/>
          <w:b/>
          <w:bCs/>
          <w:sz w:val="21"/>
          <w:szCs w:val="21"/>
        </w:rPr>
      </w:pP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b/>
          <w:bCs/>
          <w:sz w:val="21"/>
          <w:szCs w:val="21"/>
        </w:rPr>
        <w:t xml:space="preserve">(1) Effects of progressive mantle depletion </w:t>
      </w:r>
      <w:r w:rsidR="00B143EB">
        <w:rPr>
          <w:rFonts w:ascii="Century" w:hAnsi="Century" w:cs="Times New Roman"/>
          <w:b/>
          <w:bCs/>
          <w:sz w:val="21"/>
          <w:szCs w:val="21"/>
        </w:rPr>
        <w:t>of</w:t>
      </w:r>
      <w:r w:rsidRPr="00375B55">
        <w:rPr>
          <w:rFonts w:ascii="Century" w:hAnsi="Century" w:cs="Times New Roman"/>
          <w:b/>
          <w:bCs/>
          <w:sz w:val="21"/>
          <w:szCs w:val="21"/>
        </w:rPr>
        <w:t xml:space="preserve"> major elements by melt extraction </w:t>
      </w: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t xml:space="preserve">In our model, we neglect </w:t>
      </w:r>
      <w:r w:rsidR="000440BF">
        <w:rPr>
          <w:rFonts w:ascii="Century" w:hAnsi="Century" w:cs="Times New Roman"/>
          <w:sz w:val="21"/>
          <w:szCs w:val="21"/>
        </w:rPr>
        <w:t xml:space="preserve">the </w:t>
      </w:r>
      <w:r w:rsidRPr="00375B55">
        <w:rPr>
          <w:rFonts w:ascii="Century" w:hAnsi="Century" w:cs="Times New Roman"/>
          <w:sz w:val="21"/>
          <w:szCs w:val="21"/>
        </w:rPr>
        <w:t xml:space="preserve">effects of progressive mantle depletion </w:t>
      </w:r>
      <w:r w:rsidR="00B143EB">
        <w:rPr>
          <w:rFonts w:ascii="Century" w:hAnsi="Century" w:cs="Times New Roman"/>
          <w:sz w:val="21"/>
          <w:szCs w:val="21"/>
        </w:rPr>
        <w:t>of</w:t>
      </w:r>
      <w:r w:rsidRPr="00375B55">
        <w:rPr>
          <w:rFonts w:ascii="Century" w:hAnsi="Century" w:cs="Times New Roman"/>
          <w:sz w:val="21"/>
          <w:szCs w:val="21"/>
        </w:rPr>
        <w:t xml:space="preserve"> major elements by melt extraction on subsequent melting. Here</w:t>
      </w:r>
      <w:r w:rsidR="000440BF">
        <w:rPr>
          <w:rFonts w:ascii="Century" w:hAnsi="Century" w:cs="Times New Roman"/>
          <w:sz w:val="21"/>
          <w:szCs w:val="21"/>
        </w:rPr>
        <w:t>in,</w:t>
      </w:r>
      <w:r w:rsidRPr="00375B55">
        <w:rPr>
          <w:rFonts w:ascii="Century" w:hAnsi="Century" w:cs="Times New Roman"/>
          <w:sz w:val="21"/>
          <w:szCs w:val="21"/>
        </w:rPr>
        <w:t xml:space="preserve"> we present a calculation, in which we incorporate the mantle depletion effects </w:t>
      </w:r>
      <w:r w:rsidR="00D96241">
        <w:rPr>
          <w:rFonts w:ascii="Century" w:eastAsiaTheme="minorEastAsia" w:hAnsi="Century" w:cs="Times New Roman" w:hint="eastAsia"/>
          <w:sz w:val="21"/>
          <w:szCs w:val="21"/>
          <w:lang w:eastAsia="ja-JP"/>
        </w:rPr>
        <w:t xml:space="preserve">on melting calculation </w:t>
      </w:r>
      <w:r w:rsidRPr="00375B55">
        <w:rPr>
          <w:rFonts w:ascii="Century" w:hAnsi="Century" w:cs="Times New Roman"/>
          <w:sz w:val="21"/>
          <w:szCs w:val="21"/>
        </w:rPr>
        <w:t xml:space="preserve">by integrating instantaneous melt extraction based on the same method used </w:t>
      </w:r>
      <w:r w:rsidR="00174F80">
        <w:rPr>
          <w:rFonts w:ascii="Century" w:hAnsi="Century" w:cs="Times New Roman"/>
          <w:sz w:val="21"/>
          <w:szCs w:val="21"/>
        </w:rPr>
        <w:t>by</w:t>
      </w:r>
      <w:r w:rsidRPr="00375B55">
        <w:rPr>
          <w:rFonts w:ascii="Century" w:hAnsi="Century" w:cs="Times New Roman"/>
          <w:sz w:val="21"/>
          <w:szCs w:val="21"/>
        </w:rPr>
        <w:t xml:space="preserve"> Zhu et al. (2013)</w:t>
      </w:r>
      <w:r w:rsidR="00D96241">
        <w:rPr>
          <w:rFonts w:ascii="Century" w:eastAsiaTheme="minorEastAsia" w:hAnsi="Century" w:cs="Times New Roman" w:hint="eastAsia"/>
          <w:sz w:val="21"/>
          <w:szCs w:val="21"/>
          <w:lang w:eastAsia="ja-JP"/>
        </w:rPr>
        <w:t xml:space="preserve"> and calculate the melt amount and distribution</w:t>
      </w:r>
      <w:r w:rsidRPr="00375B55">
        <w:rPr>
          <w:rFonts w:ascii="Century" w:hAnsi="Century" w:cs="Times New Roman"/>
          <w:sz w:val="21"/>
          <w:szCs w:val="21"/>
        </w:rPr>
        <w:t xml:space="preserve">. Fig.S1 shows the calculated distribution of melt (cf. Fig.2c for the case without “mantle depletion effect” in the main text). This distribution is similar to that in Fig.2c in terms of spatial distribution and the melt fraction, and the conclusions </w:t>
      </w:r>
      <w:r w:rsidR="00B143EB">
        <w:rPr>
          <w:rFonts w:ascii="Century" w:hAnsi="Century" w:cs="Times New Roman"/>
          <w:sz w:val="21"/>
          <w:szCs w:val="21"/>
        </w:rPr>
        <w:t xml:space="preserve">discussed </w:t>
      </w:r>
      <w:r w:rsidRPr="00375B55">
        <w:rPr>
          <w:rFonts w:ascii="Century" w:hAnsi="Century" w:cs="Times New Roman"/>
          <w:sz w:val="21"/>
          <w:szCs w:val="21"/>
        </w:rPr>
        <w:t>in the main text</w:t>
      </w:r>
      <w:r w:rsidR="00B143EB">
        <w:rPr>
          <w:rFonts w:ascii="Century" w:hAnsi="Century" w:cs="Times New Roman"/>
          <w:sz w:val="21"/>
          <w:szCs w:val="21"/>
        </w:rPr>
        <w:t>, which are</w:t>
      </w:r>
      <w:r w:rsidRPr="00375B55">
        <w:rPr>
          <w:rFonts w:ascii="Century" w:hAnsi="Century" w:cs="Times New Roman"/>
          <w:sz w:val="21"/>
          <w:szCs w:val="21"/>
        </w:rPr>
        <w:t xml:space="preserve"> based on the model calculation without “mantle depletion effects</w:t>
      </w:r>
      <w:r w:rsidR="00B143EB">
        <w:rPr>
          <w:rFonts w:ascii="Century" w:hAnsi="Century" w:cs="Times New Roman"/>
          <w:sz w:val="21"/>
          <w:szCs w:val="21"/>
        </w:rPr>
        <w:t>,</w:t>
      </w:r>
      <w:r w:rsidRPr="00375B55">
        <w:rPr>
          <w:rFonts w:ascii="Century" w:hAnsi="Century" w:cs="Times New Roman"/>
          <w:sz w:val="21"/>
          <w:szCs w:val="21"/>
        </w:rPr>
        <w:t>” are robust. Although a slight decrease in the average melting degree may affect the trace element compositions of melt by a</w:t>
      </w:r>
      <w:r w:rsidR="00B143EB">
        <w:rPr>
          <w:rFonts w:ascii="Century" w:hAnsi="Century" w:cs="Times New Roman"/>
          <w:sz w:val="21"/>
          <w:szCs w:val="21"/>
        </w:rPr>
        <w:t>n order</w:t>
      </w:r>
      <w:r w:rsidRPr="00375B55">
        <w:rPr>
          <w:rFonts w:ascii="Century" w:hAnsi="Century" w:cs="Times New Roman"/>
          <w:sz w:val="21"/>
          <w:szCs w:val="21"/>
        </w:rPr>
        <w:t xml:space="preserve">, most of the incompatible elements are absorbed into the boundary layer solid, and the melt produced does not acquire an arc-like signature unless disequilibrium trace element transport (such as channel flow through fracture system as proposed in this study) occurs. </w:t>
      </w:r>
    </w:p>
    <w:p w:rsidR="00174F80" w:rsidRDefault="00174F80" w:rsidP="00D96241">
      <w:pPr>
        <w:spacing w:line="480" w:lineRule="auto"/>
        <w:rPr>
          <w:rFonts w:ascii="Century" w:hAnsi="Century" w:cs="Times New Roman"/>
          <w:sz w:val="21"/>
          <w:szCs w:val="21"/>
        </w:rPr>
      </w:pPr>
    </w:p>
    <w:p w:rsidR="00995962" w:rsidRDefault="00995962" w:rsidP="00D96241">
      <w:pPr>
        <w:spacing w:line="480" w:lineRule="auto"/>
        <w:rPr>
          <w:rFonts w:ascii="Century" w:hAnsi="Century" w:cs="Times New Roman"/>
          <w:sz w:val="21"/>
          <w:szCs w:val="21"/>
        </w:rPr>
      </w:pPr>
      <w:r w:rsidRPr="00D96241">
        <w:rPr>
          <w:rFonts w:ascii="Century" w:hAnsi="Century" w:cs="Times New Roman"/>
          <w:noProof/>
          <w:sz w:val="21"/>
          <w:szCs w:val="21"/>
          <w:lang w:eastAsia="ja-JP"/>
        </w:rPr>
        <w:lastRenderedPageBreak/>
        <w:drawing>
          <wp:inline distT="0" distB="0" distL="0" distR="0" wp14:anchorId="0CD32C28" wp14:editId="1C51A877">
            <wp:extent cx="5554426" cy="40671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4426" cy="4067175"/>
                    </a:xfrm>
                    <a:prstGeom prst="rect">
                      <a:avLst/>
                    </a:prstGeom>
                    <a:noFill/>
                    <a:ln>
                      <a:noFill/>
                    </a:ln>
                  </pic:spPr>
                </pic:pic>
              </a:graphicData>
            </a:graphic>
          </wp:inline>
        </w:drawing>
      </w:r>
    </w:p>
    <w:p w:rsidR="00174F80" w:rsidRDefault="00174F80" w:rsidP="00D96241">
      <w:pPr>
        <w:spacing w:line="480" w:lineRule="auto"/>
        <w:rPr>
          <w:rFonts w:ascii="Century" w:hAnsi="Century" w:cs="Times New Roman"/>
          <w:sz w:val="21"/>
          <w:szCs w:val="21"/>
        </w:rPr>
      </w:pP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t xml:space="preserve">Fig.S1: Calculated distribution of melt, taking </w:t>
      </w:r>
      <w:r w:rsidR="00B143EB">
        <w:rPr>
          <w:rFonts w:ascii="Century" w:hAnsi="Century" w:cs="Times New Roman"/>
          <w:sz w:val="21"/>
          <w:szCs w:val="21"/>
        </w:rPr>
        <w:t xml:space="preserve">into </w:t>
      </w:r>
      <w:r w:rsidRPr="00375B55">
        <w:rPr>
          <w:rFonts w:ascii="Century" w:hAnsi="Century" w:cs="Times New Roman"/>
          <w:sz w:val="21"/>
          <w:szCs w:val="21"/>
        </w:rPr>
        <w:t xml:space="preserve">account </w:t>
      </w:r>
      <w:r w:rsidR="00B143EB">
        <w:rPr>
          <w:rFonts w:ascii="Century" w:hAnsi="Century" w:cs="Times New Roman"/>
          <w:sz w:val="21"/>
          <w:szCs w:val="21"/>
        </w:rPr>
        <w:t>the</w:t>
      </w:r>
      <w:r w:rsidRPr="00375B55">
        <w:rPr>
          <w:rFonts w:ascii="Century" w:hAnsi="Century" w:cs="Times New Roman"/>
          <w:sz w:val="21"/>
          <w:szCs w:val="21"/>
        </w:rPr>
        <w:t xml:space="preserve"> mantle depletion effects on melting. </w:t>
      </w:r>
    </w:p>
    <w:p w:rsidR="00174F80" w:rsidRDefault="00174F80" w:rsidP="00D96241">
      <w:pPr>
        <w:spacing w:line="480" w:lineRule="auto"/>
        <w:rPr>
          <w:rFonts w:ascii="Century" w:hAnsi="Century" w:cs="Times New Roman"/>
          <w:b/>
          <w:bCs/>
          <w:sz w:val="21"/>
          <w:szCs w:val="21"/>
        </w:rPr>
      </w:pPr>
    </w:p>
    <w:p w:rsidR="00174F80" w:rsidRDefault="00174F80" w:rsidP="00D96241">
      <w:pPr>
        <w:spacing w:line="480" w:lineRule="auto"/>
        <w:rPr>
          <w:rFonts w:ascii="Century" w:hAnsi="Century" w:cs="Times New Roman"/>
          <w:b/>
          <w:bCs/>
          <w:sz w:val="21"/>
          <w:szCs w:val="21"/>
        </w:rPr>
      </w:pP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b/>
          <w:bCs/>
          <w:sz w:val="21"/>
          <w:szCs w:val="21"/>
        </w:rPr>
        <w:t xml:space="preserve">(2) Compositional effects of subducted sediments </w:t>
      </w: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t xml:space="preserve">In our model, we neglect sediments of the subducting slab because </w:t>
      </w:r>
      <w:r w:rsidR="00B143EB">
        <w:rPr>
          <w:rFonts w:ascii="Century" w:hAnsi="Century" w:cs="Times New Roman"/>
          <w:sz w:val="21"/>
          <w:szCs w:val="21"/>
        </w:rPr>
        <w:t>they are</w:t>
      </w:r>
      <w:r w:rsidRPr="00375B55">
        <w:rPr>
          <w:rFonts w:ascii="Century" w:hAnsi="Century" w:cs="Times New Roman"/>
          <w:sz w:val="21"/>
          <w:szCs w:val="21"/>
        </w:rPr>
        <w:t xml:space="preserve"> too thin to be reproduced accurately as a distinct isolated layer for </w:t>
      </w:r>
      <w:r w:rsidR="00B143EB">
        <w:rPr>
          <w:rFonts w:ascii="Century" w:hAnsi="Century" w:cs="Times New Roman"/>
          <w:sz w:val="21"/>
          <w:szCs w:val="21"/>
        </w:rPr>
        <w:t xml:space="preserve">the </w:t>
      </w:r>
      <w:r w:rsidRPr="00375B55">
        <w:rPr>
          <w:rFonts w:ascii="Century" w:hAnsi="Century" w:cs="Times New Roman"/>
          <w:sz w:val="21"/>
          <w:szCs w:val="21"/>
        </w:rPr>
        <w:t xml:space="preserve">simulation algorithm that we have used in this study. However, </w:t>
      </w:r>
      <w:r w:rsidR="00B143EB">
        <w:rPr>
          <w:rFonts w:ascii="Century" w:hAnsi="Century" w:cs="Times New Roman"/>
          <w:sz w:val="21"/>
          <w:szCs w:val="21"/>
        </w:rPr>
        <w:t>it is possible</w:t>
      </w:r>
      <w:r w:rsidRPr="00375B55">
        <w:rPr>
          <w:rFonts w:ascii="Century" w:hAnsi="Century" w:cs="Times New Roman"/>
          <w:sz w:val="21"/>
          <w:szCs w:val="21"/>
        </w:rPr>
        <w:t xml:space="preserve"> that the sediments, which are in general enriched in incompatible elements, affect the results and conclusions. Here</w:t>
      </w:r>
      <w:r w:rsidR="00B143EB">
        <w:rPr>
          <w:rFonts w:ascii="Century" w:hAnsi="Century" w:cs="Times New Roman"/>
          <w:sz w:val="21"/>
          <w:szCs w:val="21"/>
        </w:rPr>
        <w:t>in,</w:t>
      </w:r>
      <w:r w:rsidRPr="00375B55">
        <w:rPr>
          <w:rFonts w:ascii="Century" w:hAnsi="Century" w:cs="Times New Roman"/>
          <w:sz w:val="21"/>
          <w:szCs w:val="21"/>
        </w:rPr>
        <w:t xml:space="preserve"> we present a calculation result, </w:t>
      </w:r>
      <w:r w:rsidR="00B143EB">
        <w:rPr>
          <w:rFonts w:ascii="Century" w:hAnsi="Century" w:cs="Times New Roman"/>
          <w:sz w:val="21"/>
          <w:szCs w:val="21"/>
        </w:rPr>
        <w:t>according to</w:t>
      </w:r>
      <w:r w:rsidRPr="00375B55">
        <w:rPr>
          <w:rFonts w:ascii="Century" w:hAnsi="Century" w:cs="Times New Roman"/>
          <w:sz w:val="21"/>
          <w:szCs w:val="21"/>
        </w:rPr>
        <w:t xml:space="preserve"> which subducting oceanic crust</w:t>
      </w:r>
      <w:r w:rsidR="00B143EB">
        <w:rPr>
          <w:rFonts w:ascii="Century" w:hAnsi="Century" w:cs="Times New Roman"/>
          <w:sz w:val="21"/>
          <w:szCs w:val="21"/>
        </w:rPr>
        <w:t>s</w:t>
      </w:r>
      <w:r w:rsidRPr="00375B55">
        <w:rPr>
          <w:rFonts w:ascii="Century" w:hAnsi="Century" w:cs="Times New Roman"/>
          <w:sz w:val="21"/>
          <w:szCs w:val="21"/>
        </w:rPr>
        <w:t xml:space="preserve"> initially (just before subduction) possess trace element compositions calculated as a mixture of 95% oceanic basaltic crust and 5% </w:t>
      </w:r>
      <w:r w:rsidRPr="00375B55">
        <w:rPr>
          <w:rFonts w:ascii="Century" w:hAnsi="Century" w:cs="Times New Roman"/>
          <w:sz w:val="21"/>
          <w:szCs w:val="21"/>
        </w:rPr>
        <w:lastRenderedPageBreak/>
        <w:t>sediment (in this case, “Japan Trench sediment”, Plank and Langmuir, 1998)</w:t>
      </w:r>
      <w:r w:rsidR="00B143EB">
        <w:rPr>
          <w:rFonts w:ascii="Century" w:hAnsi="Century" w:cs="Times New Roman"/>
          <w:sz w:val="21"/>
          <w:szCs w:val="21"/>
        </w:rPr>
        <w:t xml:space="preserve">; such a result helps </w:t>
      </w:r>
      <w:r w:rsidRPr="00375B55">
        <w:rPr>
          <w:rFonts w:ascii="Century" w:hAnsi="Century" w:cs="Times New Roman"/>
          <w:sz w:val="21"/>
          <w:szCs w:val="21"/>
        </w:rPr>
        <w:t xml:space="preserve">evaluate approximately the sediment effect. </w:t>
      </w:r>
    </w:p>
    <w:p w:rsidR="00D8096F" w:rsidRDefault="00D8096F" w:rsidP="00D96241">
      <w:pPr>
        <w:spacing w:line="480" w:lineRule="auto"/>
        <w:rPr>
          <w:rFonts w:ascii="Century" w:hAnsi="Century" w:cs="Times New Roman"/>
          <w:sz w:val="21"/>
          <w:szCs w:val="21"/>
        </w:rPr>
      </w:pP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t xml:space="preserve">Fig.S2 shows the calculated distribution of Pb in solid (cf. Fig.4a for the case without sediments in the main text). The result shows that, although the overall Pb concentration is higher in Fig.S2 than in Fig.4a due to the high Pb concentration in subducted sediments, the wedge mantle still absorbs all Pb in the aqueous fluid expelled from the subducting slab. Accordingly, the produced melt still lacks the arc basalt signature, confirming that the conclusion is robust irrespective of the assumption with/without sediment. </w:t>
      </w:r>
    </w:p>
    <w:p w:rsidR="00D8096F" w:rsidRDefault="00D8096F" w:rsidP="00D96241">
      <w:pPr>
        <w:spacing w:line="480" w:lineRule="auto"/>
        <w:rPr>
          <w:rFonts w:ascii="Century" w:hAnsi="Century" w:cs="Times New Roman"/>
          <w:sz w:val="21"/>
          <w:szCs w:val="21"/>
        </w:rPr>
      </w:pPr>
    </w:p>
    <w:p w:rsidR="00D8096F" w:rsidRDefault="00995962" w:rsidP="00D96241">
      <w:pPr>
        <w:spacing w:line="480" w:lineRule="auto"/>
        <w:rPr>
          <w:rFonts w:ascii="Century" w:hAnsi="Century" w:cs="Times New Roman"/>
          <w:sz w:val="21"/>
          <w:szCs w:val="21"/>
        </w:rPr>
      </w:pPr>
      <w:r w:rsidRPr="00D96241">
        <w:rPr>
          <w:rFonts w:ascii="Century" w:hAnsi="Century" w:cs="Times New Roman"/>
          <w:noProof/>
          <w:sz w:val="21"/>
          <w:szCs w:val="21"/>
          <w:lang w:eastAsia="ja-JP"/>
        </w:rPr>
        <w:drawing>
          <wp:inline distT="0" distB="0" distL="0" distR="0" wp14:anchorId="6256522D" wp14:editId="249B62DD">
            <wp:extent cx="5943600" cy="4246337"/>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246337"/>
                    </a:xfrm>
                    <a:prstGeom prst="rect">
                      <a:avLst/>
                    </a:prstGeom>
                    <a:noFill/>
                    <a:ln>
                      <a:noFill/>
                    </a:ln>
                  </pic:spPr>
                </pic:pic>
              </a:graphicData>
            </a:graphic>
          </wp:inline>
        </w:drawing>
      </w:r>
    </w:p>
    <w:p w:rsidR="00995962" w:rsidRDefault="00995962" w:rsidP="00D96241">
      <w:pPr>
        <w:spacing w:line="480" w:lineRule="auto"/>
        <w:rPr>
          <w:rFonts w:ascii="Century" w:hAnsi="Century" w:cs="Times New Roman"/>
          <w:sz w:val="21"/>
          <w:szCs w:val="21"/>
        </w:rPr>
      </w:pP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t xml:space="preserve">Fig.S2: Calculated distribution of Pb in solid, taking account of subducting sediments. </w:t>
      </w: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lastRenderedPageBreak/>
        <w:t xml:space="preserve">References </w:t>
      </w:r>
    </w:p>
    <w:p w:rsidR="00D8096F" w:rsidRDefault="00D8096F" w:rsidP="00D96241">
      <w:pPr>
        <w:spacing w:line="480" w:lineRule="auto"/>
        <w:rPr>
          <w:rFonts w:ascii="Century" w:hAnsi="Century" w:cs="Times New Roman"/>
          <w:sz w:val="21"/>
          <w:szCs w:val="21"/>
        </w:rPr>
      </w:pPr>
    </w:p>
    <w:p w:rsidR="00C2744B" w:rsidRPr="00375B55" w:rsidRDefault="00C2744B" w:rsidP="00D96241">
      <w:pPr>
        <w:spacing w:line="480" w:lineRule="auto"/>
        <w:rPr>
          <w:rFonts w:ascii="Century" w:hAnsi="Century" w:cs="Times New Roman"/>
          <w:sz w:val="21"/>
          <w:szCs w:val="21"/>
        </w:rPr>
      </w:pPr>
      <w:r w:rsidRPr="00375B55">
        <w:rPr>
          <w:rFonts w:ascii="Century" w:hAnsi="Century" w:cs="Times New Roman"/>
          <w:sz w:val="21"/>
          <w:szCs w:val="21"/>
        </w:rPr>
        <w:t xml:space="preserve">Plank T, Langmuir CH (1998) </w:t>
      </w:r>
      <w:proofErr w:type="gramStart"/>
      <w:r w:rsidRPr="00375B55">
        <w:rPr>
          <w:rFonts w:ascii="Century" w:hAnsi="Century" w:cs="Times New Roman"/>
          <w:sz w:val="21"/>
          <w:szCs w:val="21"/>
        </w:rPr>
        <w:t>The</w:t>
      </w:r>
      <w:proofErr w:type="gramEnd"/>
      <w:r w:rsidRPr="00375B55">
        <w:rPr>
          <w:rFonts w:ascii="Century" w:hAnsi="Century" w:cs="Times New Roman"/>
          <w:sz w:val="21"/>
          <w:szCs w:val="21"/>
        </w:rPr>
        <w:t xml:space="preserve"> chemical composition of subducting sediment and its consequences for the crust and mantle. </w:t>
      </w:r>
      <w:proofErr w:type="spellStart"/>
      <w:r w:rsidRPr="00375B55">
        <w:rPr>
          <w:rFonts w:ascii="Century" w:hAnsi="Century" w:cs="Times New Roman"/>
          <w:sz w:val="21"/>
          <w:szCs w:val="21"/>
        </w:rPr>
        <w:t>Chem</w:t>
      </w:r>
      <w:proofErr w:type="spellEnd"/>
      <w:r w:rsidRPr="00375B55">
        <w:rPr>
          <w:rFonts w:ascii="Century" w:hAnsi="Century" w:cs="Times New Roman"/>
          <w:sz w:val="21"/>
          <w:szCs w:val="21"/>
        </w:rPr>
        <w:t xml:space="preserve"> </w:t>
      </w:r>
      <w:proofErr w:type="spellStart"/>
      <w:r w:rsidRPr="00375B55">
        <w:rPr>
          <w:rFonts w:ascii="Century" w:hAnsi="Century" w:cs="Times New Roman"/>
          <w:sz w:val="21"/>
          <w:szCs w:val="21"/>
        </w:rPr>
        <w:t>Geol</w:t>
      </w:r>
      <w:proofErr w:type="spellEnd"/>
      <w:r w:rsidRPr="00375B55">
        <w:rPr>
          <w:rFonts w:ascii="Century" w:hAnsi="Century" w:cs="Times New Roman"/>
          <w:sz w:val="21"/>
          <w:szCs w:val="21"/>
        </w:rPr>
        <w:t xml:space="preserve"> 145: 325-394. </w:t>
      </w:r>
    </w:p>
    <w:p w:rsidR="00BB6952" w:rsidRPr="00375B55" w:rsidRDefault="00C2744B" w:rsidP="00D96241">
      <w:pPr>
        <w:spacing w:line="480" w:lineRule="auto"/>
        <w:rPr>
          <w:rFonts w:ascii="Century" w:hAnsi="Century" w:cs="Times New Roman"/>
          <w:sz w:val="21"/>
          <w:szCs w:val="21"/>
        </w:rPr>
      </w:pPr>
      <w:proofErr w:type="gramStart"/>
      <w:r w:rsidRPr="00375B55">
        <w:rPr>
          <w:rFonts w:ascii="Century" w:hAnsi="Century" w:cs="Times New Roman"/>
          <w:sz w:val="21"/>
          <w:szCs w:val="21"/>
        </w:rPr>
        <w:t xml:space="preserve">Zhu GZ, Gerya TV, </w:t>
      </w:r>
      <w:proofErr w:type="spellStart"/>
      <w:r w:rsidRPr="00375B55">
        <w:rPr>
          <w:rFonts w:ascii="Century" w:hAnsi="Century" w:cs="Times New Roman"/>
          <w:sz w:val="21"/>
          <w:szCs w:val="21"/>
        </w:rPr>
        <w:t>Tackley</w:t>
      </w:r>
      <w:proofErr w:type="spellEnd"/>
      <w:r w:rsidRPr="00375B55">
        <w:rPr>
          <w:rFonts w:ascii="Century" w:hAnsi="Century" w:cs="Times New Roman"/>
          <w:sz w:val="21"/>
          <w:szCs w:val="21"/>
        </w:rPr>
        <w:t xml:space="preserve"> PJ, </w:t>
      </w:r>
      <w:proofErr w:type="spellStart"/>
      <w:r w:rsidRPr="00375B55">
        <w:rPr>
          <w:rFonts w:ascii="Century" w:hAnsi="Century" w:cs="Times New Roman"/>
          <w:sz w:val="21"/>
          <w:szCs w:val="21"/>
        </w:rPr>
        <w:t>Kissling</w:t>
      </w:r>
      <w:proofErr w:type="spellEnd"/>
      <w:r w:rsidRPr="00375B55">
        <w:rPr>
          <w:rFonts w:ascii="Century" w:hAnsi="Century" w:cs="Times New Roman"/>
          <w:sz w:val="21"/>
          <w:szCs w:val="21"/>
        </w:rPr>
        <w:t xml:space="preserve"> E (2013) Four-dimensional numerical modeling of crustal growth at active continental margins.</w:t>
      </w:r>
      <w:proofErr w:type="gramEnd"/>
      <w:r w:rsidRPr="00375B55">
        <w:rPr>
          <w:rFonts w:ascii="Century" w:hAnsi="Century" w:cs="Times New Roman"/>
          <w:sz w:val="21"/>
          <w:szCs w:val="21"/>
        </w:rPr>
        <w:t xml:space="preserve"> J </w:t>
      </w:r>
      <w:proofErr w:type="spellStart"/>
      <w:r w:rsidRPr="00375B55">
        <w:rPr>
          <w:rFonts w:ascii="Century" w:hAnsi="Century" w:cs="Times New Roman"/>
          <w:sz w:val="21"/>
          <w:szCs w:val="21"/>
        </w:rPr>
        <w:t>Geophys</w:t>
      </w:r>
      <w:proofErr w:type="spellEnd"/>
      <w:r w:rsidRPr="00375B55">
        <w:rPr>
          <w:rFonts w:ascii="Century" w:hAnsi="Century" w:cs="Times New Roman"/>
          <w:sz w:val="21"/>
          <w:szCs w:val="21"/>
        </w:rPr>
        <w:t xml:space="preserve"> Res 118: 4682-4698. </w:t>
      </w:r>
      <w:proofErr w:type="gramStart"/>
      <w:r w:rsidRPr="00375B55">
        <w:rPr>
          <w:rFonts w:ascii="Century" w:hAnsi="Century" w:cs="Times New Roman"/>
          <w:sz w:val="21"/>
          <w:szCs w:val="21"/>
        </w:rPr>
        <w:t>doi</w:t>
      </w:r>
      <w:proofErr w:type="gramEnd"/>
      <w:r w:rsidRPr="00375B55">
        <w:rPr>
          <w:rFonts w:ascii="Century" w:hAnsi="Century" w:cs="Times New Roman"/>
          <w:sz w:val="21"/>
          <w:szCs w:val="21"/>
        </w:rPr>
        <w:t>: 10.1002/jgrb.50357</w:t>
      </w:r>
    </w:p>
    <w:sectPr w:rsidR="00BB6952" w:rsidRPr="00375B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lgun Gothic">
    <w:panose1 w:val="020B0503020000020004"/>
    <w:charset w:val="81"/>
    <w:family w:val="swiss"/>
    <w:pitch w:val="variable"/>
    <w:sig w:usb0="900002AF" w:usb1="09D77CFB" w:usb2="00000012" w:usb3="00000000" w:csb0="00080001" w:csb1="00000000"/>
  </w:font>
  <w:font w:name="MalgunUnicode MS">
    <w:altName w:val="Arial Unicode MS"/>
    <w:panose1 w:val="00000000000000000000"/>
    <w:charset w:val="81"/>
    <w:family w:val="modern"/>
    <w:notTrueType/>
    <w:pitch w:val="variable"/>
    <w:sig w:usb0="00000001" w:usb1="09060000" w:usb2="00000010" w:usb3="00000000" w:csb0="00080000"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44B"/>
    <w:rsid w:val="000440BF"/>
    <w:rsid w:val="000F0EA0"/>
    <w:rsid w:val="00174F80"/>
    <w:rsid w:val="002C6FC9"/>
    <w:rsid w:val="00375B55"/>
    <w:rsid w:val="003C2987"/>
    <w:rsid w:val="003F019B"/>
    <w:rsid w:val="00995962"/>
    <w:rsid w:val="00AD71E1"/>
    <w:rsid w:val="00B143EB"/>
    <w:rsid w:val="00B91E4A"/>
    <w:rsid w:val="00BB6952"/>
    <w:rsid w:val="00C2744B"/>
    <w:rsid w:val="00D46871"/>
    <w:rsid w:val="00D8096F"/>
    <w:rsid w:val="00D96241"/>
    <w:rsid w:val="00DA19AB"/>
    <w:rsid w:val="00DB2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algun Gothic" w:eastAsia="MalgunUnicode MS" w:hAnsi="Malgun Gothic" w:cstheme="minorBidi"/>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27E"/>
    <w:rPr>
      <w:rFonts w:cs="Courier"/>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rsid w:val="000F0EA0"/>
    <w:pPr>
      <w:widowControl w:val="0"/>
    </w:pPr>
    <w:rPr>
      <w:kern w:val="2"/>
    </w:rPr>
  </w:style>
  <w:style w:type="character" w:customStyle="1" w:styleId="a4">
    <w:name w:val="コメント文字列 (文字)"/>
    <w:basedOn w:val="a0"/>
    <w:link w:val="a3"/>
    <w:uiPriority w:val="99"/>
    <w:semiHidden/>
    <w:rsid w:val="000F0EA0"/>
    <w:rPr>
      <w:rFonts w:ascii="Malgun Gothic" w:hAnsi="Malgun Gothic"/>
      <w:kern w:val="2"/>
      <w:lang w:eastAsia="ja-JP"/>
    </w:rPr>
  </w:style>
  <w:style w:type="paragraph" w:styleId="a5">
    <w:name w:val="Balloon Text"/>
    <w:basedOn w:val="a"/>
    <w:link w:val="a6"/>
    <w:autoRedefine/>
    <w:uiPriority w:val="99"/>
    <w:semiHidden/>
    <w:unhideWhenUsed/>
    <w:rsid w:val="000F0EA0"/>
    <w:pPr>
      <w:widowControl w:val="0"/>
    </w:pPr>
    <w:rPr>
      <w:rFonts w:cs="Tahoma"/>
      <w:kern w:val="2"/>
      <w:szCs w:val="16"/>
    </w:rPr>
  </w:style>
  <w:style w:type="character" w:customStyle="1" w:styleId="a6">
    <w:name w:val="吹き出し (文字)"/>
    <w:basedOn w:val="a0"/>
    <w:link w:val="a5"/>
    <w:uiPriority w:val="99"/>
    <w:semiHidden/>
    <w:rsid w:val="000F0EA0"/>
    <w:rPr>
      <w:rFonts w:ascii="Malgun Gothic" w:hAnsi="Malgun Gothic" w:cs="Tahoma"/>
      <w:kern w:val="2"/>
      <w:szCs w:val="16"/>
      <w:lang w:eastAsia="ja-JP"/>
    </w:rPr>
  </w:style>
  <w:style w:type="character" w:styleId="a7">
    <w:name w:val="annotation reference"/>
    <w:basedOn w:val="a0"/>
    <w:uiPriority w:val="99"/>
    <w:semiHidden/>
    <w:unhideWhenUsed/>
    <w:rsid w:val="00375B55"/>
    <w:rPr>
      <w:sz w:val="16"/>
      <w:szCs w:val="16"/>
    </w:rPr>
  </w:style>
  <w:style w:type="paragraph" w:styleId="a8">
    <w:name w:val="annotation subject"/>
    <w:basedOn w:val="a3"/>
    <w:next w:val="a3"/>
    <w:link w:val="a9"/>
    <w:uiPriority w:val="99"/>
    <w:semiHidden/>
    <w:unhideWhenUsed/>
    <w:rsid w:val="00375B55"/>
    <w:pPr>
      <w:widowControl/>
    </w:pPr>
    <w:rPr>
      <w:b/>
      <w:bCs/>
      <w:kern w:val="0"/>
      <w:szCs w:val="20"/>
    </w:rPr>
  </w:style>
  <w:style w:type="character" w:customStyle="1" w:styleId="a9">
    <w:name w:val="コメント内容 (文字)"/>
    <w:basedOn w:val="a4"/>
    <w:link w:val="a8"/>
    <w:uiPriority w:val="99"/>
    <w:semiHidden/>
    <w:rsid w:val="00375B55"/>
    <w:rPr>
      <w:rFonts w:ascii="Malgun Gothic" w:hAnsi="Malgun Gothic" w:cs="Courier"/>
      <w:b/>
      <w:bCs/>
      <w:kern w:val="2"/>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algun Gothic" w:eastAsia="MalgunUnicode MS" w:hAnsi="Malgun Gothic" w:cstheme="minorBidi"/>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27E"/>
    <w:rPr>
      <w:rFonts w:cs="Courier"/>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rsid w:val="000F0EA0"/>
    <w:pPr>
      <w:widowControl w:val="0"/>
    </w:pPr>
    <w:rPr>
      <w:kern w:val="2"/>
    </w:rPr>
  </w:style>
  <w:style w:type="character" w:customStyle="1" w:styleId="a4">
    <w:name w:val="コメント文字列 (文字)"/>
    <w:basedOn w:val="a0"/>
    <w:link w:val="a3"/>
    <w:uiPriority w:val="99"/>
    <w:semiHidden/>
    <w:rsid w:val="000F0EA0"/>
    <w:rPr>
      <w:rFonts w:ascii="Malgun Gothic" w:hAnsi="Malgun Gothic"/>
      <w:kern w:val="2"/>
      <w:lang w:eastAsia="ja-JP"/>
    </w:rPr>
  </w:style>
  <w:style w:type="paragraph" w:styleId="a5">
    <w:name w:val="Balloon Text"/>
    <w:basedOn w:val="a"/>
    <w:link w:val="a6"/>
    <w:autoRedefine/>
    <w:uiPriority w:val="99"/>
    <w:semiHidden/>
    <w:unhideWhenUsed/>
    <w:rsid w:val="000F0EA0"/>
    <w:pPr>
      <w:widowControl w:val="0"/>
    </w:pPr>
    <w:rPr>
      <w:rFonts w:cs="Tahoma"/>
      <w:kern w:val="2"/>
      <w:szCs w:val="16"/>
    </w:rPr>
  </w:style>
  <w:style w:type="character" w:customStyle="1" w:styleId="a6">
    <w:name w:val="吹き出し (文字)"/>
    <w:basedOn w:val="a0"/>
    <w:link w:val="a5"/>
    <w:uiPriority w:val="99"/>
    <w:semiHidden/>
    <w:rsid w:val="000F0EA0"/>
    <w:rPr>
      <w:rFonts w:ascii="Malgun Gothic" w:hAnsi="Malgun Gothic" w:cs="Tahoma"/>
      <w:kern w:val="2"/>
      <w:szCs w:val="16"/>
      <w:lang w:eastAsia="ja-JP"/>
    </w:rPr>
  </w:style>
  <w:style w:type="character" w:styleId="a7">
    <w:name w:val="annotation reference"/>
    <w:basedOn w:val="a0"/>
    <w:uiPriority w:val="99"/>
    <w:semiHidden/>
    <w:unhideWhenUsed/>
    <w:rsid w:val="00375B55"/>
    <w:rPr>
      <w:sz w:val="16"/>
      <w:szCs w:val="16"/>
    </w:rPr>
  </w:style>
  <w:style w:type="paragraph" w:styleId="a8">
    <w:name w:val="annotation subject"/>
    <w:basedOn w:val="a3"/>
    <w:next w:val="a3"/>
    <w:link w:val="a9"/>
    <w:uiPriority w:val="99"/>
    <w:semiHidden/>
    <w:unhideWhenUsed/>
    <w:rsid w:val="00375B55"/>
    <w:pPr>
      <w:widowControl/>
    </w:pPr>
    <w:rPr>
      <w:b/>
      <w:bCs/>
      <w:kern w:val="0"/>
      <w:szCs w:val="20"/>
    </w:rPr>
  </w:style>
  <w:style w:type="character" w:customStyle="1" w:styleId="a9">
    <w:name w:val="コメント内容 (文字)"/>
    <w:basedOn w:val="a4"/>
    <w:link w:val="a8"/>
    <w:uiPriority w:val="99"/>
    <w:semiHidden/>
    <w:rsid w:val="00375B55"/>
    <w:rPr>
      <w:rFonts w:ascii="Malgun Gothic" w:hAnsi="Malgun Gothic" w:cs="Courier"/>
      <w:b/>
      <w:bCs/>
      <w:kern w:val="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510</Words>
  <Characters>2908</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ike</cp:lastModifiedBy>
  <cp:revision>12</cp:revision>
  <cp:lastPrinted>2014-02-27T20:48:00Z</cp:lastPrinted>
  <dcterms:created xsi:type="dcterms:W3CDTF">2014-02-27T20:30:00Z</dcterms:created>
  <dcterms:modified xsi:type="dcterms:W3CDTF">2014-03-09T09:10:00Z</dcterms:modified>
</cp:coreProperties>
</file>