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2AA" w:rsidRPr="00D03096" w:rsidRDefault="00E722AA" w:rsidP="00E722AA">
      <w:pPr>
        <w:ind w:firstLine="0"/>
        <w:rPr>
          <w:rFonts w:ascii="Times New Roman" w:hAnsi="Times New Roman"/>
          <w:b/>
          <w:sz w:val="24"/>
          <w:szCs w:val="24"/>
        </w:rPr>
      </w:pPr>
      <w:r w:rsidRPr="00D03096">
        <w:rPr>
          <w:rFonts w:ascii="Times New Roman" w:hAnsi="Times New Roman"/>
          <w:b/>
          <w:sz w:val="24"/>
          <w:szCs w:val="24"/>
        </w:rPr>
        <w:t>Additional File 1</w:t>
      </w:r>
    </w:p>
    <w:p w:rsidR="00E722AA" w:rsidRPr="00D03096" w:rsidRDefault="00E722AA" w:rsidP="00E722AA">
      <w:pPr>
        <w:autoSpaceDE w:val="0"/>
        <w:autoSpaceDN w:val="0"/>
        <w:adjustRightInd w:val="0"/>
        <w:spacing w:after="0"/>
        <w:ind w:firstLine="0"/>
        <w:jc w:val="both"/>
        <w:rPr>
          <w:rFonts w:ascii="Times New Roman" w:eastAsia="MS Mincho" w:hAnsi="Times New Roman"/>
          <w:sz w:val="24"/>
          <w:szCs w:val="24"/>
        </w:rPr>
      </w:pPr>
      <w:r w:rsidRPr="00D03096">
        <w:rPr>
          <w:rFonts w:ascii="Times New Roman" w:eastAsia="MS Mincho" w:hAnsi="Times New Roman"/>
          <w:sz w:val="24"/>
          <w:szCs w:val="24"/>
        </w:rPr>
        <w:t xml:space="preserve">Title: </w:t>
      </w:r>
      <w:r>
        <w:rPr>
          <w:rFonts w:ascii="Times New Roman" w:eastAsia="MS Mincho" w:hAnsi="Times New Roman"/>
          <w:sz w:val="24"/>
          <w:szCs w:val="24"/>
        </w:rPr>
        <w:t>Tables S1-S2</w:t>
      </w:r>
    </w:p>
    <w:p w:rsidR="00E722AA" w:rsidRDefault="00E722AA" w:rsidP="00E722AA">
      <w:pPr>
        <w:autoSpaceDE w:val="0"/>
        <w:autoSpaceDN w:val="0"/>
        <w:adjustRightInd w:val="0"/>
        <w:spacing w:after="0"/>
        <w:ind w:firstLine="0"/>
        <w:jc w:val="both"/>
        <w:rPr>
          <w:rFonts w:ascii="Times New Roman" w:eastAsia="MS Mincho" w:hAnsi="Times New Roman"/>
          <w:sz w:val="24"/>
          <w:szCs w:val="24"/>
        </w:rPr>
      </w:pPr>
      <w:r w:rsidRPr="00D03096">
        <w:rPr>
          <w:rFonts w:ascii="Times New Roman" w:eastAsia="MS Mincho" w:hAnsi="Times New Roman"/>
          <w:sz w:val="24"/>
          <w:szCs w:val="24"/>
        </w:rPr>
        <w:t>Descript</w:t>
      </w:r>
      <w:r>
        <w:rPr>
          <w:rFonts w:ascii="Times New Roman" w:eastAsia="MS Mincho" w:hAnsi="Times New Roman"/>
          <w:sz w:val="24"/>
          <w:szCs w:val="24"/>
        </w:rPr>
        <w:t>ion: This file contains 2 tables with information on characteristics of the included studies and their samples.</w:t>
      </w:r>
    </w:p>
    <w:p w:rsidR="00E722AA" w:rsidRPr="00D03096" w:rsidRDefault="00E722AA" w:rsidP="00E722AA">
      <w:pPr>
        <w:autoSpaceDE w:val="0"/>
        <w:autoSpaceDN w:val="0"/>
        <w:adjustRightInd w:val="0"/>
        <w:spacing w:after="0"/>
        <w:ind w:firstLine="0"/>
        <w:jc w:val="both"/>
        <w:rPr>
          <w:rFonts w:ascii="Times New Roman" w:eastAsia="MS Mincho" w:hAnsi="Times New Roman"/>
          <w:sz w:val="24"/>
          <w:szCs w:val="24"/>
        </w:rPr>
        <w:sectPr w:rsidR="00E722AA" w:rsidRPr="00D03096" w:rsidSect="00F4711A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D03096">
        <w:rPr>
          <w:rFonts w:ascii="Times New Roman" w:eastAsia="MS Mincho" w:hAnsi="Times New Roman"/>
          <w:sz w:val="24"/>
          <w:szCs w:val="24"/>
        </w:rPr>
        <w:t xml:space="preserve"> </w:t>
      </w:r>
    </w:p>
    <w:p w:rsidR="00E722AA" w:rsidRPr="00A325BC" w:rsidRDefault="00E722AA" w:rsidP="00E722AA">
      <w:pPr>
        <w:spacing w:after="0"/>
        <w:ind w:firstLine="0"/>
        <w:rPr>
          <w:rFonts w:ascii="Times New Roman" w:hAnsi="Times New Roman"/>
          <w:sz w:val="24"/>
          <w:szCs w:val="24"/>
        </w:rPr>
      </w:pPr>
      <w:r w:rsidRPr="00A325BC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b/>
          <w:sz w:val="24"/>
          <w:szCs w:val="24"/>
        </w:rPr>
        <w:t>S1</w:t>
      </w:r>
      <w:r w:rsidRPr="00A325BC">
        <w:rPr>
          <w:rFonts w:ascii="Times New Roman" w:hAnsi="Times New Roman"/>
          <w:sz w:val="24"/>
          <w:szCs w:val="24"/>
        </w:rPr>
        <w:t xml:space="preserve">. Studies’ characteristics regarding country, smoking habits </w:t>
      </w:r>
      <w:proofErr w:type="spellStart"/>
      <w:r w:rsidRPr="00A325BC">
        <w:rPr>
          <w:rFonts w:ascii="Times New Roman" w:hAnsi="Times New Roman"/>
          <w:sz w:val="24"/>
          <w:szCs w:val="24"/>
        </w:rPr>
        <w:t>FeNO</w:t>
      </w:r>
      <w:proofErr w:type="spellEnd"/>
      <w:r w:rsidRPr="00A325BC">
        <w:rPr>
          <w:rFonts w:ascii="Times New Roman" w:hAnsi="Times New Roman"/>
          <w:sz w:val="24"/>
          <w:szCs w:val="24"/>
        </w:rPr>
        <w:t xml:space="preserve"> equipment used and study design. NI: No information. </w:t>
      </w:r>
      <w:proofErr w:type="spellStart"/>
      <w:r w:rsidRPr="00A325BC">
        <w:rPr>
          <w:rFonts w:ascii="Times New Roman" w:hAnsi="Times New Roman"/>
          <w:sz w:val="24"/>
          <w:szCs w:val="24"/>
        </w:rPr>
        <w:t>Niox</w:t>
      </w:r>
      <w:proofErr w:type="spellEnd"/>
      <w:r w:rsidRPr="00A325BC">
        <w:rPr>
          <w:rFonts w:ascii="Times New Roman" w:hAnsi="Times New Roman"/>
          <w:sz w:val="24"/>
          <w:szCs w:val="24"/>
        </w:rPr>
        <w:t>/</w:t>
      </w:r>
      <w:proofErr w:type="spellStart"/>
      <w:r w:rsidRPr="00A325BC">
        <w:rPr>
          <w:rFonts w:ascii="Times New Roman" w:hAnsi="Times New Roman"/>
          <w:sz w:val="24"/>
          <w:szCs w:val="24"/>
        </w:rPr>
        <w:t>Niox</w:t>
      </w:r>
      <w:proofErr w:type="spellEnd"/>
      <w:r w:rsidRPr="00A325BC">
        <w:rPr>
          <w:rFonts w:ascii="Times New Roman" w:hAnsi="Times New Roman"/>
          <w:sz w:val="24"/>
          <w:szCs w:val="24"/>
        </w:rPr>
        <w:t xml:space="preserve"> Mino is a product from </w:t>
      </w:r>
      <w:proofErr w:type="spellStart"/>
      <w:r w:rsidRPr="00A325BC">
        <w:rPr>
          <w:rFonts w:ascii="Times New Roman" w:hAnsi="Times New Roman"/>
          <w:sz w:val="24"/>
          <w:szCs w:val="24"/>
        </w:rPr>
        <w:t>Aerocrine</w:t>
      </w:r>
      <w:proofErr w:type="spellEnd"/>
      <w:r w:rsidRPr="00A325BC">
        <w:rPr>
          <w:rFonts w:ascii="Times New Roman" w:hAnsi="Times New Roman"/>
          <w:sz w:val="24"/>
          <w:szCs w:val="24"/>
        </w:rPr>
        <w:t xml:space="preserve"> AB, Sweden; </w:t>
      </w:r>
      <w:proofErr w:type="spellStart"/>
      <w:r w:rsidRPr="00A325BC">
        <w:rPr>
          <w:rFonts w:ascii="Times New Roman" w:hAnsi="Times New Roman"/>
          <w:sz w:val="24"/>
          <w:szCs w:val="24"/>
        </w:rPr>
        <w:t>Sievers</w:t>
      </w:r>
      <w:proofErr w:type="spellEnd"/>
      <w:r w:rsidRPr="00A325BC">
        <w:rPr>
          <w:rFonts w:ascii="Times New Roman" w:hAnsi="Times New Roman"/>
          <w:sz w:val="24"/>
          <w:szCs w:val="24"/>
        </w:rPr>
        <w:t xml:space="preserve"> is a product from GE </w:t>
      </w:r>
      <w:proofErr w:type="spellStart"/>
      <w:r w:rsidRPr="00A325BC">
        <w:rPr>
          <w:rFonts w:ascii="Times New Roman" w:hAnsi="Times New Roman"/>
          <w:sz w:val="24"/>
          <w:szCs w:val="24"/>
        </w:rPr>
        <w:t>Infrastucture</w:t>
      </w:r>
      <w:proofErr w:type="spellEnd"/>
      <w:r w:rsidRPr="00A325BC">
        <w:rPr>
          <w:rFonts w:ascii="Times New Roman" w:hAnsi="Times New Roman"/>
          <w:sz w:val="24"/>
          <w:szCs w:val="24"/>
        </w:rPr>
        <w:t xml:space="preserve">, USA; </w:t>
      </w:r>
      <w:r>
        <w:rPr>
          <w:rFonts w:ascii="Times New Roman" w:hAnsi="Times New Roman"/>
          <w:sz w:val="24"/>
          <w:szCs w:val="24"/>
        </w:rPr>
        <w:t xml:space="preserve">Model LR2000 Logan Research is a product from Logan Research, Rochester, UK; </w:t>
      </w:r>
      <w:r w:rsidRPr="00A325BC">
        <w:rPr>
          <w:rFonts w:ascii="Times New Roman" w:hAnsi="Times New Roman"/>
          <w:sz w:val="24"/>
          <w:szCs w:val="24"/>
        </w:rPr>
        <w:t xml:space="preserve">Eco Medics </w:t>
      </w:r>
      <w:proofErr w:type="spellStart"/>
      <w:r w:rsidRPr="00A325BC">
        <w:rPr>
          <w:rFonts w:ascii="Times New Roman" w:hAnsi="Times New Roman"/>
          <w:sz w:val="24"/>
          <w:szCs w:val="24"/>
        </w:rPr>
        <w:t>Analyser</w:t>
      </w:r>
      <w:proofErr w:type="spellEnd"/>
      <w:r w:rsidRPr="00A325BC">
        <w:rPr>
          <w:rFonts w:ascii="Times New Roman" w:hAnsi="Times New Roman"/>
          <w:sz w:val="24"/>
          <w:szCs w:val="24"/>
        </w:rPr>
        <w:t xml:space="preserve"> CLD is a product from Eco Medics AG, Switzerland</w:t>
      </w:r>
    </w:p>
    <w:tbl>
      <w:tblPr>
        <w:tblpPr w:leftFromText="141" w:rightFromText="141" w:vertAnchor="text" w:horzAnchor="margin" w:tblpY="432"/>
        <w:tblW w:w="4723" w:type="pct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5953"/>
        <w:gridCol w:w="1163"/>
        <w:gridCol w:w="1550"/>
        <w:gridCol w:w="1808"/>
        <w:gridCol w:w="1717"/>
      </w:tblGrid>
      <w:tr w:rsidR="00E722AA" w:rsidRPr="00A14A5E" w:rsidTr="000448FE">
        <w:tc>
          <w:tcPr>
            <w:tcW w:w="462" w:type="pct"/>
            <w:shd w:val="clear" w:color="auto" w:fill="000000"/>
            <w:vAlign w:val="center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pt-PT" w:eastAsia="pt-PT" w:bidi="ar-SA"/>
              </w:rPr>
              <w:t>Article</w:t>
            </w:r>
          </w:p>
        </w:tc>
        <w:tc>
          <w:tcPr>
            <w:tcW w:w="2216" w:type="pct"/>
            <w:shd w:val="clear" w:color="auto" w:fill="000000"/>
            <w:vAlign w:val="center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pt-PT" w:eastAsia="pt-PT" w:bidi="ar-SA"/>
              </w:rPr>
              <w:t>Title</w:t>
            </w:r>
          </w:p>
        </w:tc>
        <w:tc>
          <w:tcPr>
            <w:tcW w:w="433" w:type="pct"/>
            <w:shd w:val="clear" w:color="auto" w:fill="000000"/>
            <w:vAlign w:val="center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pt-PT" w:eastAsia="pt-PT" w:bidi="ar-SA"/>
              </w:rPr>
              <w:t>Country</w:t>
            </w:r>
          </w:p>
        </w:tc>
        <w:tc>
          <w:tcPr>
            <w:tcW w:w="577" w:type="pct"/>
            <w:shd w:val="clear" w:color="auto" w:fill="000000"/>
            <w:vAlign w:val="center"/>
          </w:tcPr>
          <w:p w:rsidR="00E722AA" w:rsidRPr="00A14A5E" w:rsidRDefault="00E722AA" w:rsidP="000448FE">
            <w:pPr>
              <w:spacing w:before="40" w:afterLines="40" w:after="96" w:line="240" w:lineRule="auto"/>
              <w:ind w:right="-103" w:firstLine="0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pt-PT" w:eastAsia="pt-PT" w:bidi="ar-SA"/>
              </w:rPr>
              <w:t>Smoking habits? (No Smokers)</w:t>
            </w:r>
          </w:p>
        </w:tc>
        <w:tc>
          <w:tcPr>
            <w:tcW w:w="673" w:type="pct"/>
            <w:shd w:val="clear" w:color="auto" w:fill="000000"/>
            <w:vAlign w:val="center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pt-PT" w:eastAsia="pt-PT" w:bidi="ar-SA"/>
              </w:rPr>
              <w:t>FeNO Equipment</w:t>
            </w:r>
          </w:p>
        </w:tc>
        <w:tc>
          <w:tcPr>
            <w:tcW w:w="639" w:type="pct"/>
            <w:shd w:val="clear" w:color="auto" w:fill="000000"/>
            <w:vAlign w:val="center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pt-PT" w:eastAsia="pt-PT" w:bidi="ar-SA"/>
              </w:rPr>
              <w:t>Study Design</w:t>
            </w:r>
          </w:p>
        </w:tc>
      </w:tr>
      <w:tr w:rsidR="00E722AA" w:rsidRPr="00A14A5E" w:rsidTr="000448FE">
        <w:tc>
          <w:tcPr>
            <w:tcW w:w="462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Aronsson, 2005</w:t>
            </w:r>
          </w:p>
        </w:tc>
        <w:tc>
          <w:tcPr>
            <w:tcW w:w="2216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Allergic rhinitis with or without concomitant asthma: difference in perception of </w:t>
            </w:r>
            <w:proofErr w:type="spellStart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dyspnoea</w:t>
            </w:r>
            <w:proofErr w:type="spellEnd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 and levels of fractional exhaled nitric oxide </w:t>
            </w:r>
          </w:p>
        </w:tc>
        <w:tc>
          <w:tcPr>
            <w:tcW w:w="43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Sweden</w:t>
            </w:r>
          </w:p>
        </w:tc>
        <w:tc>
          <w:tcPr>
            <w:tcW w:w="577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No</w:t>
            </w:r>
          </w:p>
        </w:tc>
        <w:tc>
          <w:tcPr>
            <w:tcW w:w="67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eastAsia="Calibri" w:hAnsi="Times New Roman"/>
                <w:sz w:val="20"/>
                <w:szCs w:val="20"/>
                <w:lang w:val="pt-PT" w:bidi="ar-SA"/>
              </w:rPr>
              <w:t>Niox/Niox Mino</w:t>
            </w:r>
          </w:p>
        </w:tc>
        <w:tc>
          <w:tcPr>
            <w:tcW w:w="639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Prospective, Observational</w:t>
            </w:r>
          </w:p>
        </w:tc>
      </w:tr>
      <w:tr w:rsidR="00E722AA" w:rsidRPr="00A14A5E" w:rsidTr="000448FE">
        <w:tc>
          <w:tcPr>
            <w:tcW w:w="462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Berlyne, 2000</w:t>
            </w:r>
          </w:p>
        </w:tc>
        <w:tc>
          <w:tcPr>
            <w:tcW w:w="2216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A comparison of exhaled nitric oxide and induced sputum as markers of airway inflammation </w:t>
            </w:r>
          </w:p>
        </w:tc>
        <w:tc>
          <w:tcPr>
            <w:tcW w:w="43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Canada</w:t>
            </w:r>
          </w:p>
        </w:tc>
        <w:tc>
          <w:tcPr>
            <w:tcW w:w="577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No</w:t>
            </w:r>
          </w:p>
        </w:tc>
        <w:tc>
          <w:tcPr>
            <w:tcW w:w="67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eastAsia="Calibri" w:hAnsi="Times New Roman"/>
                <w:sz w:val="20"/>
                <w:szCs w:val="20"/>
                <w:lang w:val="pt-PT" w:bidi="ar-SA"/>
              </w:rPr>
              <w:t>Sievers</w:t>
            </w:r>
          </w:p>
        </w:tc>
        <w:tc>
          <w:tcPr>
            <w:tcW w:w="639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Cross Sectional</w:t>
            </w:r>
          </w:p>
        </w:tc>
      </w:tr>
      <w:tr w:rsidR="00E722AA" w:rsidRPr="00A14A5E" w:rsidTr="000448FE">
        <w:tc>
          <w:tcPr>
            <w:tcW w:w="462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Cardinale, 2005</w:t>
            </w:r>
          </w:p>
        </w:tc>
        <w:tc>
          <w:tcPr>
            <w:tcW w:w="2216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Exhaled nitric oxide, total serum </w:t>
            </w:r>
            <w:proofErr w:type="spellStart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IgE</w:t>
            </w:r>
            <w:proofErr w:type="spellEnd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 and allergic sensitization in childhood asthma and allergic rhinitis </w:t>
            </w:r>
          </w:p>
        </w:tc>
        <w:tc>
          <w:tcPr>
            <w:tcW w:w="43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Italy</w:t>
            </w:r>
          </w:p>
        </w:tc>
        <w:tc>
          <w:tcPr>
            <w:tcW w:w="577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No</w:t>
            </w:r>
          </w:p>
        </w:tc>
        <w:tc>
          <w:tcPr>
            <w:tcW w:w="67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eastAsia="Calibri" w:hAnsi="Times New Roman"/>
                <w:sz w:val="20"/>
                <w:szCs w:val="20"/>
                <w:lang w:val="pt-PT" w:bidi="ar-SA"/>
              </w:rPr>
              <w:t>Sievers</w:t>
            </w:r>
          </w:p>
        </w:tc>
        <w:tc>
          <w:tcPr>
            <w:tcW w:w="639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Cross Sectional</w:t>
            </w:r>
          </w:p>
        </w:tc>
      </w:tr>
      <w:tr w:rsidR="00E722AA" w:rsidRPr="00A14A5E" w:rsidTr="000448FE">
        <w:tc>
          <w:tcPr>
            <w:tcW w:w="462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Cibella, 2008</w:t>
            </w:r>
          </w:p>
        </w:tc>
        <w:tc>
          <w:tcPr>
            <w:tcW w:w="2216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Factors that influence exhaled nitric oxide in Italian schoolchildren </w:t>
            </w:r>
          </w:p>
        </w:tc>
        <w:tc>
          <w:tcPr>
            <w:tcW w:w="43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Italy</w:t>
            </w:r>
          </w:p>
        </w:tc>
        <w:tc>
          <w:tcPr>
            <w:tcW w:w="577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NI</w:t>
            </w:r>
          </w:p>
        </w:tc>
        <w:tc>
          <w:tcPr>
            <w:tcW w:w="67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eastAsia="Calibri" w:hAnsi="Times New Roman"/>
                <w:sz w:val="20"/>
                <w:szCs w:val="20"/>
                <w:lang w:val="pt-PT" w:bidi="ar-SA"/>
              </w:rPr>
              <w:t>Sievers</w:t>
            </w:r>
          </w:p>
        </w:tc>
        <w:tc>
          <w:tcPr>
            <w:tcW w:w="639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Cross Sectional</w:t>
            </w:r>
          </w:p>
        </w:tc>
      </w:tr>
      <w:tr w:rsidR="00E722AA" w:rsidRPr="00A14A5E" w:rsidTr="000448FE">
        <w:tc>
          <w:tcPr>
            <w:tcW w:w="462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Gratziou, 2008</w:t>
            </w:r>
          </w:p>
        </w:tc>
        <w:tc>
          <w:tcPr>
            <w:tcW w:w="2216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Breath markers of oxidative stress and airway inflammation in seasonal allergic rhinitis</w:t>
            </w:r>
          </w:p>
        </w:tc>
        <w:tc>
          <w:tcPr>
            <w:tcW w:w="43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Greece</w:t>
            </w:r>
          </w:p>
        </w:tc>
        <w:tc>
          <w:tcPr>
            <w:tcW w:w="577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No</w:t>
            </w:r>
          </w:p>
        </w:tc>
        <w:tc>
          <w:tcPr>
            <w:tcW w:w="67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357"/>
              <w:jc w:val="right"/>
              <w:rPr>
                <w:rFonts w:ascii="Times New Roman" w:eastAsia="Calibri" w:hAnsi="Times New Roman"/>
                <w:sz w:val="20"/>
                <w:szCs w:val="20"/>
                <w:lang w:bidi="ar-SA"/>
              </w:rPr>
            </w:pPr>
            <w:r w:rsidRPr="00A14A5E">
              <w:rPr>
                <w:rFonts w:ascii="Times New Roman" w:eastAsia="Calibri" w:hAnsi="Times New Roman"/>
                <w:sz w:val="20"/>
                <w:szCs w:val="20"/>
                <w:lang w:bidi="ar-SA"/>
              </w:rPr>
              <w:t xml:space="preserve">Model LR2000, Logan </w:t>
            </w:r>
            <w:r>
              <w:rPr>
                <w:rFonts w:ascii="Times New Roman" w:eastAsia="Calibri" w:hAnsi="Times New Roman"/>
                <w:sz w:val="20"/>
                <w:szCs w:val="20"/>
                <w:lang w:bidi="ar-SA"/>
              </w:rPr>
              <w:t>R</w:t>
            </w:r>
            <w:r w:rsidRPr="00A14A5E">
              <w:rPr>
                <w:rFonts w:ascii="Times New Roman" w:eastAsia="Calibri" w:hAnsi="Times New Roman"/>
                <w:sz w:val="20"/>
                <w:szCs w:val="20"/>
                <w:lang w:bidi="ar-SA"/>
              </w:rPr>
              <w:t>esearch</w:t>
            </w:r>
          </w:p>
        </w:tc>
        <w:tc>
          <w:tcPr>
            <w:tcW w:w="639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Prospective</w:t>
            </w:r>
          </w:p>
        </w:tc>
      </w:tr>
      <w:tr w:rsidR="00E722AA" w:rsidRPr="00A14A5E" w:rsidTr="000448FE">
        <w:tc>
          <w:tcPr>
            <w:tcW w:w="462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Hervás, 2008</w:t>
            </w:r>
          </w:p>
        </w:tc>
        <w:tc>
          <w:tcPr>
            <w:tcW w:w="2216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Differences in exhaled nitric oxide in atopic children </w:t>
            </w:r>
          </w:p>
        </w:tc>
        <w:tc>
          <w:tcPr>
            <w:tcW w:w="43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Spain</w:t>
            </w:r>
          </w:p>
        </w:tc>
        <w:tc>
          <w:tcPr>
            <w:tcW w:w="577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NI</w:t>
            </w:r>
          </w:p>
        </w:tc>
        <w:tc>
          <w:tcPr>
            <w:tcW w:w="67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eastAsia="Calibri" w:hAnsi="Times New Roman"/>
                <w:sz w:val="20"/>
                <w:szCs w:val="20"/>
                <w:lang w:val="pt-PT" w:bidi="ar-SA"/>
              </w:rPr>
              <w:t>Sievers</w:t>
            </w:r>
          </w:p>
        </w:tc>
        <w:tc>
          <w:tcPr>
            <w:tcW w:w="639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Cross Sectional</w:t>
            </w:r>
          </w:p>
        </w:tc>
      </w:tr>
      <w:tr w:rsidR="00E722AA" w:rsidRPr="00A14A5E" w:rsidTr="000448FE">
        <w:tc>
          <w:tcPr>
            <w:tcW w:w="462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Hung, 2007</w:t>
            </w:r>
          </w:p>
        </w:tc>
        <w:tc>
          <w:tcPr>
            <w:tcW w:w="2216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proofErr w:type="spellStart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Montelukast</w:t>
            </w:r>
            <w:proofErr w:type="spellEnd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 decreased exhaled nitric oxide in children with perennial allergic rhinitis </w:t>
            </w:r>
          </w:p>
        </w:tc>
        <w:tc>
          <w:tcPr>
            <w:tcW w:w="43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China</w:t>
            </w:r>
          </w:p>
        </w:tc>
        <w:tc>
          <w:tcPr>
            <w:tcW w:w="577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NI</w:t>
            </w:r>
          </w:p>
        </w:tc>
        <w:tc>
          <w:tcPr>
            <w:tcW w:w="67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eastAsia="Calibri" w:hAnsi="Times New Roman"/>
                <w:sz w:val="20"/>
                <w:szCs w:val="20"/>
                <w:lang w:val="pt-PT" w:bidi="ar-SA"/>
              </w:rPr>
              <w:t>Niox/Niox Mino</w:t>
            </w:r>
          </w:p>
        </w:tc>
        <w:tc>
          <w:tcPr>
            <w:tcW w:w="639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Randomized Controlled</w:t>
            </w:r>
          </w:p>
        </w:tc>
      </w:tr>
      <w:tr w:rsidR="00E722AA" w:rsidRPr="00A14A5E" w:rsidTr="000448FE">
        <w:tc>
          <w:tcPr>
            <w:tcW w:w="462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Kosticas, 2008</w:t>
            </w:r>
          </w:p>
        </w:tc>
        <w:tc>
          <w:tcPr>
            <w:tcW w:w="2216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Portable exhaled nitric oxide as a screening tool for asthma in young adults during pollen season </w:t>
            </w:r>
          </w:p>
        </w:tc>
        <w:tc>
          <w:tcPr>
            <w:tcW w:w="43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Greece</w:t>
            </w:r>
          </w:p>
        </w:tc>
        <w:tc>
          <w:tcPr>
            <w:tcW w:w="577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Yes (76)</w:t>
            </w:r>
          </w:p>
        </w:tc>
        <w:tc>
          <w:tcPr>
            <w:tcW w:w="67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eastAsia="Calibri" w:hAnsi="Times New Roman"/>
                <w:sz w:val="20"/>
                <w:szCs w:val="20"/>
                <w:lang w:val="pt-PT" w:bidi="ar-SA"/>
              </w:rPr>
              <w:t>Niox/Niox Mino</w:t>
            </w:r>
          </w:p>
        </w:tc>
        <w:tc>
          <w:tcPr>
            <w:tcW w:w="639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Cross Sectional</w:t>
            </w:r>
          </w:p>
        </w:tc>
      </w:tr>
      <w:tr w:rsidR="00E722AA" w:rsidRPr="00A14A5E" w:rsidTr="000448FE">
        <w:tc>
          <w:tcPr>
            <w:tcW w:w="462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Malmberg, 2006</w:t>
            </w:r>
          </w:p>
        </w:tc>
        <w:tc>
          <w:tcPr>
            <w:tcW w:w="2216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Exhaled nitric oxide in healthy </w:t>
            </w:r>
            <w:proofErr w:type="spellStart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nonatopic</w:t>
            </w:r>
            <w:proofErr w:type="spellEnd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 school-age children: Determinants and height-adjusted reference values </w:t>
            </w:r>
          </w:p>
        </w:tc>
        <w:tc>
          <w:tcPr>
            <w:tcW w:w="43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Finland</w:t>
            </w:r>
          </w:p>
        </w:tc>
        <w:tc>
          <w:tcPr>
            <w:tcW w:w="577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Yes (10)</w:t>
            </w:r>
          </w:p>
        </w:tc>
        <w:tc>
          <w:tcPr>
            <w:tcW w:w="67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eastAsia="Calibri" w:hAnsi="Times New Roman"/>
                <w:sz w:val="20"/>
                <w:szCs w:val="20"/>
                <w:lang w:val="pt-PT" w:bidi="ar-SA"/>
              </w:rPr>
              <w:t>Niox/Niox Mino</w:t>
            </w:r>
          </w:p>
        </w:tc>
        <w:tc>
          <w:tcPr>
            <w:tcW w:w="639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Cross Sectional</w:t>
            </w:r>
          </w:p>
        </w:tc>
      </w:tr>
      <w:tr w:rsidR="00E722AA" w:rsidRPr="00A14A5E" w:rsidTr="000448FE">
        <w:tc>
          <w:tcPr>
            <w:tcW w:w="462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lastRenderedPageBreak/>
              <w:t>Manson, 2009</w:t>
            </w:r>
          </w:p>
        </w:tc>
        <w:tc>
          <w:tcPr>
            <w:tcW w:w="2216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Nasal </w:t>
            </w:r>
            <w:proofErr w:type="spellStart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CpG</w:t>
            </w:r>
            <w:proofErr w:type="spellEnd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 </w:t>
            </w:r>
            <w:proofErr w:type="spellStart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oligodeoxynucleotide</w:t>
            </w:r>
            <w:proofErr w:type="spellEnd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 administration induces a local inflammatory response in </w:t>
            </w:r>
            <w:proofErr w:type="spellStart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nonallergic</w:t>
            </w:r>
            <w:proofErr w:type="spellEnd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 individuals </w:t>
            </w:r>
          </w:p>
        </w:tc>
        <w:tc>
          <w:tcPr>
            <w:tcW w:w="43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Sweden</w:t>
            </w:r>
          </w:p>
        </w:tc>
        <w:tc>
          <w:tcPr>
            <w:tcW w:w="577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NI</w:t>
            </w:r>
          </w:p>
        </w:tc>
        <w:tc>
          <w:tcPr>
            <w:tcW w:w="67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eastAsia="Calibri" w:hAnsi="Times New Roman"/>
                <w:sz w:val="20"/>
                <w:szCs w:val="20"/>
                <w:lang w:val="pt-PT" w:bidi="ar-SA"/>
              </w:rPr>
              <w:t>Niox/Niox Mino</w:t>
            </w:r>
          </w:p>
        </w:tc>
        <w:tc>
          <w:tcPr>
            <w:tcW w:w="639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Cross Sectional</w:t>
            </w:r>
          </w:p>
        </w:tc>
      </w:tr>
      <w:tr w:rsidR="00E722AA" w:rsidRPr="00A14A5E" w:rsidTr="000448FE">
        <w:tc>
          <w:tcPr>
            <w:tcW w:w="462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Marcucci, 2007</w:t>
            </w:r>
          </w:p>
        </w:tc>
        <w:tc>
          <w:tcPr>
            <w:tcW w:w="2216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Lower airway inflammation before and after house dust mite nasal challenge: an age and allergen exposure-related phenomenon </w:t>
            </w:r>
          </w:p>
        </w:tc>
        <w:tc>
          <w:tcPr>
            <w:tcW w:w="43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Italy</w:t>
            </w:r>
          </w:p>
        </w:tc>
        <w:tc>
          <w:tcPr>
            <w:tcW w:w="577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NI</w:t>
            </w:r>
          </w:p>
        </w:tc>
        <w:tc>
          <w:tcPr>
            <w:tcW w:w="67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eastAsia="Calibri" w:hAnsi="Times New Roman"/>
                <w:sz w:val="20"/>
                <w:szCs w:val="20"/>
                <w:lang w:val="pt-PT" w:bidi="ar-SA"/>
              </w:rPr>
              <w:t xml:space="preserve">Sievers </w:t>
            </w:r>
          </w:p>
        </w:tc>
        <w:tc>
          <w:tcPr>
            <w:tcW w:w="639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Cross Sectional</w:t>
            </w:r>
          </w:p>
        </w:tc>
      </w:tr>
      <w:tr w:rsidR="00E722AA" w:rsidRPr="00A14A5E" w:rsidTr="000448FE">
        <w:tc>
          <w:tcPr>
            <w:tcW w:w="462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Olin, 2004</w:t>
            </w:r>
          </w:p>
        </w:tc>
        <w:tc>
          <w:tcPr>
            <w:tcW w:w="2216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Exhaled nitric oxide: Relation to sensitization and respiratory symptoms </w:t>
            </w:r>
          </w:p>
        </w:tc>
        <w:tc>
          <w:tcPr>
            <w:tcW w:w="43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Sweden</w:t>
            </w:r>
          </w:p>
        </w:tc>
        <w:tc>
          <w:tcPr>
            <w:tcW w:w="577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No</w:t>
            </w:r>
          </w:p>
        </w:tc>
        <w:tc>
          <w:tcPr>
            <w:tcW w:w="67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eastAsia="Calibri" w:hAnsi="Times New Roman"/>
                <w:sz w:val="20"/>
                <w:szCs w:val="20"/>
                <w:lang w:val="pt-PT" w:bidi="ar-SA"/>
              </w:rPr>
              <w:t>Eco Medics Analyser CLD</w:t>
            </w:r>
          </w:p>
        </w:tc>
        <w:tc>
          <w:tcPr>
            <w:tcW w:w="639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Cross Sectional</w:t>
            </w:r>
          </w:p>
        </w:tc>
      </w:tr>
      <w:tr w:rsidR="00E722AA" w:rsidRPr="00A14A5E" w:rsidTr="000448FE">
        <w:tc>
          <w:tcPr>
            <w:tcW w:w="462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Prieto, 2002 (Jun)</w:t>
            </w:r>
          </w:p>
        </w:tc>
        <w:tc>
          <w:tcPr>
            <w:tcW w:w="2216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Exhaled nitric oxide and bronchial responsiveness to adenosine 5-monophosphate in subjects with allergic rhinitis </w:t>
            </w:r>
          </w:p>
        </w:tc>
        <w:tc>
          <w:tcPr>
            <w:tcW w:w="43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Spain</w:t>
            </w:r>
          </w:p>
        </w:tc>
        <w:tc>
          <w:tcPr>
            <w:tcW w:w="577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No</w:t>
            </w:r>
          </w:p>
        </w:tc>
        <w:tc>
          <w:tcPr>
            <w:tcW w:w="67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eastAsia="Calibri" w:hAnsi="Times New Roman"/>
                <w:sz w:val="20"/>
                <w:szCs w:val="20"/>
                <w:lang w:val="pt-PT" w:bidi="ar-SA"/>
              </w:rPr>
              <w:t>Niox/Niox Mino</w:t>
            </w:r>
          </w:p>
        </w:tc>
        <w:tc>
          <w:tcPr>
            <w:tcW w:w="639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Cross Sectional</w:t>
            </w:r>
          </w:p>
        </w:tc>
      </w:tr>
      <w:tr w:rsidR="00E722AA" w:rsidRPr="00A14A5E" w:rsidTr="000448FE">
        <w:tc>
          <w:tcPr>
            <w:tcW w:w="462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Prieto, 2002 (Sep)</w:t>
            </w:r>
          </w:p>
        </w:tc>
        <w:tc>
          <w:tcPr>
            <w:tcW w:w="2216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Modifications of airway responsiveness to adenosine 5-monophosphate and exhaled nitric oxide concentrations after the pollen season in subjects with pollen-induced rhinitis </w:t>
            </w:r>
          </w:p>
        </w:tc>
        <w:tc>
          <w:tcPr>
            <w:tcW w:w="43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Spain</w:t>
            </w:r>
          </w:p>
        </w:tc>
        <w:tc>
          <w:tcPr>
            <w:tcW w:w="577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No</w:t>
            </w:r>
          </w:p>
        </w:tc>
        <w:tc>
          <w:tcPr>
            <w:tcW w:w="67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eastAsia="Calibri" w:hAnsi="Times New Roman"/>
                <w:sz w:val="20"/>
                <w:szCs w:val="20"/>
                <w:lang w:val="pt-PT" w:bidi="ar-SA"/>
              </w:rPr>
              <w:t>Niox/Niox Mino</w:t>
            </w:r>
          </w:p>
        </w:tc>
        <w:tc>
          <w:tcPr>
            <w:tcW w:w="639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Cross Sectional</w:t>
            </w:r>
          </w:p>
        </w:tc>
      </w:tr>
      <w:tr w:rsidR="00E722AA" w:rsidRPr="00A14A5E" w:rsidTr="000448FE">
        <w:tc>
          <w:tcPr>
            <w:tcW w:w="462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Profita, 2006</w:t>
            </w:r>
          </w:p>
        </w:tc>
        <w:tc>
          <w:tcPr>
            <w:tcW w:w="2216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Noninvasive methods for the detection of upper and lower airway inflammation in atopic children </w:t>
            </w:r>
          </w:p>
        </w:tc>
        <w:tc>
          <w:tcPr>
            <w:tcW w:w="43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Italy</w:t>
            </w:r>
          </w:p>
        </w:tc>
        <w:tc>
          <w:tcPr>
            <w:tcW w:w="577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NI</w:t>
            </w:r>
          </w:p>
        </w:tc>
        <w:tc>
          <w:tcPr>
            <w:tcW w:w="67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eastAsia="Calibri" w:hAnsi="Times New Roman"/>
                <w:sz w:val="20"/>
                <w:szCs w:val="20"/>
                <w:lang w:val="pt-PT" w:bidi="ar-SA"/>
              </w:rPr>
              <w:t>Niox/Niox Mino</w:t>
            </w:r>
          </w:p>
        </w:tc>
        <w:tc>
          <w:tcPr>
            <w:tcW w:w="639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Cross Sectional</w:t>
            </w:r>
          </w:p>
        </w:tc>
      </w:tr>
      <w:tr w:rsidR="00E722AA" w:rsidRPr="00A14A5E" w:rsidTr="000448FE">
        <w:tc>
          <w:tcPr>
            <w:tcW w:w="462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Rolla, 2007</w:t>
            </w:r>
          </w:p>
        </w:tc>
        <w:tc>
          <w:tcPr>
            <w:tcW w:w="2216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Diagnostic classification of persistent rhinitis and its relationship to exhaled nitric oxide and asthma: a clinical study of a consecutive series of patients </w:t>
            </w:r>
          </w:p>
        </w:tc>
        <w:tc>
          <w:tcPr>
            <w:tcW w:w="43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Italy</w:t>
            </w:r>
          </w:p>
        </w:tc>
        <w:tc>
          <w:tcPr>
            <w:tcW w:w="577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No</w:t>
            </w:r>
          </w:p>
        </w:tc>
        <w:tc>
          <w:tcPr>
            <w:tcW w:w="67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eastAsia="Calibri" w:hAnsi="Times New Roman"/>
                <w:sz w:val="20"/>
                <w:szCs w:val="20"/>
                <w:lang w:val="pt-PT" w:bidi="ar-SA"/>
              </w:rPr>
              <w:t>Niox/Niox Mino</w:t>
            </w:r>
          </w:p>
        </w:tc>
        <w:tc>
          <w:tcPr>
            <w:tcW w:w="639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Cross Sectional</w:t>
            </w:r>
          </w:p>
        </w:tc>
      </w:tr>
      <w:tr w:rsidR="00E722AA" w:rsidRPr="00A14A5E" w:rsidTr="000448FE">
        <w:tc>
          <w:tcPr>
            <w:tcW w:w="462" w:type="pct"/>
            <w:shd w:val="clear" w:color="auto" w:fill="auto"/>
          </w:tcPr>
          <w:p w:rsidR="00E722AA" w:rsidRPr="00A14A5E" w:rsidRDefault="00E722AA" w:rsidP="000448FE">
            <w:pPr>
              <w:tabs>
                <w:tab w:val="left" w:pos="653"/>
              </w:tabs>
              <w:spacing w:before="40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Rouhos, 2008</w:t>
            </w:r>
          </w:p>
        </w:tc>
        <w:tc>
          <w:tcPr>
            <w:tcW w:w="2216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Atopic sensitization to common allergens without symptoms or signs of airway disorders does not increase exhaled nitric oxide </w:t>
            </w:r>
          </w:p>
        </w:tc>
        <w:tc>
          <w:tcPr>
            <w:tcW w:w="43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Finland</w:t>
            </w:r>
          </w:p>
        </w:tc>
        <w:tc>
          <w:tcPr>
            <w:tcW w:w="577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No</w:t>
            </w:r>
          </w:p>
        </w:tc>
        <w:tc>
          <w:tcPr>
            <w:tcW w:w="67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eastAsia="Calibri" w:hAnsi="Times New Roman"/>
                <w:sz w:val="20"/>
                <w:szCs w:val="20"/>
                <w:lang w:val="pt-PT" w:bidi="ar-SA"/>
              </w:rPr>
              <w:t>Sievers</w:t>
            </w:r>
          </w:p>
        </w:tc>
        <w:tc>
          <w:tcPr>
            <w:tcW w:w="639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Cross Sectional</w:t>
            </w:r>
          </w:p>
        </w:tc>
      </w:tr>
      <w:tr w:rsidR="00E722AA" w:rsidRPr="00A14A5E" w:rsidTr="000448FE">
        <w:tc>
          <w:tcPr>
            <w:tcW w:w="462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Saito, 2004</w:t>
            </w:r>
          </w:p>
        </w:tc>
        <w:tc>
          <w:tcPr>
            <w:tcW w:w="2216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Exhaled nitric oxide as a marker of airway inflammation for an epidemiologic study in schoolchildren </w:t>
            </w:r>
          </w:p>
        </w:tc>
        <w:tc>
          <w:tcPr>
            <w:tcW w:w="43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Japan</w:t>
            </w:r>
          </w:p>
        </w:tc>
        <w:tc>
          <w:tcPr>
            <w:tcW w:w="577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NI</w:t>
            </w:r>
          </w:p>
        </w:tc>
        <w:tc>
          <w:tcPr>
            <w:tcW w:w="67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eastAsia="Calibri" w:hAnsi="Times New Roman"/>
                <w:sz w:val="20"/>
                <w:szCs w:val="20"/>
                <w:lang w:val="pt-PT" w:bidi="ar-SA"/>
              </w:rPr>
              <w:t>Sievers</w:t>
            </w:r>
          </w:p>
        </w:tc>
        <w:tc>
          <w:tcPr>
            <w:tcW w:w="639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Cross Sectional</w:t>
            </w:r>
          </w:p>
        </w:tc>
      </w:tr>
      <w:tr w:rsidR="00E722AA" w:rsidRPr="00A14A5E" w:rsidTr="000448FE">
        <w:trPr>
          <w:trHeight w:val="342"/>
        </w:trPr>
        <w:tc>
          <w:tcPr>
            <w:tcW w:w="462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Tanou, 2009</w:t>
            </w:r>
          </w:p>
        </w:tc>
        <w:tc>
          <w:tcPr>
            <w:tcW w:w="2216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Inflammatory and oxidative stress biomarkers in allergic rhinitis: the effect of smoking </w:t>
            </w:r>
          </w:p>
        </w:tc>
        <w:tc>
          <w:tcPr>
            <w:tcW w:w="43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Greece</w:t>
            </w:r>
          </w:p>
        </w:tc>
        <w:tc>
          <w:tcPr>
            <w:tcW w:w="577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Yes (35)</w:t>
            </w:r>
          </w:p>
        </w:tc>
        <w:tc>
          <w:tcPr>
            <w:tcW w:w="673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eastAsia="Calibri" w:hAnsi="Times New Roman"/>
                <w:sz w:val="20"/>
                <w:szCs w:val="20"/>
                <w:lang w:val="pt-PT" w:bidi="ar-SA"/>
              </w:rPr>
              <w:t>Niox/Niox Mino</w:t>
            </w:r>
          </w:p>
        </w:tc>
        <w:tc>
          <w:tcPr>
            <w:tcW w:w="639" w:type="pct"/>
            <w:shd w:val="clear" w:color="auto" w:fill="auto"/>
          </w:tcPr>
          <w:p w:rsidR="00E722AA" w:rsidRPr="00A14A5E" w:rsidRDefault="00E722AA" w:rsidP="000448FE">
            <w:pPr>
              <w:spacing w:before="40" w:afterLines="40" w:after="96" w:line="240" w:lineRule="auto"/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Cross Sectional</w:t>
            </w:r>
          </w:p>
        </w:tc>
      </w:tr>
    </w:tbl>
    <w:p w:rsidR="00E722AA" w:rsidRPr="00FD3AE7" w:rsidRDefault="00E722AA" w:rsidP="00E722AA">
      <w:pPr>
        <w:spacing w:after="0"/>
        <w:rPr>
          <w:rFonts w:ascii="Times New Roman" w:hAnsi="Times New Roman"/>
          <w:sz w:val="20"/>
          <w:szCs w:val="20"/>
        </w:rPr>
      </w:pPr>
    </w:p>
    <w:p w:rsidR="00E722AA" w:rsidRPr="00FD3AE7" w:rsidRDefault="00E722AA" w:rsidP="00E722AA">
      <w:pPr>
        <w:spacing w:after="0"/>
        <w:rPr>
          <w:rFonts w:ascii="Times New Roman" w:hAnsi="Times New Roman"/>
          <w:sz w:val="20"/>
          <w:szCs w:val="20"/>
        </w:rPr>
      </w:pPr>
    </w:p>
    <w:p w:rsidR="00E722AA" w:rsidRPr="00FD3AE7" w:rsidRDefault="00E722AA" w:rsidP="00E722AA">
      <w:pPr>
        <w:spacing w:after="0"/>
        <w:rPr>
          <w:rFonts w:ascii="Times New Roman" w:hAnsi="Times New Roman"/>
          <w:sz w:val="20"/>
          <w:szCs w:val="20"/>
        </w:rPr>
      </w:pPr>
    </w:p>
    <w:p w:rsidR="00E722AA" w:rsidRDefault="00E722AA" w:rsidP="00E722AA">
      <w:pPr>
        <w:spacing w:line="276" w:lineRule="auto"/>
        <w:rPr>
          <w:rFonts w:ascii="Times New Roman" w:hAnsi="Times New Roman"/>
          <w:sz w:val="20"/>
          <w:szCs w:val="20"/>
        </w:rPr>
      </w:pPr>
    </w:p>
    <w:p w:rsidR="00E722AA" w:rsidRDefault="00E722AA" w:rsidP="00E722AA">
      <w:pPr>
        <w:spacing w:line="276" w:lineRule="auto"/>
        <w:rPr>
          <w:rFonts w:ascii="Times New Roman" w:hAnsi="Times New Roman"/>
          <w:sz w:val="20"/>
          <w:szCs w:val="20"/>
        </w:rPr>
      </w:pPr>
      <w:r w:rsidRPr="00FD3AE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</w:t>
      </w:r>
    </w:p>
    <w:p w:rsidR="00E722AA" w:rsidRPr="00A325BC" w:rsidRDefault="00E722AA" w:rsidP="00E722AA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br w:type="page"/>
      </w:r>
      <w:r w:rsidRPr="00A325BC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b/>
          <w:sz w:val="24"/>
          <w:szCs w:val="24"/>
        </w:rPr>
        <w:t>S2</w:t>
      </w:r>
      <w:r w:rsidRPr="00A325BC">
        <w:rPr>
          <w:rFonts w:ascii="Times New Roman" w:hAnsi="Times New Roman"/>
          <w:b/>
          <w:sz w:val="24"/>
          <w:szCs w:val="24"/>
        </w:rPr>
        <w:t>.</w:t>
      </w:r>
      <w:r w:rsidRPr="00A325BC">
        <w:rPr>
          <w:rFonts w:ascii="Times New Roman" w:hAnsi="Times New Roman"/>
          <w:sz w:val="24"/>
          <w:szCs w:val="24"/>
        </w:rPr>
        <w:t xml:space="preserve"> Definitions of healthy groups and number of participants per group in included studies. NI: No information; AR – Allergic Rhinitis; NAR – Non-Allergic Rhinitis</w:t>
      </w:r>
    </w:p>
    <w:tbl>
      <w:tblPr>
        <w:tblpPr w:leftFromText="141" w:rightFromText="141" w:vertAnchor="page" w:horzAnchor="margin" w:tblpY="2881"/>
        <w:tblW w:w="15134" w:type="dxa"/>
        <w:tblBorders>
          <w:top w:val="single" w:sz="4" w:space="0" w:color="auto"/>
          <w:bottom w:val="single" w:sz="8" w:space="0" w:color="000000"/>
          <w:insideH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072"/>
        <w:gridCol w:w="1843"/>
        <w:gridCol w:w="992"/>
        <w:gridCol w:w="993"/>
        <w:gridCol w:w="992"/>
      </w:tblGrid>
      <w:tr w:rsidR="00E722AA" w:rsidRPr="00A14A5E" w:rsidTr="000448FE">
        <w:trPr>
          <w:trHeight w:val="435"/>
        </w:trPr>
        <w:tc>
          <w:tcPr>
            <w:tcW w:w="1242" w:type="dxa"/>
            <w:shd w:val="clear" w:color="auto" w:fill="000000"/>
            <w:vAlign w:val="center"/>
            <w:hideMark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pt-PT" w:eastAsia="pt-PT" w:bidi="ar-SA"/>
              </w:rPr>
              <w:t>First Author</w:t>
            </w:r>
          </w:p>
        </w:tc>
        <w:tc>
          <w:tcPr>
            <w:tcW w:w="9072" w:type="dxa"/>
            <w:shd w:val="clear" w:color="auto" w:fill="000000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pt-PT" w:eastAsia="pt-PT" w:bidi="ar-SA"/>
              </w:rPr>
              <w:t>Healthy/Controls Definition</w:t>
            </w:r>
          </w:p>
        </w:tc>
        <w:tc>
          <w:tcPr>
            <w:tcW w:w="1843" w:type="dxa"/>
            <w:shd w:val="clear" w:color="auto" w:fill="000000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pt-PT" w:eastAsia="pt-PT" w:bidi="ar-SA"/>
              </w:rPr>
              <w:t>Number of Healthy/ Controls</w:t>
            </w:r>
          </w:p>
        </w:tc>
        <w:tc>
          <w:tcPr>
            <w:tcW w:w="992" w:type="dxa"/>
            <w:shd w:val="clear" w:color="auto" w:fill="000000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pt-PT" w:eastAsia="pt-PT" w:bidi="ar-SA"/>
              </w:rPr>
              <w:t>Number of atopic</w:t>
            </w:r>
          </w:p>
        </w:tc>
        <w:tc>
          <w:tcPr>
            <w:tcW w:w="993" w:type="dxa"/>
            <w:shd w:val="clear" w:color="auto" w:fill="000000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pt-PT" w:eastAsia="pt-PT" w:bidi="ar-SA"/>
              </w:rPr>
              <w:t xml:space="preserve">Number of AR </w:t>
            </w:r>
          </w:p>
        </w:tc>
        <w:tc>
          <w:tcPr>
            <w:tcW w:w="992" w:type="dxa"/>
            <w:shd w:val="clear" w:color="auto" w:fill="000000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right="-44" w:firstLine="0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pt-PT" w:eastAsia="pt-PT" w:bidi="ar-SA"/>
              </w:rPr>
              <w:t xml:space="preserve">Number of NAR </w:t>
            </w:r>
          </w:p>
        </w:tc>
      </w:tr>
      <w:tr w:rsidR="00E722AA" w:rsidRPr="00A14A5E" w:rsidTr="000448FE">
        <w:trPr>
          <w:trHeight w:val="496"/>
        </w:trPr>
        <w:tc>
          <w:tcPr>
            <w:tcW w:w="1242" w:type="dxa"/>
            <w:shd w:val="clear" w:color="auto" w:fill="auto"/>
            <w:vAlign w:val="center"/>
            <w:hideMark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Aronsson, 2005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“Subjects who did not report a history of rhinitis or asthma, with negative SPTs, without hyper-responsiveness to </w:t>
            </w:r>
            <w:proofErr w:type="spellStart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metacholine</w:t>
            </w:r>
            <w:proofErr w:type="spellEnd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”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-</w:t>
            </w:r>
          </w:p>
        </w:tc>
      </w:tr>
      <w:tr w:rsidR="00E722AA" w:rsidRPr="00A14A5E" w:rsidTr="000448FE">
        <w:trPr>
          <w:trHeight w:val="384"/>
        </w:trPr>
        <w:tc>
          <w:tcPr>
            <w:tcW w:w="1242" w:type="dxa"/>
            <w:shd w:val="clear" w:color="auto" w:fill="auto"/>
            <w:vAlign w:val="center"/>
            <w:hideMark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Berlyne, 2000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“Subjects without symptoms, an FEV1/VC of 70% or greater, and a </w:t>
            </w:r>
            <w:proofErr w:type="spellStart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methacoline</w:t>
            </w:r>
            <w:proofErr w:type="spellEnd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 PC20 of greater than 16 mg/mL, without atopy”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28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-</w:t>
            </w:r>
          </w:p>
        </w:tc>
      </w:tr>
      <w:tr w:rsidR="00E722AA" w:rsidRPr="00A14A5E" w:rsidTr="000448FE">
        <w:trPr>
          <w:trHeight w:val="492"/>
        </w:trPr>
        <w:tc>
          <w:tcPr>
            <w:tcW w:w="1242" w:type="dxa"/>
            <w:shd w:val="clear" w:color="auto" w:fill="auto"/>
            <w:vAlign w:val="center"/>
            <w:hideMark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Cardinale, 2005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(Subjects with) “No history of airway disease, allergy or significant medical illness and not taking any medication.”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41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-</w:t>
            </w:r>
          </w:p>
        </w:tc>
      </w:tr>
      <w:tr w:rsidR="00E722AA" w:rsidRPr="00A14A5E" w:rsidTr="000448FE">
        <w:trPr>
          <w:trHeight w:val="408"/>
        </w:trPr>
        <w:tc>
          <w:tcPr>
            <w:tcW w:w="1242" w:type="dxa"/>
            <w:shd w:val="clear" w:color="auto" w:fill="auto"/>
            <w:vAlign w:val="center"/>
            <w:hideMark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Cibella, 2008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(Subjects) “Without asthma (positive answer to "Have you ever had asthma diagnosed by a physician") or rhinitis.”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94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38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63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94</w:t>
            </w:r>
          </w:p>
        </w:tc>
      </w:tr>
      <w:tr w:rsidR="00E722AA" w:rsidRPr="00A14A5E" w:rsidTr="000448FE">
        <w:trPr>
          <w:trHeight w:val="408"/>
        </w:trPr>
        <w:tc>
          <w:tcPr>
            <w:tcW w:w="1242" w:type="dxa"/>
            <w:shd w:val="clear" w:color="auto" w:fill="auto"/>
            <w:vAlign w:val="center"/>
            <w:hideMark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Gratziou, 2008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357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/>
              </w:rPr>
              <w:t>“Healthy non-atopic volunteers”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-</w:t>
            </w:r>
          </w:p>
        </w:tc>
      </w:tr>
      <w:tr w:rsidR="00E722AA" w:rsidRPr="00A14A5E" w:rsidTr="000448FE">
        <w:trPr>
          <w:trHeight w:val="478"/>
        </w:trPr>
        <w:tc>
          <w:tcPr>
            <w:tcW w:w="1242" w:type="dxa"/>
            <w:shd w:val="clear" w:color="auto" w:fill="auto"/>
            <w:vAlign w:val="center"/>
            <w:hideMark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Hervás, 2008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NI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15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-</w:t>
            </w:r>
          </w:p>
        </w:tc>
      </w:tr>
      <w:tr w:rsidR="00E722AA" w:rsidRPr="00A14A5E" w:rsidTr="000448FE">
        <w:trPr>
          <w:trHeight w:val="400"/>
        </w:trPr>
        <w:tc>
          <w:tcPr>
            <w:tcW w:w="1242" w:type="dxa"/>
            <w:shd w:val="clear" w:color="auto" w:fill="auto"/>
            <w:vAlign w:val="center"/>
            <w:hideMark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Hung, 2007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“Subjects who revealed no history of allergies or respiratory disease within 4 weeks prior to beginning the study”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45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-</w:t>
            </w:r>
          </w:p>
        </w:tc>
      </w:tr>
      <w:tr w:rsidR="00E722AA" w:rsidRPr="00A14A5E" w:rsidTr="000448FE">
        <w:trPr>
          <w:trHeight w:val="414"/>
        </w:trPr>
        <w:tc>
          <w:tcPr>
            <w:tcW w:w="1242" w:type="dxa"/>
            <w:shd w:val="clear" w:color="auto" w:fill="auto"/>
            <w:vAlign w:val="center"/>
            <w:hideMark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Kosticas, 2008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“Subjects without respiratory symptoms (based in all negative answers to a </w:t>
            </w:r>
            <w:proofErr w:type="spellStart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questionary</w:t>
            </w:r>
            <w:proofErr w:type="spellEnd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)”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57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-</w:t>
            </w:r>
          </w:p>
        </w:tc>
      </w:tr>
      <w:tr w:rsidR="00E722AA" w:rsidRPr="00A14A5E" w:rsidTr="000448FE">
        <w:trPr>
          <w:trHeight w:val="67"/>
        </w:trPr>
        <w:tc>
          <w:tcPr>
            <w:tcW w:w="1242" w:type="dxa"/>
            <w:shd w:val="clear" w:color="auto" w:fill="auto"/>
            <w:vAlign w:val="center"/>
            <w:hideMark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Malmberg, 2006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“Subjects nonsmokers and non-atopic; without a history of asthma or allergic rhinitis or any other chronic respiratory disorder, or a history of wheeze during the last 12 months; not taking any regular medication; free from symptoms and signs of acute upper respiratory tract infection during 2 weeks prior to the assessment; with a normal lung function (de</w:t>
            </w: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ﬁ</w:t>
            </w:r>
            <w:proofErr w:type="spellStart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ned</w:t>
            </w:r>
            <w:proofErr w:type="spellEnd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 as forced expired volume in 1 sec (FEV1) within 2 SD of predicted)”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114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24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-</w:t>
            </w:r>
          </w:p>
        </w:tc>
      </w:tr>
      <w:tr w:rsidR="00E722AA" w:rsidRPr="00A14A5E" w:rsidTr="000448FE">
        <w:trPr>
          <w:trHeight w:val="468"/>
        </w:trPr>
        <w:tc>
          <w:tcPr>
            <w:tcW w:w="1242" w:type="dxa"/>
            <w:shd w:val="clear" w:color="auto" w:fill="auto"/>
            <w:vAlign w:val="center"/>
            <w:hideMark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lastRenderedPageBreak/>
              <w:t>Manson, 2009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“Symptom-free subjects, with no history of AR and a negative SPT to the standard panel of allergens”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sz w:val="20"/>
                <w:szCs w:val="20"/>
                <w:lang w:val="pt-PT" w:eastAsia="pt-PT" w:bidi="ar-SA"/>
              </w:rPr>
              <w:t>-</w:t>
            </w:r>
          </w:p>
        </w:tc>
      </w:tr>
      <w:tr w:rsidR="00E722AA" w:rsidRPr="00A14A5E" w:rsidTr="000448FE">
        <w:trPr>
          <w:trHeight w:val="67"/>
        </w:trPr>
        <w:tc>
          <w:tcPr>
            <w:tcW w:w="1242" w:type="dxa"/>
            <w:shd w:val="clear" w:color="auto" w:fill="auto"/>
            <w:vAlign w:val="center"/>
            <w:hideMark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Marcucci, 2007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357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“Healthy non-atopic”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-</w:t>
            </w:r>
          </w:p>
        </w:tc>
      </w:tr>
      <w:tr w:rsidR="00E722AA" w:rsidRPr="00A14A5E" w:rsidTr="000448FE">
        <w:trPr>
          <w:trHeight w:val="383"/>
        </w:trPr>
        <w:tc>
          <w:tcPr>
            <w:tcW w:w="1242" w:type="dxa"/>
            <w:shd w:val="clear" w:color="auto" w:fill="auto"/>
            <w:vAlign w:val="center"/>
            <w:hideMark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Olin, 2004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NI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137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33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17</w:t>
            </w:r>
          </w:p>
        </w:tc>
      </w:tr>
      <w:tr w:rsidR="00E722AA" w:rsidRPr="00A14A5E" w:rsidTr="000448FE">
        <w:trPr>
          <w:trHeight w:val="588"/>
        </w:trPr>
        <w:tc>
          <w:tcPr>
            <w:tcW w:w="1242" w:type="dxa"/>
            <w:shd w:val="clear" w:color="auto" w:fill="auto"/>
            <w:vAlign w:val="center"/>
            <w:hideMark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Prieto, 2002 (1)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“Individuals with no history of asthma, allergic rhinitis, atopic eczema, or other relevant disease, and no medication and negative skin-prick test result for six common airborne allergens”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14</w:t>
            </w:r>
          </w:p>
        </w:tc>
      </w:tr>
      <w:tr w:rsidR="00E722AA" w:rsidRPr="00A14A5E" w:rsidTr="000448FE">
        <w:trPr>
          <w:trHeight w:val="540"/>
        </w:trPr>
        <w:tc>
          <w:tcPr>
            <w:tcW w:w="1242" w:type="dxa"/>
            <w:shd w:val="clear" w:color="auto" w:fill="auto"/>
            <w:vAlign w:val="center"/>
            <w:hideMark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Prieto, 2002 (2)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“Subjects had no history of asthma, allergic rhinitis, atopic eczema, or other relevant disease, and were receiving no medications. All subjects were </w:t>
            </w:r>
            <w:proofErr w:type="spellStart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nonatopic</w:t>
            </w:r>
            <w:proofErr w:type="spellEnd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, as defined by a negative skin test result for six common airborne allergens.”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38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-</w:t>
            </w:r>
          </w:p>
        </w:tc>
      </w:tr>
      <w:tr w:rsidR="00E722AA" w:rsidRPr="00A14A5E" w:rsidTr="000448FE">
        <w:trPr>
          <w:trHeight w:val="550"/>
        </w:trPr>
        <w:tc>
          <w:tcPr>
            <w:tcW w:w="1242" w:type="dxa"/>
            <w:shd w:val="clear" w:color="auto" w:fill="auto"/>
            <w:vAlign w:val="center"/>
            <w:hideMark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Profita, 2006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“Subjects with no acute respiratory symptoms in the last 4 weeks”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-</w:t>
            </w:r>
          </w:p>
        </w:tc>
      </w:tr>
      <w:tr w:rsidR="00E722AA" w:rsidRPr="00A14A5E" w:rsidTr="000448FE">
        <w:trPr>
          <w:trHeight w:val="400"/>
        </w:trPr>
        <w:tc>
          <w:tcPr>
            <w:tcW w:w="1242" w:type="dxa"/>
            <w:shd w:val="clear" w:color="auto" w:fill="auto"/>
            <w:vAlign w:val="center"/>
            <w:hideMark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Rolla, 2007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NI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23</w:t>
            </w:r>
          </w:p>
        </w:tc>
      </w:tr>
      <w:tr w:rsidR="00E722AA" w:rsidRPr="00A14A5E" w:rsidTr="000448FE">
        <w:trPr>
          <w:trHeight w:val="974"/>
        </w:trPr>
        <w:tc>
          <w:tcPr>
            <w:tcW w:w="1242" w:type="dxa"/>
            <w:shd w:val="clear" w:color="auto" w:fill="auto"/>
            <w:vAlign w:val="center"/>
            <w:hideMark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Rouhos, 2008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Exclusion process of: current smokers and ex-smokers; subjects with: bronchodilator response of FEV1 ≥ 12%, PD15FEV1 ≤ 0.4 mg histamine, FEV1/FVC &lt; 88% of predicted, physician-diagnosed asthma or symptoms suggesting asthma, other respiratory symptoms, other significant diseases (</w:t>
            </w:r>
            <w:proofErr w:type="spellStart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epilepsia</w:t>
            </w:r>
            <w:proofErr w:type="spellEnd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 and hemiparesis, cardiovascular disease requiring several medications) </w:t>
            </w:r>
            <w:proofErr w:type="spellStart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orallergic</w:t>
            </w:r>
            <w:proofErr w:type="spellEnd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 rhinitis.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41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32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-</w:t>
            </w:r>
          </w:p>
        </w:tc>
      </w:tr>
      <w:tr w:rsidR="00E722AA" w:rsidRPr="00A14A5E" w:rsidTr="000448FE">
        <w:trPr>
          <w:trHeight w:val="177"/>
        </w:trPr>
        <w:tc>
          <w:tcPr>
            <w:tcW w:w="1242" w:type="dxa"/>
            <w:shd w:val="clear" w:color="auto" w:fill="auto"/>
            <w:vAlign w:val="center"/>
            <w:hideMark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Saito, 2004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357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“Non-atopic subjects, non-</w:t>
            </w:r>
            <w:proofErr w:type="spellStart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wheezers</w:t>
            </w:r>
            <w:proofErr w:type="spellEnd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”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176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139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-</w:t>
            </w:r>
          </w:p>
        </w:tc>
      </w:tr>
      <w:tr w:rsidR="00E722AA" w:rsidRPr="00A14A5E" w:rsidTr="000448FE">
        <w:trPr>
          <w:trHeight w:val="406"/>
        </w:trPr>
        <w:tc>
          <w:tcPr>
            <w:tcW w:w="1242" w:type="dxa"/>
            <w:shd w:val="clear" w:color="auto" w:fill="auto"/>
            <w:vAlign w:val="center"/>
            <w:hideMark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pt-PT" w:eastAsia="pt-PT" w:bidi="ar-SA"/>
              </w:rPr>
              <w:t>Tanou, 2009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“Subjects presenting low levels of serum total non-</w:t>
            </w:r>
            <w:proofErr w:type="spellStart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speci</w:t>
            </w:r>
            <w:proofErr w:type="spellEnd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ﬁ</w:t>
            </w: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c </w:t>
            </w:r>
            <w:proofErr w:type="spellStart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>IgE</w:t>
            </w:r>
            <w:proofErr w:type="spellEnd"/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eastAsia="pt-PT" w:bidi="ar-SA"/>
              </w:rPr>
              <w:t xml:space="preserve"> and presenting no reaction to the tested allergens”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22AA" w:rsidRPr="00A14A5E" w:rsidRDefault="00E722AA" w:rsidP="000448FE">
            <w:pPr>
              <w:spacing w:beforeLines="40" w:before="96" w:afterLines="40" w:after="96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PT"/>
              </w:rPr>
            </w:pPr>
            <w:r w:rsidRPr="00A14A5E">
              <w:rPr>
                <w:rFonts w:ascii="Times New Roman" w:hAnsi="Times New Roman"/>
                <w:color w:val="000000"/>
                <w:sz w:val="20"/>
                <w:szCs w:val="20"/>
                <w:lang w:val="pt-PT" w:eastAsia="pt-PT" w:bidi="ar-SA"/>
              </w:rPr>
              <w:t>-</w:t>
            </w:r>
          </w:p>
        </w:tc>
      </w:tr>
    </w:tbl>
    <w:p w:rsidR="00E722AA" w:rsidRDefault="00E722AA" w:rsidP="00FE45C5">
      <w:pPr>
        <w:ind w:firstLine="0"/>
        <w:rPr>
          <w:rFonts w:ascii="Times New Roman" w:hAnsi="Times New Roman"/>
          <w:sz w:val="20"/>
          <w:szCs w:val="20"/>
        </w:rPr>
      </w:pPr>
    </w:p>
    <w:p w:rsidR="00FE45C5" w:rsidRDefault="00FE45C5" w:rsidP="00FE45C5">
      <w:pPr>
        <w:ind w:firstLine="0"/>
        <w:rPr>
          <w:rFonts w:ascii="Times New Roman" w:hAnsi="Times New Roman"/>
          <w:sz w:val="20"/>
          <w:szCs w:val="20"/>
        </w:rPr>
      </w:pPr>
    </w:p>
    <w:p w:rsidR="00FE45C5" w:rsidRDefault="00FE45C5" w:rsidP="00FE45C5">
      <w:pPr>
        <w:ind w:firstLine="0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sectPr w:rsidR="00FE45C5" w:rsidSect="00FE45C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595" w:rsidRDefault="00FB7595">
      <w:pPr>
        <w:spacing w:after="0" w:line="240" w:lineRule="auto"/>
      </w:pPr>
      <w:r>
        <w:separator/>
      </w:r>
    </w:p>
  </w:endnote>
  <w:endnote w:type="continuationSeparator" w:id="0">
    <w:p w:rsidR="00FB7595" w:rsidRDefault="00FB7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595" w:rsidRDefault="00FB7595">
      <w:pPr>
        <w:spacing w:after="0" w:line="240" w:lineRule="auto"/>
      </w:pPr>
      <w:r>
        <w:separator/>
      </w:r>
    </w:p>
  </w:footnote>
  <w:footnote w:type="continuationSeparator" w:id="0">
    <w:p w:rsidR="00FB7595" w:rsidRDefault="00FB75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2AA"/>
    <w:rsid w:val="00532C50"/>
    <w:rsid w:val="00592D31"/>
    <w:rsid w:val="00E722AA"/>
    <w:rsid w:val="00FB7595"/>
    <w:rsid w:val="00FE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2AA"/>
    <w:pPr>
      <w:spacing w:after="240" w:line="48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72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2AA"/>
    <w:rPr>
      <w:rFonts w:ascii="Calibri" w:eastAsia="Times New Roman" w:hAnsi="Calibri" w:cs="Times New Roman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2AA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2AA"/>
    <w:pPr>
      <w:spacing w:after="240" w:line="48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72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2AA"/>
    <w:rPr>
      <w:rFonts w:ascii="Calibri" w:eastAsia="Times New Roman" w:hAnsi="Calibri" w:cs="Times New Roman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2AA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1064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 Jacinto</dc:creator>
  <cp:lastModifiedBy>jfonseca</cp:lastModifiedBy>
  <cp:revision>3</cp:revision>
  <dcterms:created xsi:type="dcterms:W3CDTF">2011-08-12T14:52:00Z</dcterms:created>
  <dcterms:modified xsi:type="dcterms:W3CDTF">2011-08-12T14:53:00Z</dcterms:modified>
</cp:coreProperties>
</file>