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Ind w:w="108" w:type="dxa"/>
        <w:shd w:val="pct12" w:color="auto" w:fill="auto"/>
        <w:tblLook w:val="04A0"/>
      </w:tblPr>
      <w:tblGrid>
        <w:gridCol w:w="9468"/>
      </w:tblGrid>
      <w:tr w:rsidR="00033C98" w:rsidTr="001B2F3E">
        <w:tc>
          <w:tcPr>
            <w:tcW w:w="9468" w:type="dxa"/>
            <w:shd w:val="pct12" w:color="auto" w:fill="auto"/>
          </w:tcPr>
          <w:p w:rsidR="00033C98" w:rsidRPr="00205A59" w:rsidRDefault="00033C98" w:rsidP="001B2F3E">
            <w:pPr>
              <w:spacing w:line="480" w:lineRule="auto"/>
              <w:rPr>
                <w:rFonts w:asciiTheme="majorHAnsi" w:hAnsiTheme="majorHAnsi"/>
                <w:sz w:val="24"/>
                <w:szCs w:val="24"/>
              </w:rPr>
            </w:pPr>
            <w:r w:rsidRPr="00BF1FA7">
              <w:rPr>
                <w:rFonts w:asciiTheme="majorHAnsi" w:hAnsiTheme="majorHAnsi"/>
                <w:b/>
                <w:sz w:val="24"/>
                <w:szCs w:val="24"/>
              </w:rPr>
              <w:t>Box 4 Inconsistency example</w:t>
            </w:r>
            <w:r w:rsidRPr="00BF1FA7">
              <w:rPr>
                <w:rFonts w:asciiTheme="majorHAnsi" w:hAnsiTheme="majorHAnsi"/>
                <w:sz w:val="24"/>
                <w:szCs w:val="24"/>
              </w:rPr>
              <w:br/>
              <w:t>Our narrative systematic review included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three studies examining chronological age as a prognostic factor for persistence of headache [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4</w:t>
            </w:r>
            <w:proofErr w:type="gramStart"/>
            <w:r w:rsidRPr="00BF1FA7">
              <w:rPr>
                <w:rFonts w:asciiTheme="majorHAnsi" w:hAnsiTheme="majorHAnsi"/>
                <w:sz w:val="24"/>
                <w:szCs w:val="24"/>
              </w:rPr>
              <w:t>,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5,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6</w:t>
            </w:r>
            <w:proofErr w:type="gramEnd"/>
            <w:r w:rsidRPr="00BF1FA7">
              <w:rPr>
                <w:rFonts w:asciiTheme="majorHAnsi" w:hAnsiTheme="majorHAnsi"/>
                <w:sz w:val="24"/>
                <w:szCs w:val="24"/>
              </w:rPr>
              <w:t>].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While Larsson and </w:t>
            </w:r>
            <w:proofErr w:type="spellStart"/>
            <w:r w:rsidRPr="00BF1FA7">
              <w:rPr>
                <w:rFonts w:asciiTheme="majorHAnsi" w:hAnsiTheme="majorHAnsi"/>
                <w:sz w:val="24"/>
                <w:szCs w:val="24"/>
              </w:rPr>
              <w:t>Sund</w:t>
            </w:r>
            <w:proofErr w:type="spellEnd"/>
            <w:r w:rsidRPr="00BF1FA7">
              <w:rPr>
                <w:rFonts w:asciiTheme="majorHAnsi" w:hAnsiTheme="majorHAnsi"/>
                <w:sz w:val="24"/>
                <w:szCs w:val="24"/>
              </w:rPr>
              <w:t xml:space="preserve"> [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5] found in an 1-year cohort study with 2,465 schoolchildren aged between 12 and 15 years that the risk of persistence of frequent headaches increases with age (OR=1.88, 95% CI=1.65-2.15), </w:t>
            </w:r>
            <w:proofErr w:type="spellStart"/>
            <w:r w:rsidRPr="00BF1FA7">
              <w:rPr>
                <w:rFonts w:asciiTheme="majorHAnsi" w:hAnsiTheme="majorHAnsi"/>
                <w:sz w:val="24"/>
                <w:szCs w:val="24"/>
              </w:rPr>
              <w:t>Kienbacher</w:t>
            </w:r>
            <w:proofErr w:type="spellEnd"/>
            <w:r w:rsidRPr="00BF1FA7">
              <w:rPr>
                <w:rFonts w:asciiTheme="majorHAnsi" w:hAnsiTheme="majorHAnsi"/>
                <w:sz w:val="24"/>
                <w:szCs w:val="24"/>
              </w:rPr>
              <w:t xml:space="preserve"> et al. [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4] and Wang et al. [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6] did not reach to the same conclusion when running longer-term follow</w:t>
            </w:r>
            <w:r>
              <w:rPr>
                <w:rFonts w:asciiTheme="majorHAnsi" w:hAnsiTheme="majorHAnsi"/>
                <w:sz w:val="24"/>
                <w:szCs w:val="24"/>
              </w:rPr>
              <w:t>-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up studies with children and adolescents with a headache diagnosis. </w:t>
            </w:r>
            <w:proofErr w:type="spellStart"/>
            <w:r w:rsidRPr="00BF1FA7">
              <w:rPr>
                <w:rFonts w:asciiTheme="majorHAnsi" w:hAnsiTheme="majorHAnsi"/>
                <w:sz w:val="24"/>
                <w:szCs w:val="24"/>
              </w:rPr>
              <w:t>Kienbacher</w:t>
            </w:r>
            <w:proofErr w:type="spellEnd"/>
            <w:r w:rsidRPr="00BF1FA7">
              <w:rPr>
                <w:rFonts w:asciiTheme="majorHAnsi" w:hAnsiTheme="majorHAnsi"/>
                <w:sz w:val="24"/>
                <w:szCs w:val="24"/>
              </w:rPr>
              <w:t xml:space="preserve"> et al. [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4] performed a follow-up study on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227 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children and adolescents with migraine or tension-type headache. The average follow-up period was 6.6 years, with the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age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 rang</w:t>
            </w:r>
            <w:r>
              <w:rPr>
                <w:rFonts w:asciiTheme="majorHAnsi" w:hAnsiTheme="majorHAnsi"/>
                <w:sz w:val="24"/>
                <w:szCs w:val="24"/>
              </w:rPr>
              <w:t>ing from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 5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to 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8 years. Wang et al. [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6] performed an 8-year follow-up study with adolescents with </w:t>
            </w:r>
            <w:r>
              <w:rPr>
                <w:rFonts w:asciiTheme="majorHAnsi" w:hAnsiTheme="majorHAnsi"/>
                <w:sz w:val="24"/>
                <w:szCs w:val="24"/>
              </w:rPr>
              <w:t>migraine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 In both </w:t>
            </w:r>
            <w:proofErr w:type="gramStart"/>
            <w:r w:rsidRPr="00BF1FA7">
              <w:rPr>
                <w:rFonts w:asciiTheme="majorHAnsi" w:hAnsiTheme="majorHAnsi"/>
                <w:sz w:val="24"/>
                <w:szCs w:val="24"/>
              </w:rPr>
              <w:t>cases,</w:t>
            </w:r>
            <w:proofErr w:type="gramEnd"/>
            <w:r w:rsidRPr="00BF1FA7">
              <w:rPr>
                <w:rFonts w:asciiTheme="majorHAnsi" w:hAnsiTheme="majorHAnsi"/>
                <w:sz w:val="24"/>
                <w:szCs w:val="24"/>
              </w:rPr>
              <w:t xml:space="preserve"> age was reported not to be associated with persistence of headache. </w:t>
            </w:r>
            <w:r>
              <w:rPr>
                <w:rFonts w:asciiTheme="majorHAnsi" w:hAnsiTheme="majorHAnsi"/>
                <w:sz w:val="24"/>
                <w:szCs w:val="24"/>
              </w:rPr>
              <w:t>There is inconsistency of results across these three studies; however, n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one of the two longer-term cohort studies reported either means and a measure of variance or results from the statistical analyses to judge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the level of overlap of the confidence intervals between the three studies.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Duration of the follow-up, outcome and headache population </w:t>
            </w:r>
            <w:proofErr w:type="gramStart"/>
            <w:r>
              <w:rPr>
                <w:rFonts w:asciiTheme="majorHAnsi" w:hAnsiTheme="majorHAnsi"/>
                <w:sz w:val="24"/>
                <w:szCs w:val="24"/>
              </w:rPr>
              <w:t>were</w:t>
            </w:r>
            <w:proofErr w:type="gramEnd"/>
            <w:r>
              <w:rPr>
                <w:rFonts w:asciiTheme="majorHAnsi" w:hAnsiTheme="majorHAnsi"/>
                <w:sz w:val="24"/>
                <w:szCs w:val="24"/>
              </w:rPr>
              <w:t xml:space="preserve"> very different across studies. As far as the duration of the follow-up is concerned, d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espite the fact that the cohort study with short-term follow-up reported a significant risk estimate for an advanced age which was not found in cohort studies with longer-term follow-ups, we did not find a plausible explanation for such potential influence of the duration of follow-up on the association between age and persistence of headaches</w:t>
            </w:r>
            <w:r>
              <w:rPr>
                <w:rFonts w:asciiTheme="majorHAnsi" w:hAnsiTheme="majorHAnsi"/>
                <w:sz w:val="24"/>
                <w:szCs w:val="24"/>
              </w:rPr>
              <w:t>. However,</w:t>
            </w:r>
            <w:r w:rsidRPr="00205A59">
              <w:rPr>
                <w:rFonts w:asciiTheme="majorHAnsi" w:hAnsiTheme="majorHAnsi"/>
                <w:sz w:val="24"/>
                <w:szCs w:val="24"/>
              </w:rPr>
              <w:t xml:space="preserve"> the outcome and the headache population could explain some of this heterogeneity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05A59">
              <w:rPr>
                <w:rFonts w:asciiTheme="majorHAnsi" w:hAnsiTheme="majorHAnsi"/>
                <w:sz w:val="24"/>
                <w:szCs w:val="24"/>
              </w:rPr>
              <w:t>[</w:t>
            </w:r>
            <w:r>
              <w:rPr>
                <w:rFonts w:asciiTheme="majorHAnsi" w:hAnsiTheme="majorHAnsi"/>
                <w:sz w:val="24"/>
                <w:szCs w:val="24"/>
              </w:rPr>
              <w:t>3</w:t>
            </w:r>
            <w:r w:rsidRPr="00205A59">
              <w:rPr>
                <w:rFonts w:asciiTheme="majorHAnsi" w:hAnsiTheme="majorHAnsi"/>
                <w:sz w:val="24"/>
                <w:szCs w:val="24"/>
              </w:rPr>
              <w:t>7].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/>
                <w:sz w:val="24"/>
                <w:szCs w:val="24"/>
              </w:rPr>
              <w:t>Consequently, w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e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did not </w:t>
            </w:r>
            <w:r w:rsidRPr="00BF1FA7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consider </w:t>
            </w:r>
            <w:r>
              <w:rPr>
                <w:rFonts w:asciiTheme="majorHAnsi" w:hAnsiTheme="majorHAnsi"/>
                <w:sz w:val="24"/>
                <w:szCs w:val="24"/>
              </w:rPr>
              <w:t>the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 inconsistenc</w:t>
            </w:r>
            <w:r>
              <w:rPr>
                <w:rFonts w:asciiTheme="majorHAnsi" w:hAnsiTheme="majorHAnsi"/>
                <w:sz w:val="24"/>
                <w:szCs w:val="24"/>
              </w:rPr>
              <w:t>y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 across findings examining chronological age as a prognostic factor for headache persistence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to be 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>very serious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and rated this item as serious inconsistency.</w:t>
            </w:r>
            <w:r w:rsidRPr="00BF1FA7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</w:tbl>
    <w:p w:rsidR="00033C98" w:rsidRDefault="00033C98" w:rsidP="00033C98">
      <w:pPr>
        <w:rPr>
          <w:rFonts w:ascii="Times New Roman" w:hAnsi="Times New Roman"/>
          <w:sz w:val="24"/>
          <w:szCs w:val="24"/>
        </w:rPr>
      </w:pPr>
    </w:p>
    <w:p w:rsidR="00C76A36" w:rsidRPr="00033C98" w:rsidRDefault="00C76A36" w:rsidP="00C76A36"/>
    <w:p w:rsidR="005E5280" w:rsidRDefault="00554558"/>
    <w:sectPr w:rsidR="005E5280" w:rsidSect="00033C98">
      <w:footerReference w:type="default" r:id="rId6"/>
      <w:pgSz w:w="12240" w:h="15840"/>
      <w:pgMar w:top="1440" w:right="1440" w:bottom="1440" w:left="1440" w:header="708" w:footer="708" w:gutter="0"/>
      <w:pgNumType w:start="3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558" w:rsidRDefault="00554558" w:rsidP="00C76A36">
      <w:pPr>
        <w:spacing w:after="0" w:line="240" w:lineRule="auto"/>
      </w:pPr>
      <w:r>
        <w:separator/>
      </w:r>
    </w:p>
  </w:endnote>
  <w:endnote w:type="continuationSeparator" w:id="0">
    <w:p w:rsidR="00554558" w:rsidRDefault="00554558" w:rsidP="00C76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5287194"/>
      <w:docPartObj>
        <w:docPartGallery w:val="Page Numbers (Bottom of Page)"/>
        <w:docPartUnique/>
      </w:docPartObj>
    </w:sdtPr>
    <w:sdtContent>
      <w:p w:rsidR="00C76A36" w:rsidRPr="00C76A36" w:rsidRDefault="00036FE8">
        <w:pPr>
          <w:pStyle w:val="Footer"/>
          <w:jc w:val="center"/>
          <w:rPr>
            <w:rFonts w:ascii="Times New Roman" w:hAnsi="Times New Roman"/>
          </w:rPr>
        </w:pPr>
        <w:r w:rsidRPr="00C76A36">
          <w:rPr>
            <w:rFonts w:ascii="Times New Roman" w:hAnsi="Times New Roman"/>
          </w:rPr>
          <w:fldChar w:fldCharType="begin"/>
        </w:r>
        <w:r w:rsidR="00C76A36" w:rsidRPr="00C76A36">
          <w:rPr>
            <w:rFonts w:ascii="Times New Roman" w:hAnsi="Times New Roman"/>
          </w:rPr>
          <w:instrText xml:space="preserve"> PAGE   \* MERGEFORMAT </w:instrText>
        </w:r>
        <w:r w:rsidRPr="00C76A36">
          <w:rPr>
            <w:rFonts w:ascii="Times New Roman" w:hAnsi="Times New Roman"/>
          </w:rPr>
          <w:fldChar w:fldCharType="separate"/>
        </w:r>
        <w:r w:rsidR="00033C98">
          <w:rPr>
            <w:rFonts w:ascii="Times New Roman" w:hAnsi="Times New Roman"/>
            <w:noProof/>
          </w:rPr>
          <w:t>31</w:t>
        </w:r>
        <w:r w:rsidRPr="00C76A36">
          <w:rPr>
            <w:rFonts w:ascii="Times New Roman" w:hAnsi="Times New Roman"/>
          </w:rPr>
          <w:fldChar w:fldCharType="end"/>
        </w:r>
      </w:p>
    </w:sdtContent>
  </w:sdt>
  <w:p w:rsidR="00C76A36" w:rsidRDefault="00C76A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558" w:rsidRDefault="00554558" w:rsidP="00C76A36">
      <w:pPr>
        <w:spacing w:after="0" w:line="240" w:lineRule="auto"/>
      </w:pPr>
      <w:r>
        <w:separator/>
      </w:r>
    </w:p>
  </w:footnote>
  <w:footnote w:type="continuationSeparator" w:id="0">
    <w:p w:rsidR="00554558" w:rsidRDefault="00554558" w:rsidP="00C76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A36"/>
    <w:rsid w:val="00033C98"/>
    <w:rsid w:val="00036FE8"/>
    <w:rsid w:val="00096F8B"/>
    <w:rsid w:val="002B6BC4"/>
    <w:rsid w:val="002C335D"/>
    <w:rsid w:val="004D333B"/>
    <w:rsid w:val="00541D60"/>
    <w:rsid w:val="00554558"/>
    <w:rsid w:val="006B5CFF"/>
    <w:rsid w:val="00AA5108"/>
    <w:rsid w:val="00B7448C"/>
    <w:rsid w:val="00C04BFD"/>
    <w:rsid w:val="00C42668"/>
    <w:rsid w:val="00C76A36"/>
    <w:rsid w:val="00D44ACE"/>
    <w:rsid w:val="00DD4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A3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6A3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76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6A3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76A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A3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1698</Characters>
  <Application>Microsoft Office Word</Application>
  <DocSecurity>0</DocSecurity>
  <Lines>36</Lines>
  <Paragraphs>23</Paragraphs>
  <ScaleCrop>false</ScaleCrop>
  <Company>IWK Health Centre</Company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Tougme</dc:creator>
  <cp:keywords/>
  <dc:description/>
  <cp:lastModifiedBy>Tougme</cp:lastModifiedBy>
  <cp:revision>2</cp:revision>
  <dcterms:created xsi:type="dcterms:W3CDTF">2013-06-25T18:05:00Z</dcterms:created>
  <dcterms:modified xsi:type="dcterms:W3CDTF">2013-06-25T18:05:00Z</dcterms:modified>
</cp:coreProperties>
</file>