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66B" w:rsidRPr="00CA3EE9" w:rsidRDefault="004C182C" w:rsidP="00CA3EE9">
      <w:pPr>
        <w:jc w:val="both"/>
        <w:rPr>
          <w:b/>
          <w:sz w:val="36"/>
        </w:rPr>
      </w:pPr>
      <w:r>
        <w:rPr>
          <w:b/>
          <w:sz w:val="36"/>
        </w:rPr>
        <w:t xml:space="preserve">Additional File </w:t>
      </w:r>
      <w:bookmarkStart w:id="0" w:name="_GoBack"/>
      <w:bookmarkEnd w:id="0"/>
      <w:r w:rsidR="00A815F8">
        <w:rPr>
          <w:b/>
          <w:sz w:val="36"/>
        </w:rPr>
        <w:t>5</w:t>
      </w:r>
    </w:p>
    <w:p w:rsidR="00CA3EE9" w:rsidRDefault="00A815F8" w:rsidP="004D353B">
      <w:pPr>
        <w:jc w:val="both"/>
        <w:rPr>
          <w:b/>
          <w:sz w:val="32"/>
        </w:rPr>
      </w:pPr>
      <w:r>
        <w:rPr>
          <w:b/>
          <w:sz w:val="32"/>
        </w:rPr>
        <w:t>Unobtainable and Untranslated Articles</w:t>
      </w:r>
    </w:p>
    <w:p w:rsidR="004D353B" w:rsidRDefault="004D353B" w:rsidP="004D353B"/>
    <w:p w:rsidR="006C1617" w:rsidRDefault="006C1617" w:rsidP="004D353B"/>
    <w:p w:rsidR="006C1617" w:rsidRDefault="006C1617" w:rsidP="00A815F8">
      <w:pPr>
        <w:spacing w:after="120"/>
      </w:pPr>
      <w:r>
        <w:t>Table A</w:t>
      </w:r>
      <w:r w:rsidR="00A815F8">
        <w:t>5</w:t>
      </w:r>
      <w:r>
        <w:t>.</w:t>
      </w:r>
      <w:r w:rsidR="00A815F8">
        <w:t>1</w:t>
      </w:r>
      <w:r>
        <w:t xml:space="preserve"> </w:t>
      </w:r>
      <w:r w:rsidR="00A815F8">
        <w:t>Unobtainable Articles</w:t>
      </w:r>
    </w:p>
    <w:tbl>
      <w:tblPr>
        <w:tblStyle w:val="TableGrid"/>
        <w:tblW w:w="10916" w:type="dxa"/>
        <w:tblInd w:w="-743" w:type="dxa"/>
        <w:tblLook w:val="04A0" w:firstRow="1" w:lastRow="0" w:firstColumn="1" w:lastColumn="0" w:noHBand="0" w:noVBand="1"/>
      </w:tblPr>
      <w:tblGrid>
        <w:gridCol w:w="8506"/>
        <w:gridCol w:w="2410"/>
      </w:tblGrid>
      <w:tr w:rsidR="00A815F8" w:rsidRPr="006C1617" w:rsidTr="00A815F8">
        <w:trPr>
          <w:trHeight w:val="261"/>
        </w:trPr>
        <w:tc>
          <w:tcPr>
            <w:tcW w:w="8506" w:type="dxa"/>
            <w:hideMark/>
          </w:tcPr>
          <w:p w:rsidR="00A815F8" w:rsidRPr="006C1617" w:rsidRDefault="00A815F8" w:rsidP="006C1617">
            <w:pPr>
              <w:rPr>
                <w:rFonts w:ascii="Calibri" w:eastAsia="Times New Roman" w:hAnsi="Calibri"/>
                <w:b/>
                <w:bCs/>
                <w:color w:val="000000"/>
                <w:sz w:val="22"/>
                <w:szCs w:val="22"/>
              </w:rPr>
            </w:pPr>
            <w:r w:rsidRPr="006C1617">
              <w:rPr>
                <w:rFonts w:ascii="Calibri" w:eastAsia="Times New Roman" w:hAnsi="Calibri"/>
                <w:b/>
                <w:bCs/>
                <w:color w:val="000000"/>
                <w:sz w:val="22"/>
                <w:szCs w:val="22"/>
              </w:rPr>
              <w:t>Article</w:t>
            </w:r>
          </w:p>
        </w:tc>
        <w:tc>
          <w:tcPr>
            <w:tcW w:w="2410" w:type="dxa"/>
            <w:noWrap/>
            <w:hideMark/>
          </w:tcPr>
          <w:p w:rsidR="00A815F8" w:rsidRPr="006C1617" w:rsidRDefault="00A815F8" w:rsidP="006C1617">
            <w:pPr>
              <w:rPr>
                <w:rFonts w:ascii="Calibri" w:eastAsia="Times New Roman" w:hAnsi="Calibri"/>
                <w:b/>
                <w:bCs/>
                <w:color w:val="000000"/>
                <w:sz w:val="22"/>
                <w:szCs w:val="22"/>
              </w:rPr>
            </w:pPr>
            <w:r>
              <w:rPr>
                <w:rFonts w:ascii="Calibri" w:eastAsia="Times New Roman" w:hAnsi="Calibri"/>
                <w:b/>
                <w:bCs/>
                <w:color w:val="000000"/>
                <w:sz w:val="22"/>
                <w:szCs w:val="22"/>
              </w:rPr>
              <w:t>Database/Source</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Aksenov, S. M. and A. P. Kozhemyakov (1977) EFFECT OF PLANTS ON THE PRODUCTION OF CARBON DIOXIDE BY SOILS OF WORKED PEAT BOGS. Vestnik Leningradskogo Universiteta Biologiya(3): 123-129.</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Anon (2006) Hydrology and Management of Forested Wetlands Proceeding of the International Conference.</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Scopus</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Anon (2010) Forestry in peat soils and greenhouse gas emissions. Scottish Forestry 64(4): 25.</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Augustin J  (2003) Gaseous emissions from constructed wetlands and (re)flooded meadows.  Publicationes Instituti Geographici Universitatis Tartuensis, 94, 3-8.</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Augustin J &amp; Merbach W  (1998) Greenhouse gas emissions from fen mires in Northern Germany: quantification and regulation. In: Beiträge aus der Hallenser Pflanzenernährungsforschung (eds Merbach W &amp; Wittenmayer L), pp. 97-110. Grauer, Beuren.</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Augustin J, Chojnicki B (2008) (Exchange of climate relevant trace gases, climate impacts and carbon dynamics in the first years after the rewetting of degraded fen grassland) Austausch von klimarelevanten Spurengasen, Klimawirkung und Kohlenstoffdynamik in den ersten Jahren nach der Wiedervernässung von degradiertem Niedermoorgrünland. In: Phosphor- und Kohlenstoff-Dynamik und Vegetationsentwicklung in wiedervernässten Mooren des Peenetals in Mecklenburg-Vorpommern (eds Gelbrecht J, Zak D, Augustin J), pp 50-67. Leibniz-Institut für Gewässerökologie und Binnenfischerei, Berlin.</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Augustin J, Merbach W, Käding H, Schmidt W, Schalitz G (1996) (Nitrous oxide and methane emissions from degraded peat bog sites in northeast Germany under the influence of different management) Lachgas- und Methanemission aus degradierten Niedermoorstandorten Nordostdeutschlands unter dem Einfluß unterschiedlicher Bewirtschaftung. In: Von den Ressourcen zum Recycling (ed. Alfred-Wegener-Stiftung), pp 131-139.Berlin, Ernst &amp; Sohn</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Baranovskii, A. Z. (1998) Changes in water and physical properties of peaty-bog soils induced by drainage and agricultural use. Eurasian Soil Science 31(4): 418-421.</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Beltman, B., T. van den Broek &amp; S. Bloemen,  (1995) Restoration of acidified rich-fen ecosystems in the Vechtplassen area: successes and failures.  In Wheeler, B. D., S. C. Shaw, W. J. Fojt &amp; R. A. Robertson (eds), Restoration of Temperate Wetlands. JohnWiley &amp; Sons Ltd, Chichester: 273–286.</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Berglund K (1996) Cultivated organic soils in Sweden: Properties and amelioration PhD Thesis, Swedish University of Agricultural Sciences, Uppsala</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Bouwman  AF (1990) Soils and the greenhouse effect Ed. AF Bouwman Wiley Chichester</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Bradof, K. L. (1992) Impact of ditching and road construction on Red Lake peatland. Book</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Braunschweig, A. M. (1993) Relationship between methane flux and peatland water-table and the feedback to global climate change. Bulletin of the Ecological Society of America 74(2 SUPPL.): 172-173.</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Brown, D. A. (1997) Microbiology of methane production in peatlands. Wallingford, CAB INTERNATIONAL: 139-146. Book section</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Camporese, M., G. Gambolati, et al. (2006) Peatland subsidence in the Venice watershed Chapter 23 Peatland subsidence in the Venice watershed. 9: 529-550.</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Scopus</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 xml:space="preserve">Charman, D.  (2002) Peatlands and Environmental Change.  John Wiley &amp; Sons Ltd., </w:t>
            </w:r>
            <w:r w:rsidRPr="00A815F8">
              <w:rPr>
                <w:rFonts w:ascii="Calibri" w:eastAsia="Times New Roman" w:hAnsi="Calibri"/>
                <w:color w:val="000000"/>
                <w:sz w:val="22"/>
                <w:szCs w:val="22"/>
              </w:rPr>
              <w:lastRenderedPageBreak/>
              <w:t>Chichester.</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lastRenderedPageBreak/>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lastRenderedPageBreak/>
              <w:t>Chrzanowski, S. and J. Szuniewicz (2002) Subsidence of organic soils on intensively reclaimed peatland near the Biebrza. Woda Środowisko Obszary Wiejskie 2(2(5)): 129-137.</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Dasselaar, A. v. d. P. V. (1999) Methane emissions from grasslands. Meststoffen(1999): 5-9.</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Drösler M  (2005) Trace gas exchange and climatic relevance of bog ecosystems, southern Germany.  PhD thesis, 182pp. Technische Universität München, München</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Efimov, V. N. and V. P. Tsarenko (1994) Nitrogen regime of drained peaty soils. Pochvovedenie 0(1): 88-95.</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Eriksson, T., M. G. Oquist, et al (2010) Effects of decadal deposition of nitrogen and sulfur, and increased temperature, on methane emissions from a boreal peatland. Journal of Geophysical Research-Biogeosciences 115.</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Evans, R. (1981) Assessments of soil erosion and peat wastage for parts of East Anglia, England. A field visit. 521-530.</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Forbrich, I., C. Krüger, et al. (2005) Dynamics of trace gas release in a renaturalised high bog in the Luneberg Heath [Germany].  107(Heft 1): 230.</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FORSIUSM, ., KANKAALPA.,, e tal.  (1996) (Finland's greenhouse gas emissions and sinks (Emissions and Sinks of Greenhouse gases in Finland)) Suomen kasvihuonekaasujen paastot ja nielut (Emissions and sinks of greenhouse gases in Finland),  In: Ilmastonmuutosja Suomi (eds E. Kuusisto, L. Kauppi &amp; P. Heikimheimo), Helsinki University Press (In Finnish), pp. 179-196.</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Germanova, N. I. and R. A. Egorova (1998) The organic matter balance and the draining of peaty soils in the central taiga subzone. Lesovedenie(3): 12-18.</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Gordiychuk, A. S. (1978) Effect of agricultural use and wetting on the attrition of deep peat bogs in the Ukrainian Poles'ye. Pochvovedenie(11): 103-108.</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HEATHWAITE. L., EGGELSMARN., &amp; GOTTLICHK .H.  (1993) Ecohydrology, mire drainage and mire conservation. In: Mires: Processes, Exploitation and Conservation (ed. A.L. Heathwaite), Wiley, Chichester, pp. 417434.</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Ilnicki, P. (1984) Bog transformation resulting from drainage. 13-25.</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 xml:space="preserve">Joosten, H., Augustin,  (2006) Peatland restoration and climate: On possible </w:t>
            </w:r>
            <w:r w:rsidRPr="00A815F8">
              <w:rPr>
                <w:rFonts w:ascii="Calibri" w:eastAsia="Times New Roman" w:hAnsi="Calibri" w:cs="Calibri"/>
                <w:color w:val="000000"/>
                <w:sz w:val="22"/>
                <w:szCs w:val="22"/>
              </w:rPr>
              <w:t>􀃀</w:t>
            </w:r>
            <w:r w:rsidRPr="00A815F8">
              <w:rPr>
                <w:rFonts w:ascii="Calibri" w:eastAsia="Times New Roman" w:hAnsi="Calibri"/>
                <w:color w:val="000000"/>
                <w:sz w:val="22"/>
                <w:szCs w:val="22"/>
              </w:rPr>
              <w:t xml:space="preserve"> uxes of gases and money,  In Proceedings of the International conference Peat in solution of energy, agriculture and ecology problems, Minsk (Weisrussland) 2006, pp. 412-417.</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Kamp, T., A. Gattinger, et al. (2001) Methane and nitrous oxide emissions from drained and restored peatland in the Danube Valley (Southern Germany). Verhandlungen der Gesellschaft fur Okologie 31: 193.</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Scopus</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Kluge, B., K. Schwärzel, et al. (2005) CO2-C-release from low moors. Mitteilungen DBG, 107/1, 251 – 252</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Koerselman, W. &amp; J. T. A. Verhoeven,  (1995) Eutrophication of fen ecosystems: external and internal nutrient sources and restoration strategies.  In Wheeler, B. D., S. C. Shaw, W. J. Fojt &amp; R. A. Robertson (eds), Restoration of Temperate Wetlands. JohnWiley &amp; Sons Ltd, Chichester: 91–112.</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Koops, J. G. and O. Oenema (1994) NITROGEN LOSSES FROM GRASSLAND ON PEAT SOIL THROUGH DENITRIFICATION. Book</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Laine, J., K. Minkkinen, et al. (1997) Greenhouse impact of a mire after drainage for forestry. Book</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Maltby &amp; Immirzi (1991) CARBON CYCLING: REGIONAL AND GLOBAL FACTORS AFFECTING CLIMATE CHANGE Chemosphere 27(6); 999-123</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Google Scholar</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Martikainen, P. J., H. NykaUnen, et al. (1992) The effect of changing water table on methane fluxes at two Finnish mire sites. 43(4/5): 237-240.</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Maslov, B. S. and A. P. Lysenok (1999) Change in the subsidence of peat after drainage over the depth of a peat deposit. Russian Agricultural Sciences(1): 28-31.</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lastRenderedPageBreak/>
              <w:t>Maslov, B. S., A. P. Lysenok, et al. (1994) Dynamics of lowland peat soil properties in agriculture. Russian Agricultural Sciences(9): 27-32.</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Merbach, W., T. Kalettka, et al. (1998) Nitrous oxide and methane emissions from the banks of eutrophicated fens in northeastern Germany. 88: 27-30.</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 xml:space="preserve">Meyer, K., Höper, H., Blankenburg, J.  (2001) (Trace gas balance and carbon footprint of fens under the influence of Vernässungsmanagements, in ecosystem management for fens, Strategies and procedures for restoration) Spurengashaushalt und Klimabilanz von Niedermooren unter dem Einfluß des  Vernässungsmanagements, </w:t>
            </w:r>
            <w:r w:rsidRPr="00A815F8">
              <w:rPr>
                <w:rFonts w:ascii="Calibri" w:eastAsia="Times New Roman" w:hAnsi="Calibri"/>
                <w:color w:val="000000"/>
                <w:sz w:val="22"/>
                <w:szCs w:val="22"/>
              </w:rPr>
              <w:br/>
              <w:t xml:space="preserve"> In Ökosystemmanagement für Niedermoore, Strategien und Verfahren zur Renaturierung, Kratz, R. &amp; Pfadenhauer, J. (eds.), Ulmer, Stuttgart, pp. 104-111.</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Nadany, P. and A. Sapek (2004) Variability of organic carbon concentrations in ground water of differently used peat soils. Woda Środowisko Obszary Wiejskie 4(12(2b)): 281-289.</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Novikov, V. V. and A. V. Rusakov (2005) Release and absorption of greenhouse gases in ameliorated peat soils of the Rostov Lowland. Eurasian Soil Science 38(7): 745-751.</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Nykanen, H., J. Silvola, et al. (1997) The effect of peatland forestry on fluxes of carbon dioxide methane, and nitrous oxide. Book</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Papen &amp; Butterbach-Bahl (1999) A 3-year continuous record of nitrogen trace gas fluxes from untreated and limed soil of a N-saturated spruce and beech forest ecosystem in Germany - 1. N2O Emissions Journal of Geophysical Research-Atmospheres 104(D15): 18487-18593</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Petraitytė, E., A. Svirskienė, et al. (2003) Changes in vegetation and soil as affected by different use of a peaty-bog soil. Žemdirbystė, Mokslo Darbai 83: 144-158.</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Pfeiffer, E. M. (1993) Methane formation and emission from marshes and bogs. Mitteilungen der Deutschen Bodenkundlichen Gesellschaft(72,I): 421-424.</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Plotkina, Y. M. (1979) Organic matter of Peat-Bog soils. Pochvovedenie(6): 42-52.</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Plotkina, Y. M. (1980) Direction of change of organic matter in the peat-bog soils of Belorussia after drainage and reclamation. Pochvovedenie(2): 44-53.</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Ratzke, U. and E. H. Knickmeyer (2002) Fen subsidence as the result of long-term drainage and agricultural use. Höhenverluste von Niedermooren durch langjährige Grünland-entwässerung und -nutzung 54(4): 27-32.</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Scopus</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Regina (1998) Microbial production of nitrous oxide and nitric oxide in boreal peatlands University of Joensuu Pubications of Science 50: 1-31</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Roguski, W. (1973) Development of grassland sites on peatlands in connexion with the subsidence of peat and mineralization of organic matter. Zeszyty Problemowe Postepów Nauk Rolniczych 146: 13-32.</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Rösler, M. (2001) Use of peatlands and emission of climate-relevant gases. The example of the Friedländer Große Wiese during the 20th century. Niedermoornutzung und Klimarelevante Emissionen. Das Beispiel Friedländer Große Wiese IM 20. Jahrhundert 40(1): 59-88.</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Scopus</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Rowlands, R.G.  (2001) The ecological restoration through natural revegetation of industrial cutaway peatlands in Ireland</w:t>
            </w:r>
            <w:r w:rsidRPr="00A815F8">
              <w:rPr>
                <w:rFonts w:ascii="Calibri" w:eastAsia="Times New Roman" w:hAnsi="Calibri"/>
                <w:color w:val="000000"/>
                <w:sz w:val="22"/>
                <w:szCs w:val="22"/>
              </w:rPr>
              <w:br/>
              <w:t xml:space="preserve"> Ph.D. Thesis, Department of Environmental Resource Management, University College Dublin, 243 pp.</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Rupp, H., R. Meissner, et al. (2003) Effects of changing land use in a lower fen area on water quality. Irdning, Bundesanstalt für alpenländische Landwirtschaft Gumpenstein: 133-136.</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Sakovets, V. V. and N. I. Germanova (1993) Changes in the carbon balance of forested mires in Karelia due to drainage. Suo (Helsinki) 43(4-5): 249-252.</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Scheffer, B. and J. Blankenburg (2004) Diffuse nutrient input into streams in the Northwest German Lowland. WasserWirtschaft - Hydrologie, Wasserbau, Boden, Ökologie 94(3): 30-34.</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Springer</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 xml:space="preserve">Schouwenaars J. M., H. Esselink, L. P. M. Lamers &amp; P. C. van der Molen,  (1997) (Recovery bog in the Netherlands, existing knowledge and research needed) Hoogveenherstel in </w:t>
            </w:r>
            <w:r w:rsidRPr="00A815F8">
              <w:rPr>
                <w:rFonts w:ascii="Calibri" w:eastAsia="Times New Roman" w:hAnsi="Calibri"/>
                <w:color w:val="000000"/>
                <w:sz w:val="22"/>
                <w:szCs w:val="22"/>
              </w:rPr>
              <w:lastRenderedPageBreak/>
              <w:t>Nederland, bestaande kennis en benodigd onderzoek.  University of Groningen, University of Nijmegen, Stichting Bargerveen, Bureau GroenHolland: 122 pp.</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lastRenderedPageBreak/>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lastRenderedPageBreak/>
              <w:t>Shirokikh, P. S. (1979) EFFECT OF DRAINAGE AND CULTIVATION ON THE STATE OF ORGANIC MATTER OF LOWLAND PEAT SOILS OF BARABINSK DEPRESSION RUSSIAN-SFSR USSR. Izvestiya Sibirskogo Otdeleniya Akademii Nauk SSSR Seriya Biologicheskikh Nauk(3): 18-23.</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Silvola, J.  (1988) Effect of drainage and fertilization on carbon output and nutrient mineralization of peat Suo 39(1-2): 27-37.</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Silvola, J. (1986) Carbon dioxide dynamics in mires reclaimed for forestry in eastern Finland. Annales Botanici Fennici 23(1): 59-67.</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Silvola, J. (1988) Effect of drainage and fertilization on carbon output and nutrient mineralization of peat. Suo 39(1-2): 27-37.</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Silvola, J., J. Välijoki, et al. (1985) Effect of draining and fertilization on soil respiration at three ameliorated peatland sites. Acta Forestalia Fennica(191): 32pp.</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Song, C. C., Y. Y. Wang, et al. (2004) The changes of the soil hydrothermal condition and the dynamics of C, N after the mire tillage. Huan jing ke xuebian ji wei yuan hui.] 25(3): 150-154.</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Scopus</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Steffens, P. (2010) Report on the Symposium &amp;amp;quot;Reactivation of CO2-sinks: Protection and re-wetting of mires - Possibilities and limits for climate protection&amp;amp;quot; in Bad Wurzach, June, 23 - 26, 2010. Bad Wurzach(40): 277-278.</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Scopus</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Tolonen, K. and Turunen, J. (1996) Carbon accumulation in mires in Finland In: Northern Peatlands in Global Climatic Change, Proceedings ofthe International Workshop held in Hyytidii, Finland8-IZ October1995 (eds R. Laiho, J. Laine &amp; H.Vasander),The Academy of Finland, Helsinki, pp. 25&amp;255.</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Tong, C.-l., W.-j. Zhang, et al. (2005) Relationship between organic carbon and water content in four type wetland Sediments in Sanjiang Plain. Huanjing Kexue 26(6): 38-42.</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Trettin, C. C., M. R. Gale, et al. (1993) Carbon storage response to harvesting and site preparation in a forested mire in northern Michigan, USA. Suo (Helsinki) 43(4-5): 281-284.</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Van Stempvoort, D. R. and A. S. Crowe (2002) TOC fluctuations in a wetland under restoration, Wainfleet Bog, Ontario, Canada. Book</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Velthof, G. L. and O. Oenema (1994) Nitrous oxide emission from grassland in the Netherlands. Meststoffen: 68-72.</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Velthof, G. L. and O. Oenema (1994) Nitrous oxide emission from grasslands on sand, clay and peat soils in the Netherlands. 439-444.</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Waddington, J. M. and J. S. Price (2000) Effect of peatland drainage, harvesting, and restoration on atmospheric water and carbon exchange. Physical Geography 21(5): 433-451.</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Waddington, J. M. and K. D. Warner (2001) Atmospheric CO2 sequestration in restored mined peatlands. Ecoscience 8(3): 359-368.</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Wheeler, B. D. &amp; S. C. Shaw,  (1995) Restoration of damaged peatlands, with particular reference to lowland raised bogs affected by peat extraction.  HMSO, London: 211 pp.</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Bibliographic Checking</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Witte, N. and B. Hofer (2010) Mass-loss and relevance to climate change of bogs as a consequence of utilization using the example of the Great Moor of Uchte. Massenverlust und Klimarelevanz von Moorböden durch Nutzung, am Beispiel des Großen Uchter Moores(40): 199-213.</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Scopus</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Yefimov, V. N. and N. F. Lunina (1986) Change in the composition of organic matter in peat soils during 70 years of cultivation. Soviet Soil Science 18(5): 41-49.</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Yevdokimova, N. V., M. N. Mostovyy, et al. (1976) SUBSIDENCE AND BIOCHEMICAL DESTRUCTION OF PEAT IN UKRAINIAN POLESYE. Soviet Soil Science 8(3): 345-347.</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Zaidel'man, F. R. and A. P. Shvarov (2001) Carbon dioxide fluxes in drained peat soils. Moscow University Soil Science Bulletin 56(3): 17-23.</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Zaidelman, F. R., A. P. Shvarov, et al. (1997) Rate of biochemical decomposition of organic matter in drained peaty soils at different sanding modes. Eurasian Soil Science 30(9): 1024-1032.</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WoK</w:t>
            </w:r>
          </w:p>
        </w:tc>
      </w:tr>
      <w:tr w:rsidR="00A815F8" w:rsidRPr="00A815F8" w:rsidTr="00A815F8">
        <w:trPr>
          <w:trHeight w:val="300"/>
        </w:trPr>
        <w:tc>
          <w:tcPr>
            <w:tcW w:w="8506"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lastRenderedPageBreak/>
              <w:t>Zhang, J., C. Song, et al. (2005) Effect of cultivation on organic carbon composition in a Histosol in the Sanjiang Plain, China. Acta Pedologica Sinica 42(5): 857-859.</w:t>
            </w:r>
          </w:p>
        </w:tc>
        <w:tc>
          <w:tcPr>
            <w:tcW w:w="2410"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CAB</w:t>
            </w:r>
          </w:p>
        </w:tc>
      </w:tr>
    </w:tbl>
    <w:p w:rsidR="006C1617" w:rsidRDefault="006C1617" w:rsidP="004D353B"/>
    <w:p w:rsidR="00A815F8" w:rsidRDefault="00A815F8" w:rsidP="004D353B"/>
    <w:p w:rsidR="00A815F8" w:rsidRDefault="00A815F8" w:rsidP="00A815F8">
      <w:pPr>
        <w:spacing w:after="120"/>
      </w:pPr>
      <w:r>
        <w:t>Table A5.3 Untranslated Articles</w:t>
      </w:r>
    </w:p>
    <w:tbl>
      <w:tblPr>
        <w:tblStyle w:val="TableGrid"/>
        <w:tblW w:w="9072" w:type="dxa"/>
        <w:tblInd w:w="108" w:type="dxa"/>
        <w:tblLook w:val="04A0" w:firstRow="1" w:lastRow="0" w:firstColumn="1" w:lastColumn="0" w:noHBand="0" w:noVBand="1"/>
      </w:tblPr>
      <w:tblGrid>
        <w:gridCol w:w="9072"/>
      </w:tblGrid>
      <w:tr w:rsidR="00A815F8" w:rsidRPr="006C1617" w:rsidTr="00A815F8">
        <w:trPr>
          <w:trHeight w:val="261"/>
        </w:trPr>
        <w:tc>
          <w:tcPr>
            <w:tcW w:w="9072" w:type="dxa"/>
            <w:hideMark/>
          </w:tcPr>
          <w:p w:rsidR="00A815F8" w:rsidRPr="006C1617" w:rsidRDefault="00A815F8" w:rsidP="00807EBB">
            <w:pPr>
              <w:rPr>
                <w:rFonts w:ascii="Calibri" w:eastAsia="Times New Roman" w:hAnsi="Calibri"/>
                <w:b/>
                <w:bCs/>
                <w:color w:val="000000"/>
                <w:sz w:val="22"/>
                <w:szCs w:val="22"/>
              </w:rPr>
            </w:pPr>
            <w:r w:rsidRPr="006C1617">
              <w:rPr>
                <w:rFonts w:ascii="Calibri" w:eastAsia="Times New Roman" w:hAnsi="Calibri"/>
                <w:b/>
                <w:bCs/>
                <w:color w:val="000000"/>
                <w:sz w:val="22"/>
                <w:szCs w:val="22"/>
              </w:rPr>
              <w:t>Article</w:t>
            </w:r>
          </w:p>
        </w:tc>
      </w:tr>
      <w:tr w:rsidR="00A815F8" w:rsidRPr="00A815F8" w:rsidTr="00A815F8">
        <w:trPr>
          <w:trHeight w:val="300"/>
        </w:trPr>
        <w:tc>
          <w:tcPr>
            <w:tcW w:w="9072"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Armolaitis, K. (2010) The soil organic carbon pools in Lithuanian Scots pine stands. Miškininkystė(1(67)): 16-26.</w:t>
            </w:r>
          </w:p>
        </w:tc>
      </w:tr>
      <w:tr w:rsidR="00A815F8" w:rsidRPr="00A815F8" w:rsidTr="00A815F8">
        <w:trPr>
          <w:trHeight w:val="300"/>
        </w:trPr>
        <w:tc>
          <w:tcPr>
            <w:tcW w:w="9072"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Chistotin, M. V., A. A. Sirin, et al. (2006) Seasonal dynamics of carbon dioxide and methane emission from a peatland in Moscow region drained for peat extraction and agricultural use. Agrokhimiya(6): 54-62.</w:t>
            </w:r>
          </w:p>
        </w:tc>
      </w:tr>
      <w:tr w:rsidR="00A815F8" w:rsidRPr="00A815F8" w:rsidTr="00A815F8">
        <w:trPr>
          <w:trHeight w:val="300"/>
        </w:trPr>
        <w:tc>
          <w:tcPr>
            <w:tcW w:w="9072"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Flessa, H., U. Wild, et al. (1997) C and N-fluxes in fen sites with simulated cutting of peat in the Donaumoos. Zeitschrift fuer Kulturtechnik und Landentwicklung 38(1): 11-17.</w:t>
            </w:r>
          </w:p>
        </w:tc>
      </w:tr>
      <w:tr w:rsidR="00A815F8" w:rsidRPr="00A815F8" w:rsidTr="00A815F8">
        <w:trPr>
          <w:trHeight w:val="300"/>
        </w:trPr>
        <w:tc>
          <w:tcPr>
            <w:tcW w:w="9072"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Glagolev, M. V., M. V. Chistotin, et al. (2008) The emission of carbon dioxide and methane from drained peatlands changed by economic use and from natural mires during the summer-fall period (on example of a region of Tomsk oblast). Agrokhimiya(5): 46-58.</w:t>
            </w:r>
          </w:p>
        </w:tc>
      </w:tr>
      <w:tr w:rsidR="00A815F8" w:rsidRPr="00A815F8" w:rsidTr="00A815F8">
        <w:trPr>
          <w:trHeight w:val="300"/>
        </w:trPr>
        <w:tc>
          <w:tcPr>
            <w:tcW w:w="9072"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Jacobs CMJ, Moors EJ, van der Bolt FJE  (2003) (Influence of water management on greenhouse gas emissions linked to the peatland area by ROC Zegveld) Invloed van waterbeheer op gekoppelde broeikasgasemissies in het veenweidegebied by ROC Zegveld Alterra-rapport 840, 93pp. Alterra, Wageningen.</w:t>
            </w:r>
          </w:p>
        </w:tc>
      </w:tr>
      <w:tr w:rsidR="00A815F8" w:rsidRPr="00A815F8" w:rsidTr="00A815F8">
        <w:trPr>
          <w:trHeight w:val="300"/>
        </w:trPr>
        <w:tc>
          <w:tcPr>
            <w:tcW w:w="9072"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Kiryluk, A. (2006) Concentration of total organic carbon in water from variably used post-bog ecosystems. Woda Środowisko Obszary Wiejskie 6(16(1)): 173-181.</w:t>
            </w:r>
          </w:p>
        </w:tc>
      </w:tr>
      <w:tr w:rsidR="00A815F8" w:rsidRPr="00A815F8" w:rsidTr="00A815F8">
        <w:trPr>
          <w:trHeight w:val="300"/>
        </w:trPr>
        <w:tc>
          <w:tcPr>
            <w:tcW w:w="9072"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Miatkowski, Z. and J. Turbiak (2006) Changes in CO2 emission from peat-muck soil under the influence of sudden and deep subsidence of ground water level. Woda Środowisko Obszary Wiejskie 6(16(1)): 267-276.</w:t>
            </w:r>
          </w:p>
        </w:tc>
      </w:tr>
      <w:tr w:rsidR="00A815F8" w:rsidRPr="00A815F8" w:rsidTr="00A815F8">
        <w:trPr>
          <w:trHeight w:val="300"/>
        </w:trPr>
        <w:tc>
          <w:tcPr>
            <w:tcW w:w="9072"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Turbiak and Jaszcynski (2011) THE EFFECT OF GROUNDWATER LEVEL ON METHANE EMISSION FROM A PEAT-MUCK SOIL WATER-ENVIRONMENT-RURAL AREAS 4(36); 229-238</w:t>
            </w:r>
          </w:p>
        </w:tc>
      </w:tr>
      <w:tr w:rsidR="00A815F8" w:rsidRPr="00A815F8" w:rsidTr="00A815F8">
        <w:trPr>
          <w:trHeight w:val="300"/>
        </w:trPr>
        <w:tc>
          <w:tcPr>
            <w:tcW w:w="9072"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Turbiak and Miatowski (2011) Effect of water conditions and use intensity on carbon balance in post-bog soils Nauka Przyroda Technologie 5,5,#97</w:t>
            </w:r>
          </w:p>
        </w:tc>
      </w:tr>
      <w:tr w:rsidR="00A815F8" w:rsidRPr="00A815F8" w:rsidTr="00A815F8">
        <w:trPr>
          <w:trHeight w:val="300"/>
        </w:trPr>
        <w:tc>
          <w:tcPr>
            <w:tcW w:w="9072"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Turbiak, J. (2009) Respiration activity of post-bog soils kept as fallow. Woda Środowisko Obszary Wiejskie 9(25): 161-170.</w:t>
            </w:r>
          </w:p>
        </w:tc>
      </w:tr>
      <w:tr w:rsidR="00A815F8" w:rsidRPr="00A815F8" w:rsidTr="00A815F8">
        <w:trPr>
          <w:trHeight w:val="300"/>
        </w:trPr>
        <w:tc>
          <w:tcPr>
            <w:tcW w:w="9072" w:type="dxa"/>
            <w:noWrap/>
            <w:hideMark/>
          </w:tcPr>
          <w:p w:rsidR="00A815F8" w:rsidRPr="00A815F8" w:rsidRDefault="00A815F8" w:rsidP="00A815F8">
            <w:pPr>
              <w:rPr>
                <w:rFonts w:ascii="Calibri" w:eastAsia="Times New Roman" w:hAnsi="Calibri"/>
                <w:color w:val="000000"/>
                <w:sz w:val="22"/>
                <w:szCs w:val="22"/>
              </w:rPr>
            </w:pPr>
            <w:r w:rsidRPr="00A815F8">
              <w:rPr>
                <w:rFonts w:ascii="Calibri" w:eastAsia="Times New Roman" w:hAnsi="Calibri"/>
                <w:color w:val="000000"/>
                <w:sz w:val="22"/>
                <w:szCs w:val="22"/>
              </w:rPr>
              <w:t>Turbiak, J. and Z. Miatkowski (2010) CO2 emission from post-bog soils in relation to habitat water conditions. Woda Środowisko Obszary Wiejskie 10(29): 201-210.</w:t>
            </w:r>
          </w:p>
        </w:tc>
      </w:tr>
    </w:tbl>
    <w:p w:rsidR="00A815F8" w:rsidRPr="00CA3EE9" w:rsidRDefault="00A815F8" w:rsidP="004D353B"/>
    <w:sectPr w:rsidR="00A815F8" w:rsidRPr="00CA3EE9" w:rsidSect="00BE731C">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12CF4"/>
    <w:multiLevelType w:val="multilevel"/>
    <w:tmpl w:val="0809001F"/>
    <w:lvl w:ilvl="0">
      <w:start w:val="1"/>
      <w:numFmt w:val="decimal"/>
      <w:lvlText w:val="%1."/>
      <w:lvlJc w:val="left"/>
      <w:pPr>
        <w:ind w:left="360" w:hanging="360"/>
      </w:pPr>
      <w:rPr>
        <w:rFonts w:ascii="Times New Roman" w:hAnsi="Times New Roman"/>
        <w:b/>
        <w:sz w:val="36"/>
      </w:rPr>
    </w:lvl>
    <w:lvl w:ilvl="1">
      <w:start w:val="1"/>
      <w:numFmt w:val="decimal"/>
      <w:lvlText w:val="%1.%2."/>
      <w:lvlJc w:val="left"/>
      <w:pPr>
        <w:ind w:left="792" w:hanging="432"/>
      </w:pPr>
      <w:rPr>
        <w:rFonts w:ascii="Times New Roman" w:hAnsi="Times New Roman"/>
        <w:b/>
        <w:sz w:val="32"/>
      </w:rPr>
    </w:lvl>
    <w:lvl w:ilvl="2">
      <w:start w:val="1"/>
      <w:numFmt w:val="decimal"/>
      <w:lvlText w:val="%1.%2.%3."/>
      <w:lvlJc w:val="left"/>
      <w:pPr>
        <w:ind w:left="1224" w:hanging="504"/>
      </w:pPr>
      <w:rPr>
        <w:rFonts w:ascii="Times New Roman" w:hAnsi="Times New Roman"/>
        <w:b/>
        <w:sz w:val="28"/>
      </w:rPr>
    </w:lvl>
    <w:lvl w:ilvl="3">
      <w:start w:val="1"/>
      <w:numFmt w:val="decimal"/>
      <w:lvlText w:val="%1.%2.%3.%4."/>
      <w:lvlJc w:val="left"/>
      <w:pPr>
        <w:ind w:left="1728" w:hanging="648"/>
      </w:pPr>
      <w:rPr>
        <w:rFonts w:ascii="Times New Roman" w:hAnsi="Times New Roman"/>
        <w:b/>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410286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61A7070"/>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63C00714"/>
    <w:multiLevelType w:val="hybridMultilevel"/>
    <w:tmpl w:val="60B8D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3F086E"/>
    <w:rsid w:val="000062A6"/>
    <w:rsid w:val="00014E39"/>
    <w:rsid w:val="00054962"/>
    <w:rsid w:val="00092FA8"/>
    <w:rsid w:val="0009552D"/>
    <w:rsid w:val="000C1623"/>
    <w:rsid w:val="000E0E71"/>
    <w:rsid w:val="001115F5"/>
    <w:rsid w:val="00144C2A"/>
    <w:rsid w:val="00153D60"/>
    <w:rsid w:val="00172FAF"/>
    <w:rsid w:val="00176B14"/>
    <w:rsid w:val="00192050"/>
    <w:rsid w:val="00213789"/>
    <w:rsid w:val="00300DA7"/>
    <w:rsid w:val="00351851"/>
    <w:rsid w:val="003B639E"/>
    <w:rsid w:val="003D2F5F"/>
    <w:rsid w:val="003F086E"/>
    <w:rsid w:val="004216A6"/>
    <w:rsid w:val="00450E0A"/>
    <w:rsid w:val="00460C70"/>
    <w:rsid w:val="004746C9"/>
    <w:rsid w:val="004A1E81"/>
    <w:rsid w:val="004B6FA9"/>
    <w:rsid w:val="004C182C"/>
    <w:rsid w:val="004D353B"/>
    <w:rsid w:val="005107BE"/>
    <w:rsid w:val="00520953"/>
    <w:rsid w:val="005D6C96"/>
    <w:rsid w:val="005F0C0C"/>
    <w:rsid w:val="006A3533"/>
    <w:rsid w:val="006C1617"/>
    <w:rsid w:val="006C3D09"/>
    <w:rsid w:val="006D4377"/>
    <w:rsid w:val="007004D0"/>
    <w:rsid w:val="00702F30"/>
    <w:rsid w:val="00703259"/>
    <w:rsid w:val="007065A4"/>
    <w:rsid w:val="00744797"/>
    <w:rsid w:val="00776C37"/>
    <w:rsid w:val="00790877"/>
    <w:rsid w:val="007B3E90"/>
    <w:rsid w:val="0081131E"/>
    <w:rsid w:val="0081766B"/>
    <w:rsid w:val="00822711"/>
    <w:rsid w:val="00827A78"/>
    <w:rsid w:val="00841867"/>
    <w:rsid w:val="00855C31"/>
    <w:rsid w:val="00881400"/>
    <w:rsid w:val="008850EA"/>
    <w:rsid w:val="00895FEE"/>
    <w:rsid w:val="008C2D14"/>
    <w:rsid w:val="008C2FD8"/>
    <w:rsid w:val="008F1AB0"/>
    <w:rsid w:val="0095457D"/>
    <w:rsid w:val="009616B1"/>
    <w:rsid w:val="00967625"/>
    <w:rsid w:val="0098493A"/>
    <w:rsid w:val="009B7CDD"/>
    <w:rsid w:val="009C72D1"/>
    <w:rsid w:val="009F6C6E"/>
    <w:rsid w:val="00A00DB4"/>
    <w:rsid w:val="00A35220"/>
    <w:rsid w:val="00A815F8"/>
    <w:rsid w:val="00AD45A7"/>
    <w:rsid w:val="00B0098D"/>
    <w:rsid w:val="00B02EDB"/>
    <w:rsid w:val="00B13E0D"/>
    <w:rsid w:val="00B73F4E"/>
    <w:rsid w:val="00B86C46"/>
    <w:rsid w:val="00B92BBD"/>
    <w:rsid w:val="00BE731C"/>
    <w:rsid w:val="00BE7466"/>
    <w:rsid w:val="00BF5B01"/>
    <w:rsid w:val="00BF68A7"/>
    <w:rsid w:val="00C36D53"/>
    <w:rsid w:val="00C44DB3"/>
    <w:rsid w:val="00C46717"/>
    <w:rsid w:val="00C47B13"/>
    <w:rsid w:val="00C81F2D"/>
    <w:rsid w:val="00C9287F"/>
    <w:rsid w:val="00CA3EE9"/>
    <w:rsid w:val="00CA788F"/>
    <w:rsid w:val="00CB0A48"/>
    <w:rsid w:val="00CC399A"/>
    <w:rsid w:val="00CD1EC4"/>
    <w:rsid w:val="00CD71E4"/>
    <w:rsid w:val="00D1102B"/>
    <w:rsid w:val="00D829E8"/>
    <w:rsid w:val="00DE6FA2"/>
    <w:rsid w:val="00E07E41"/>
    <w:rsid w:val="00E42CF8"/>
    <w:rsid w:val="00E94125"/>
    <w:rsid w:val="00EB1A3B"/>
    <w:rsid w:val="00EF3F67"/>
    <w:rsid w:val="00F27903"/>
    <w:rsid w:val="00F3408E"/>
    <w:rsid w:val="00F37DF9"/>
    <w:rsid w:val="00F44F83"/>
    <w:rsid w:val="00F47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Default Paragraph Font" w:uiPriority="1"/>
    <w:lsdException w:name="Body Text" w:uiPriority="99"/>
    <w:lsdException w:name="Subtitle" w:qFormat="1"/>
    <w:lsdException w:name="Hyperlink" w:uiPriority="99"/>
    <w:lsdException w:name="Strong" w:qFormat="1"/>
    <w:lsdException w:name="Emphasis"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408E"/>
    <w:rPr>
      <w:sz w:val="24"/>
      <w:szCs w:val="24"/>
      <w:lang w:eastAsia="en-GB"/>
    </w:rPr>
  </w:style>
  <w:style w:type="paragraph" w:styleId="Heading1">
    <w:name w:val="heading 1"/>
    <w:basedOn w:val="Normal"/>
    <w:next w:val="Normal"/>
    <w:link w:val="Heading1Char"/>
    <w:uiPriority w:val="99"/>
    <w:qFormat/>
    <w:rsid w:val="00F3408E"/>
    <w:pPr>
      <w:keepNext/>
      <w:keepLines/>
      <w:numPr>
        <w:numId w:val="3"/>
      </w:numPr>
      <w:spacing w:before="480"/>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F3408E"/>
    <w:pPr>
      <w:keepNext/>
      <w:keepLines/>
      <w:numPr>
        <w:ilvl w:val="1"/>
        <w:numId w:val="3"/>
      </w:numPr>
      <w:spacing w:before="200"/>
      <w:outlineLvl w:val="1"/>
    </w:pPr>
    <w:rPr>
      <w:rFonts w:eastAsiaTheme="majorEastAsia" w:cstheme="majorBidi"/>
      <w:b/>
      <w:bCs/>
      <w:sz w:val="28"/>
      <w:szCs w:val="26"/>
    </w:rPr>
  </w:style>
  <w:style w:type="paragraph" w:styleId="Heading3">
    <w:name w:val="heading 3"/>
    <w:basedOn w:val="Normal"/>
    <w:next w:val="Normal"/>
    <w:link w:val="Heading3Char"/>
    <w:unhideWhenUsed/>
    <w:qFormat/>
    <w:rsid w:val="00F3408E"/>
    <w:pPr>
      <w:keepNext/>
      <w:keepLines/>
      <w:numPr>
        <w:ilvl w:val="2"/>
        <w:numId w:val="3"/>
      </w:numPr>
      <w:spacing w:before="200"/>
      <w:outlineLvl w:val="2"/>
    </w:pPr>
    <w:rPr>
      <w:rFonts w:eastAsiaTheme="majorEastAsia" w:cstheme="majorBidi"/>
      <w:b/>
      <w:bCs/>
    </w:rPr>
  </w:style>
  <w:style w:type="paragraph" w:styleId="Heading4">
    <w:name w:val="heading 4"/>
    <w:basedOn w:val="Normal"/>
    <w:next w:val="Normal"/>
    <w:link w:val="Heading4Char"/>
    <w:semiHidden/>
    <w:unhideWhenUsed/>
    <w:qFormat/>
    <w:rsid w:val="00F3408E"/>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F3408E"/>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F3408E"/>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F3408E"/>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3408E"/>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F3408E"/>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08E"/>
    <w:rPr>
      <w:rFonts w:eastAsiaTheme="majorEastAsia" w:cstheme="majorBidi"/>
      <w:b/>
      <w:bCs/>
      <w:sz w:val="32"/>
      <w:szCs w:val="28"/>
      <w:lang w:eastAsia="en-GB"/>
    </w:rPr>
  </w:style>
  <w:style w:type="character" w:customStyle="1" w:styleId="Heading2Char">
    <w:name w:val="Heading 2 Char"/>
    <w:basedOn w:val="DefaultParagraphFont"/>
    <w:link w:val="Heading2"/>
    <w:rsid w:val="00F3408E"/>
    <w:rPr>
      <w:rFonts w:eastAsiaTheme="majorEastAsia" w:cstheme="majorBidi"/>
      <w:b/>
      <w:bCs/>
      <w:sz w:val="28"/>
      <w:szCs w:val="26"/>
      <w:lang w:eastAsia="en-GB"/>
    </w:rPr>
  </w:style>
  <w:style w:type="table" w:styleId="TableGrid">
    <w:name w:val="Table Grid"/>
    <w:basedOn w:val="TableNormal"/>
    <w:rsid w:val="00F34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F3408E"/>
    <w:rPr>
      <w:rFonts w:eastAsiaTheme="majorEastAsia" w:cstheme="majorBidi"/>
      <w:b/>
      <w:bCs/>
      <w:sz w:val="24"/>
      <w:szCs w:val="24"/>
      <w:lang w:eastAsia="en-GB"/>
    </w:rPr>
  </w:style>
  <w:style w:type="numbering" w:styleId="111111">
    <w:name w:val="Outline List 2"/>
    <w:basedOn w:val="NoList"/>
    <w:rsid w:val="00F3408E"/>
    <w:pPr>
      <w:numPr>
        <w:numId w:val="1"/>
      </w:numPr>
    </w:pPr>
  </w:style>
  <w:style w:type="character" w:customStyle="1" w:styleId="Heading4Char">
    <w:name w:val="Heading 4 Char"/>
    <w:basedOn w:val="DefaultParagraphFont"/>
    <w:link w:val="Heading4"/>
    <w:semiHidden/>
    <w:rsid w:val="00F3408E"/>
    <w:rPr>
      <w:rFonts w:asciiTheme="majorHAnsi" w:eastAsiaTheme="majorEastAsia" w:hAnsiTheme="majorHAnsi" w:cstheme="majorBidi"/>
      <w:b/>
      <w:bCs/>
      <w:i/>
      <w:iCs/>
      <w:color w:val="4F81BD" w:themeColor="accent1"/>
      <w:sz w:val="24"/>
      <w:szCs w:val="24"/>
      <w:lang w:eastAsia="en-GB"/>
    </w:rPr>
  </w:style>
  <w:style w:type="character" w:customStyle="1" w:styleId="Heading5Char">
    <w:name w:val="Heading 5 Char"/>
    <w:basedOn w:val="DefaultParagraphFont"/>
    <w:link w:val="Heading5"/>
    <w:semiHidden/>
    <w:rsid w:val="00F3408E"/>
    <w:rPr>
      <w:rFonts w:asciiTheme="majorHAnsi" w:eastAsiaTheme="majorEastAsia" w:hAnsiTheme="majorHAnsi" w:cstheme="majorBidi"/>
      <w:color w:val="243F60" w:themeColor="accent1" w:themeShade="7F"/>
      <w:sz w:val="24"/>
      <w:szCs w:val="24"/>
      <w:lang w:eastAsia="en-GB"/>
    </w:rPr>
  </w:style>
  <w:style w:type="character" w:customStyle="1" w:styleId="Heading6Char">
    <w:name w:val="Heading 6 Char"/>
    <w:basedOn w:val="DefaultParagraphFont"/>
    <w:link w:val="Heading6"/>
    <w:semiHidden/>
    <w:rsid w:val="00F3408E"/>
    <w:rPr>
      <w:rFonts w:asciiTheme="majorHAnsi" w:eastAsiaTheme="majorEastAsia" w:hAnsiTheme="majorHAnsi" w:cstheme="majorBidi"/>
      <w:i/>
      <w:iCs/>
      <w:color w:val="243F60" w:themeColor="accent1" w:themeShade="7F"/>
      <w:sz w:val="24"/>
      <w:szCs w:val="24"/>
      <w:lang w:eastAsia="en-GB"/>
    </w:rPr>
  </w:style>
  <w:style w:type="character" w:customStyle="1" w:styleId="Heading7Char">
    <w:name w:val="Heading 7 Char"/>
    <w:basedOn w:val="DefaultParagraphFont"/>
    <w:link w:val="Heading7"/>
    <w:semiHidden/>
    <w:rsid w:val="00F3408E"/>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semiHidden/>
    <w:rsid w:val="00F3408E"/>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semiHidden/>
    <w:rsid w:val="00F3408E"/>
    <w:rPr>
      <w:rFonts w:asciiTheme="majorHAnsi" w:eastAsiaTheme="majorEastAsia" w:hAnsiTheme="majorHAnsi" w:cstheme="majorBidi"/>
      <w:i/>
      <w:iCs/>
      <w:color w:val="404040" w:themeColor="text1" w:themeTint="BF"/>
      <w:lang w:eastAsia="en-GB"/>
    </w:rPr>
  </w:style>
  <w:style w:type="paragraph" w:styleId="Header">
    <w:name w:val="header"/>
    <w:basedOn w:val="Normal"/>
    <w:link w:val="HeaderChar"/>
    <w:uiPriority w:val="99"/>
    <w:rsid w:val="00F3408E"/>
    <w:pPr>
      <w:tabs>
        <w:tab w:val="center" w:pos="4153"/>
        <w:tab w:val="right" w:pos="8306"/>
      </w:tabs>
    </w:pPr>
    <w:rPr>
      <w:rFonts w:eastAsia="Times New Roman"/>
    </w:rPr>
  </w:style>
  <w:style w:type="character" w:customStyle="1" w:styleId="HeaderChar">
    <w:name w:val="Header Char"/>
    <w:basedOn w:val="DefaultParagraphFont"/>
    <w:link w:val="Header"/>
    <w:uiPriority w:val="99"/>
    <w:rsid w:val="00F3408E"/>
    <w:rPr>
      <w:rFonts w:eastAsia="Times New Roman"/>
      <w:sz w:val="24"/>
      <w:szCs w:val="24"/>
      <w:lang w:eastAsia="en-GB"/>
    </w:rPr>
  </w:style>
  <w:style w:type="paragraph" w:styleId="Footer">
    <w:name w:val="footer"/>
    <w:basedOn w:val="Normal"/>
    <w:link w:val="FooterChar"/>
    <w:uiPriority w:val="99"/>
    <w:rsid w:val="00F3408E"/>
    <w:pPr>
      <w:tabs>
        <w:tab w:val="center" w:pos="4153"/>
        <w:tab w:val="right" w:pos="8306"/>
      </w:tabs>
    </w:pPr>
    <w:rPr>
      <w:rFonts w:eastAsia="Times New Roman"/>
    </w:rPr>
  </w:style>
  <w:style w:type="character" w:customStyle="1" w:styleId="FooterChar">
    <w:name w:val="Footer Char"/>
    <w:basedOn w:val="DefaultParagraphFont"/>
    <w:link w:val="Footer"/>
    <w:uiPriority w:val="99"/>
    <w:rsid w:val="00F3408E"/>
    <w:rPr>
      <w:rFonts w:eastAsia="Times New Roman"/>
      <w:sz w:val="24"/>
      <w:szCs w:val="24"/>
      <w:lang w:eastAsia="en-GB"/>
    </w:rPr>
  </w:style>
  <w:style w:type="character" w:styleId="PageNumber">
    <w:name w:val="page number"/>
    <w:basedOn w:val="DefaultParagraphFont"/>
    <w:uiPriority w:val="99"/>
    <w:rsid w:val="00F3408E"/>
    <w:rPr>
      <w:rFonts w:cs="Times New Roman"/>
    </w:rPr>
  </w:style>
  <w:style w:type="paragraph" w:styleId="BodyText">
    <w:name w:val="Body Text"/>
    <w:basedOn w:val="Normal"/>
    <w:link w:val="BodyTextChar"/>
    <w:uiPriority w:val="99"/>
    <w:rsid w:val="00F3408E"/>
    <w:pPr>
      <w:jc w:val="center"/>
    </w:pPr>
    <w:rPr>
      <w:rFonts w:eastAsia="Times New Roman"/>
      <w:b/>
      <w:bCs/>
      <w:smallCaps/>
      <w:sz w:val="28"/>
      <w:lang w:eastAsia="en-US"/>
    </w:rPr>
  </w:style>
  <w:style w:type="character" w:customStyle="1" w:styleId="BodyTextChar">
    <w:name w:val="Body Text Char"/>
    <w:basedOn w:val="DefaultParagraphFont"/>
    <w:link w:val="BodyText"/>
    <w:uiPriority w:val="99"/>
    <w:rsid w:val="00F3408E"/>
    <w:rPr>
      <w:rFonts w:eastAsia="Times New Roman"/>
      <w:b/>
      <w:bCs/>
      <w:smallCaps/>
      <w:sz w:val="28"/>
      <w:szCs w:val="24"/>
    </w:rPr>
  </w:style>
  <w:style w:type="character" w:styleId="Hyperlink">
    <w:name w:val="Hyperlink"/>
    <w:basedOn w:val="DefaultParagraphFont"/>
    <w:uiPriority w:val="99"/>
    <w:rsid w:val="00F3408E"/>
    <w:rPr>
      <w:rFonts w:cs="Times New Roman"/>
      <w:color w:val="0000FF"/>
      <w:u w:val="single"/>
    </w:rPr>
  </w:style>
  <w:style w:type="character" w:styleId="Emphasis">
    <w:name w:val="Emphasis"/>
    <w:basedOn w:val="DefaultParagraphFont"/>
    <w:uiPriority w:val="99"/>
    <w:qFormat/>
    <w:rsid w:val="00F3408E"/>
    <w:rPr>
      <w:rFonts w:cs="Times New Roman"/>
      <w:i/>
      <w:iCs/>
    </w:rPr>
  </w:style>
  <w:style w:type="paragraph" w:styleId="BalloonText">
    <w:name w:val="Balloon Text"/>
    <w:basedOn w:val="Normal"/>
    <w:link w:val="BalloonTextChar"/>
    <w:rsid w:val="00F3408E"/>
    <w:rPr>
      <w:rFonts w:ascii="Tahoma" w:eastAsia="Times New Roman" w:hAnsi="Tahoma" w:cs="Tahoma"/>
      <w:sz w:val="16"/>
      <w:szCs w:val="16"/>
    </w:rPr>
  </w:style>
  <w:style w:type="character" w:customStyle="1" w:styleId="BalloonTextChar">
    <w:name w:val="Balloon Text Char"/>
    <w:basedOn w:val="DefaultParagraphFont"/>
    <w:link w:val="BalloonText"/>
    <w:rsid w:val="00F3408E"/>
    <w:rPr>
      <w:rFonts w:ascii="Tahoma" w:eastAsia="Times New Roman" w:hAnsi="Tahoma" w:cs="Tahoma"/>
      <w:sz w:val="16"/>
      <w:szCs w:val="16"/>
      <w:lang w:eastAsia="en-GB"/>
    </w:rPr>
  </w:style>
  <w:style w:type="character" w:customStyle="1" w:styleId="normaltext-white">
    <w:name w:val="normaltext-white"/>
    <w:basedOn w:val="DefaultParagraphFont"/>
    <w:uiPriority w:val="99"/>
    <w:rsid w:val="00F3408E"/>
    <w:rPr>
      <w:rFonts w:cs="Times New Roman"/>
    </w:rPr>
  </w:style>
  <w:style w:type="paragraph" w:customStyle="1" w:styleId="Default">
    <w:name w:val="Default"/>
    <w:rsid w:val="00F3408E"/>
    <w:pPr>
      <w:autoSpaceDE w:val="0"/>
      <w:autoSpaceDN w:val="0"/>
      <w:adjustRightInd w:val="0"/>
    </w:pPr>
    <w:rPr>
      <w:rFonts w:eastAsia="Times New Roman"/>
      <w:color w:val="000000"/>
      <w:sz w:val="24"/>
      <w:szCs w:val="24"/>
      <w:lang w:eastAsia="en-GB"/>
    </w:rPr>
  </w:style>
  <w:style w:type="paragraph" w:styleId="ListParagraph">
    <w:name w:val="List Paragraph"/>
    <w:basedOn w:val="Normal"/>
    <w:uiPriority w:val="34"/>
    <w:qFormat/>
    <w:rsid w:val="00CA3EE9"/>
    <w:pPr>
      <w:ind w:left="720"/>
      <w:contextualSpacing/>
    </w:pPr>
  </w:style>
  <w:style w:type="paragraph" w:styleId="Caption">
    <w:name w:val="caption"/>
    <w:basedOn w:val="Normal"/>
    <w:next w:val="Normal"/>
    <w:unhideWhenUsed/>
    <w:qFormat/>
    <w:rsid w:val="00CA3EE9"/>
    <w:pPr>
      <w:spacing w:after="200"/>
    </w:pPr>
    <w:rPr>
      <w:bCs/>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31421">
      <w:bodyDiv w:val="1"/>
      <w:marLeft w:val="0"/>
      <w:marRight w:val="0"/>
      <w:marTop w:val="0"/>
      <w:marBottom w:val="0"/>
      <w:divBdr>
        <w:top w:val="none" w:sz="0" w:space="0" w:color="auto"/>
        <w:left w:val="none" w:sz="0" w:space="0" w:color="auto"/>
        <w:bottom w:val="none" w:sz="0" w:space="0" w:color="auto"/>
        <w:right w:val="none" w:sz="0" w:space="0" w:color="auto"/>
      </w:divBdr>
    </w:div>
    <w:div w:id="628049493">
      <w:bodyDiv w:val="1"/>
      <w:marLeft w:val="0"/>
      <w:marRight w:val="0"/>
      <w:marTop w:val="0"/>
      <w:marBottom w:val="0"/>
      <w:divBdr>
        <w:top w:val="none" w:sz="0" w:space="0" w:color="auto"/>
        <w:left w:val="none" w:sz="0" w:space="0" w:color="auto"/>
        <w:bottom w:val="none" w:sz="0" w:space="0" w:color="auto"/>
        <w:right w:val="none" w:sz="0" w:space="0" w:color="auto"/>
      </w:divBdr>
    </w:div>
    <w:div w:id="747656656">
      <w:bodyDiv w:val="1"/>
      <w:marLeft w:val="0"/>
      <w:marRight w:val="0"/>
      <w:marTop w:val="0"/>
      <w:marBottom w:val="0"/>
      <w:divBdr>
        <w:top w:val="none" w:sz="0" w:space="0" w:color="auto"/>
        <w:left w:val="none" w:sz="0" w:space="0" w:color="auto"/>
        <w:bottom w:val="none" w:sz="0" w:space="0" w:color="auto"/>
        <w:right w:val="none" w:sz="0" w:space="0" w:color="auto"/>
      </w:divBdr>
    </w:div>
    <w:div w:id="1092774478">
      <w:bodyDiv w:val="1"/>
      <w:marLeft w:val="0"/>
      <w:marRight w:val="0"/>
      <w:marTop w:val="0"/>
      <w:marBottom w:val="0"/>
      <w:divBdr>
        <w:top w:val="none" w:sz="0" w:space="0" w:color="auto"/>
        <w:left w:val="none" w:sz="0" w:space="0" w:color="auto"/>
        <w:bottom w:val="none" w:sz="0" w:space="0" w:color="auto"/>
        <w:right w:val="none" w:sz="0" w:space="0" w:color="auto"/>
      </w:divBdr>
    </w:div>
    <w:div w:id="1144011430">
      <w:bodyDiv w:val="1"/>
      <w:marLeft w:val="0"/>
      <w:marRight w:val="0"/>
      <w:marTop w:val="0"/>
      <w:marBottom w:val="0"/>
      <w:divBdr>
        <w:top w:val="none" w:sz="0" w:space="0" w:color="auto"/>
        <w:left w:val="none" w:sz="0" w:space="0" w:color="auto"/>
        <w:bottom w:val="none" w:sz="0" w:space="0" w:color="auto"/>
        <w:right w:val="none" w:sz="0" w:space="0" w:color="auto"/>
      </w:divBdr>
    </w:div>
    <w:div w:id="1144616068">
      <w:bodyDiv w:val="1"/>
      <w:marLeft w:val="0"/>
      <w:marRight w:val="0"/>
      <w:marTop w:val="0"/>
      <w:marBottom w:val="0"/>
      <w:divBdr>
        <w:top w:val="none" w:sz="0" w:space="0" w:color="auto"/>
        <w:left w:val="none" w:sz="0" w:space="0" w:color="auto"/>
        <w:bottom w:val="none" w:sz="0" w:space="0" w:color="auto"/>
        <w:right w:val="none" w:sz="0" w:space="0" w:color="auto"/>
      </w:divBdr>
    </w:div>
    <w:div w:id="1749225467">
      <w:bodyDiv w:val="1"/>
      <w:marLeft w:val="0"/>
      <w:marRight w:val="0"/>
      <w:marTop w:val="0"/>
      <w:marBottom w:val="0"/>
      <w:divBdr>
        <w:top w:val="none" w:sz="0" w:space="0" w:color="auto"/>
        <w:left w:val="none" w:sz="0" w:space="0" w:color="auto"/>
        <w:bottom w:val="none" w:sz="0" w:space="0" w:color="auto"/>
        <w:right w:val="none" w:sz="0" w:space="0" w:color="auto"/>
      </w:divBdr>
    </w:div>
    <w:div w:id="1785921876">
      <w:bodyDiv w:val="1"/>
      <w:marLeft w:val="0"/>
      <w:marRight w:val="0"/>
      <w:marTop w:val="0"/>
      <w:marBottom w:val="0"/>
      <w:divBdr>
        <w:top w:val="none" w:sz="0" w:space="0" w:color="auto"/>
        <w:left w:val="none" w:sz="0" w:space="0" w:color="auto"/>
        <w:bottom w:val="none" w:sz="0" w:space="0" w:color="auto"/>
        <w:right w:val="none" w:sz="0" w:space="0" w:color="auto"/>
      </w:divBdr>
    </w:div>
    <w:div w:id="185769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E309E-C30D-4CBE-A69C-F726E9789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817F1988.dotm</Template>
  <TotalTime>119</TotalTime>
  <Pages>5</Pages>
  <Words>2490</Words>
  <Characters>14857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Prifysgol Bangor University</Company>
  <LinksUpToDate>false</LinksUpToDate>
  <CharactersWithSpaces>17313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osse06</dc:creator>
  <cp:keywords/>
  <dc:description/>
  <cp:lastModifiedBy>Haddaway,Neal</cp:lastModifiedBy>
  <cp:revision>16</cp:revision>
  <dcterms:created xsi:type="dcterms:W3CDTF">2013-04-10T09:10:00Z</dcterms:created>
  <dcterms:modified xsi:type="dcterms:W3CDTF">2014-02-12T08:39:00Z</dcterms:modified>
</cp:coreProperties>
</file>