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6B" w:rsidRPr="00CA3EE9" w:rsidRDefault="00ED0404" w:rsidP="00CA3EE9">
      <w:pPr>
        <w:jc w:val="both"/>
        <w:rPr>
          <w:b/>
          <w:sz w:val="36"/>
        </w:rPr>
      </w:pPr>
      <w:r>
        <w:rPr>
          <w:b/>
          <w:sz w:val="36"/>
        </w:rPr>
        <w:t xml:space="preserve">Additional File </w:t>
      </w:r>
      <w:r w:rsidR="00BC5FDA">
        <w:rPr>
          <w:b/>
          <w:sz w:val="36"/>
        </w:rPr>
        <w:t>7</w:t>
      </w:r>
      <w:bookmarkStart w:id="0" w:name="_GoBack"/>
      <w:bookmarkEnd w:id="0"/>
    </w:p>
    <w:p w:rsidR="00CA3EE9" w:rsidRDefault="004D353B" w:rsidP="004D353B">
      <w:pPr>
        <w:jc w:val="both"/>
        <w:rPr>
          <w:b/>
          <w:sz w:val="32"/>
        </w:rPr>
      </w:pPr>
      <w:r w:rsidRPr="004D353B">
        <w:rPr>
          <w:b/>
          <w:sz w:val="32"/>
        </w:rPr>
        <w:t>Articles Excluded at Full Text Screening</w:t>
      </w:r>
      <w:r w:rsidR="00B0098D">
        <w:rPr>
          <w:b/>
          <w:sz w:val="32"/>
        </w:rPr>
        <w:t xml:space="preserve"> and Critical Appraisal</w:t>
      </w:r>
    </w:p>
    <w:p w:rsidR="004D353B" w:rsidRDefault="004D353B" w:rsidP="004D353B"/>
    <w:p w:rsidR="004D353B" w:rsidRDefault="00BF68A7" w:rsidP="00BF68A7">
      <w:pPr>
        <w:spacing w:after="120"/>
      </w:pPr>
      <w:r>
        <w:t>Table A6.1. Reasons for exclusion of articles at full text assessment.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201"/>
      </w:tblGrid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pPr>
              <w:rPr>
                <w:b/>
              </w:rPr>
            </w:pPr>
            <w:r w:rsidRPr="00BF68A7">
              <w:rPr>
                <w:b/>
              </w:rPr>
              <w:t>Reason Category</w:t>
            </w:r>
          </w:p>
        </w:tc>
        <w:tc>
          <w:tcPr>
            <w:tcW w:w="6201" w:type="dxa"/>
          </w:tcPr>
          <w:p w:rsidR="00BF68A7" w:rsidRPr="00BF68A7" w:rsidRDefault="00BF68A7" w:rsidP="004D353B">
            <w:pPr>
              <w:rPr>
                <w:b/>
              </w:rPr>
            </w:pPr>
            <w:r w:rsidRPr="00BF68A7">
              <w:rPr>
                <w:b/>
              </w:rPr>
              <w:t>Description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BF68A7">
            <w:r w:rsidRPr="00BF68A7">
              <w:t>Relevant review</w:t>
            </w:r>
          </w:p>
        </w:tc>
        <w:tc>
          <w:tcPr>
            <w:tcW w:w="6201" w:type="dxa"/>
          </w:tcPr>
          <w:p w:rsidR="00BF68A7" w:rsidRPr="00BF68A7" w:rsidRDefault="00BF68A7" w:rsidP="004D353B">
            <w:r>
              <w:t>Article has no empirical data and only reviews relevant literature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r w:rsidRPr="00BF68A7">
              <w:t>Lack of relevant population</w:t>
            </w:r>
          </w:p>
        </w:tc>
        <w:tc>
          <w:tcPr>
            <w:tcW w:w="6201" w:type="dxa"/>
          </w:tcPr>
          <w:p w:rsidR="00BF68A7" w:rsidRPr="00BF68A7" w:rsidRDefault="00BF68A7" w:rsidP="004D353B">
            <w:r>
              <w:t xml:space="preserve">Study population is not lowland </w:t>
            </w:r>
            <w:proofErr w:type="spellStart"/>
            <w:r>
              <w:t>boreo</w:t>
            </w:r>
            <w:proofErr w:type="spellEnd"/>
            <w:r>
              <w:t xml:space="preserve">-temporal </w:t>
            </w:r>
            <w:proofErr w:type="spellStart"/>
            <w:r>
              <w:t>peatland</w:t>
            </w:r>
            <w:proofErr w:type="spellEnd"/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r w:rsidRPr="00BF68A7">
              <w:t>Lack of relevant intervention</w:t>
            </w:r>
          </w:p>
        </w:tc>
        <w:tc>
          <w:tcPr>
            <w:tcW w:w="6201" w:type="dxa"/>
          </w:tcPr>
          <w:p w:rsidR="00BF68A7" w:rsidRPr="00BF68A7" w:rsidRDefault="00BF68A7" w:rsidP="004D353B">
            <w:r>
              <w:t>Land management or exposure is not relevant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r w:rsidRPr="00BF68A7">
              <w:t>Lack of relevant comparator</w:t>
            </w:r>
          </w:p>
        </w:tc>
        <w:tc>
          <w:tcPr>
            <w:tcW w:w="6201" w:type="dxa"/>
          </w:tcPr>
          <w:p w:rsidR="00BF68A7" w:rsidRPr="00BF68A7" w:rsidRDefault="00BF68A7" w:rsidP="004D353B">
            <w:r>
              <w:t>Comparator is not appropriately matched to intervention/exposure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r w:rsidRPr="00BF68A7">
              <w:t>Lack of relevant outcome</w:t>
            </w:r>
          </w:p>
        </w:tc>
        <w:tc>
          <w:tcPr>
            <w:tcW w:w="6201" w:type="dxa"/>
          </w:tcPr>
          <w:p w:rsidR="00BF68A7" w:rsidRPr="00BF68A7" w:rsidRDefault="00BF68A7" w:rsidP="004D353B">
            <w:r>
              <w:t>Measured outcome is not relevant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r w:rsidRPr="00BF68A7">
              <w:t>Unsuitable timescale</w:t>
            </w:r>
          </w:p>
        </w:tc>
        <w:tc>
          <w:tcPr>
            <w:tcW w:w="6201" w:type="dxa"/>
          </w:tcPr>
          <w:p w:rsidR="00BF68A7" w:rsidRPr="00BF68A7" w:rsidRDefault="00BF68A7" w:rsidP="004D353B">
            <w:r>
              <w:t>Study investigates short term intervention/exposure (i.e. &lt; 1 year)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pPr>
              <w:rPr>
                <w:bCs/>
                <w:color w:val="000000"/>
              </w:rPr>
            </w:pPr>
            <w:r w:rsidRPr="00BF68A7">
              <w:rPr>
                <w:bCs/>
                <w:color w:val="000000"/>
              </w:rPr>
              <w:t>Ex situ incubation</w:t>
            </w:r>
          </w:p>
        </w:tc>
        <w:tc>
          <w:tcPr>
            <w:tcW w:w="6201" w:type="dxa"/>
          </w:tcPr>
          <w:p w:rsidR="00BF68A7" w:rsidRPr="00BF68A7" w:rsidRDefault="00BF68A7" w:rsidP="004D353B">
            <w:r>
              <w:t>Peat cores extracted and outcomes measured during incubation in the laboratory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pPr>
              <w:rPr>
                <w:bCs/>
                <w:color w:val="000000"/>
              </w:rPr>
            </w:pPr>
            <w:r w:rsidRPr="00BF68A7">
              <w:rPr>
                <w:bCs/>
                <w:color w:val="000000"/>
              </w:rPr>
              <w:t>No data</w:t>
            </w:r>
          </w:p>
        </w:tc>
        <w:tc>
          <w:tcPr>
            <w:tcW w:w="6201" w:type="dxa"/>
          </w:tcPr>
          <w:p w:rsidR="00BF68A7" w:rsidRPr="00BF68A7" w:rsidRDefault="00BF68A7" w:rsidP="00BF68A7">
            <w:r>
              <w:t>Study does not report empirical data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pPr>
              <w:rPr>
                <w:bCs/>
                <w:color w:val="000000"/>
              </w:rPr>
            </w:pPr>
            <w:r w:rsidRPr="00BF68A7">
              <w:rPr>
                <w:bCs/>
                <w:color w:val="000000"/>
              </w:rPr>
              <w:t>Low internal validity</w:t>
            </w:r>
          </w:p>
        </w:tc>
        <w:tc>
          <w:tcPr>
            <w:tcW w:w="6201" w:type="dxa"/>
          </w:tcPr>
          <w:p w:rsidR="00BF68A7" w:rsidRPr="00BF68A7" w:rsidRDefault="00BF68A7" w:rsidP="00BF68A7">
            <w:r>
              <w:t>Study is extremely susceptible to bias and/or inappropriately undertaken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pPr>
              <w:rPr>
                <w:bCs/>
                <w:color w:val="000000"/>
              </w:rPr>
            </w:pPr>
            <w:r w:rsidRPr="00BF68A7">
              <w:rPr>
                <w:bCs/>
                <w:color w:val="000000"/>
              </w:rPr>
              <w:t>Low external validity</w:t>
            </w:r>
          </w:p>
        </w:tc>
        <w:tc>
          <w:tcPr>
            <w:tcW w:w="6201" w:type="dxa"/>
          </w:tcPr>
          <w:p w:rsidR="00BF68A7" w:rsidRPr="00BF68A7" w:rsidRDefault="00BF68A7" w:rsidP="004D353B">
            <w:r>
              <w:t xml:space="preserve">Study has low </w:t>
            </w:r>
            <w:proofErr w:type="spellStart"/>
            <w:r>
              <w:t>generalisability</w:t>
            </w:r>
            <w:proofErr w:type="spellEnd"/>
            <w:r>
              <w:t xml:space="preserve"> with respect to the systematic review question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pPr>
              <w:rPr>
                <w:bCs/>
                <w:color w:val="000000"/>
              </w:rPr>
            </w:pPr>
            <w:r w:rsidRPr="00BF68A7">
              <w:rPr>
                <w:bCs/>
                <w:color w:val="000000"/>
              </w:rPr>
              <w:t>Unclear methods</w:t>
            </w:r>
          </w:p>
        </w:tc>
        <w:tc>
          <w:tcPr>
            <w:tcW w:w="6201" w:type="dxa"/>
          </w:tcPr>
          <w:p w:rsidR="00BF68A7" w:rsidRPr="00BF68A7" w:rsidRDefault="00BF68A7" w:rsidP="00BF68A7">
            <w:r>
              <w:t>Methods are described in very low detail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pPr>
              <w:rPr>
                <w:bCs/>
                <w:color w:val="000000"/>
              </w:rPr>
            </w:pPr>
            <w:r w:rsidRPr="00BF68A7">
              <w:rPr>
                <w:bCs/>
                <w:color w:val="000000"/>
              </w:rPr>
              <w:t>Unclear reporting</w:t>
            </w:r>
          </w:p>
        </w:tc>
        <w:tc>
          <w:tcPr>
            <w:tcW w:w="6201" w:type="dxa"/>
          </w:tcPr>
          <w:p w:rsidR="00BF68A7" w:rsidRPr="00BF68A7" w:rsidRDefault="00BF68A7" w:rsidP="00BF68A7">
            <w:r>
              <w:t>Reporting of results is insufficient to allow appropriate data extraction</w:t>
            </w:r>
          </w:p>
        </w:tc>
      </w:tr>
      <w:tr w:rsidR="00BF68A7" w:rsidRPr="00BF68A7" w:rsidTr="00BF68A7">
        <w:tc>
          <w:tcPr>
            <w:tcW w:w="3085" w:type="dxa"/>
          </w:tcPr>
          <w:p w:rsidR="00BF68A7" w:rsidRPr="00BF68A7" w:rsidRDefault="00BF68A7" w:rsidP="004D353B">
            <w:pPr>
              <w:rPr>
                <w:bCs/>
                <w:color w:val="000000"/>
              </w:rPr>
            </w:pPr>
            <w:r w:rsidRPr="00BF68A7">
              <w:rPr>
                <w:bCs/>
                <w:color w:val="000000"/>
              </w:rPr>
              <w:t>Other (details)</w:t>
            </w:r>
          </w:p>
        </w:tc>
        <w:tc>
          <w:tcPr>
            <w:tcW w:w="6201" w:type="dxa"/>
          </w:tcPr>
          <w:p w:rsidR="00BF68A7" w:rsidRPr="00BF68A7" w:rsidRDefault="00BF68A7" w:rsidP="004D353B">
            <w:r>
              <w:t>Reason described</w:t>
            </w:r>
          </w:p>
        </w:tc>
      </w:tr>
    </w:tbl>
    <w:p w:rsidR="00BF68A7" w:rsidRDefault="00BF68A7" w:rsidP="004D353B"/>
    <w:p w:rsidR="006C1617" w:rsidRDefault="006C1617" w:rsidP="004D353B"/>
    <w:p w:rsidR="00BF68A7" w:rsidRDefault="006C1617" w:rsidP="004D353B">
      <w:r>
        <w:t>Table A6.2 Excluded studies with reasons</w:t>
      </w:r>
    </w:p>
    <w:p w:rsidR="006C1617" w:rsidRDefault="006C1617" w:rsidP="004D353B"/>
    <w:tbl>
      <w:tblPr>
        <w:tblStyle w:val="TableGrid"/>
        <w:tblW w:w="10916" w:type="dxa"/>
        <w:tblInd w:w="-743" w:type="dxa"/>
        <w:tblLook w:val="04A0" w:firstRow="1" w:lastRow="0" w:firstColumn="1" w:lastColumn="0" w:noHBand="0" w:noVBand="1"/>
      </w:tblPr>
      <w:tblGrid>
        <w:gridCol w:w="8506"/>
        <w:gridCol w:w="2410"/>
      </w:tblGrid>
      <w:tr w:rsidR="006C1617" w:rsidRPr="006C1617" w:rsidTr="006C1617">
        <w:trPr>
          <w:trHeight w:val="261"/>
        </w:trPr>
        <w:tc>
          <w:tcPr>
            <w:tcW w:w="8506" w:type="dxa"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Article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Exclusion Reason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Barratt, B. C. (1968) MICROMORPHOLOGICAL OBSERVATIONS ON EFFECTS OF LAND USE DIFFERENCES ON SOME NEW ZEALAND SOILS. New Zealand Journal of Agricultural Research 11(1): 101-&amp;.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population, No data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Basiliko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N., C.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Blodau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(2007) Regulation of decomposition and methane dynamics across natural, commercially mined, and restored northern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. Ecosystems 10(7): 1148-1165.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outcome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Berglund, O. And K. Berglund (2010) Distribution and cultivation intensity of agricultural peat and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gyttja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soils in Sweden and estimation of greenhouse gas emissions from cultivated peat soils.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Geoderma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154(3-4): 173-180.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No data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Biasi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, C., S. E. Lind, et al. (2008) Direct experimental evidence for the contribution of lime to CO2 release from managed peat soil. Soil Biology &amp; Biochemistry 40(10): 2660-2669.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intervention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Regina, K., H.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Nykanen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(1996) Fluxes of nitrous oxide from boreal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as affected by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type, water table level and nitrification capacity. Biogeochemistry 35(3): 401-418.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No data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Richardson, S. J. And J. Smith (1977) PEAT WASTAGE IN EAST ANGLIAN FENS. Journal of Soil Science 28(3): 485-489.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intervention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Alm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J., N. J.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Shurpali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et al. (2007) Emission factors and their uncertainty for the exchange of CO2, CH4 and N2O in Finnish managed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. Boreal Environment Research 12(2): 191-209.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Relevant Review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lastRenderedPageBreak/>
              <w:t>Andert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J., E.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Wessén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et al. (2011) Temporal changes in abundance and composition of ammonia-oxidizing bacterial and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archaeal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communities in a drained peat soil in relation to N2O emissions. Journal of Soils and Sediments: 1-9.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Anon (2007) Simulating the effect of drainage on the carbon exchange in a Western Siberian watershed mire using a 3-D dynamic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modeling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approach Book Chapter 4 p67-84.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No data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Barton, L. And L. A.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Schipper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(2001) Regulation of nitrous oxide emissions from soils irrigated with dairy farm effluent. Journal of Environmental Quality 30(6): 1881-1887.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intervention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Brække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, F. H. (1987) Nutrient relationships in forest stands: effects of drainage and fertilization on surface peat layers. Forest Ecology and Management 21(3-4): 269-284.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outcome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Braekke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, F. H. And L. Finer (1991) FERTILIZATION EFFECTS ON SURFACE PEAT OF PINE BOGS. Scandinavian Journal of Forest Research 6(4): 433-450.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Braekke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F. H., A.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Lunnan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, et al. (1994) COST-EFFECTIVENESS OF GREENHOUSE-GAS REDUCTION AND PROFITABILITY OF FOREST PRODUCTION ON OLD DRAINED FIELDS IN NORWAY. Scandinavian Journal of Forest Research 9(1): 83-90.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outcome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Couwenberg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J. (2009) Methane emissions from peat soils (organic soils,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histosols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): facts, MRV-ability, emission factors. 14 pp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Relevant Review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Couwenberg, J., A.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Thiele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(2011) Assessing greenhouse gas emissions from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using vegetation as a proxy.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Hydrobiologia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674(1): 67-89.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Relevant Review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Dawson, Q., C.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Kechavarzi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(2010) Subsidence and degradation of agricultural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in the Fenlands of Norfolk, UK.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Geoderma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154(3-4): 181-187.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intervention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Detto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M., J.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Verfaillie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et al. (2011) Comparing laser-based open- and closed-path gas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analyzers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to measure methane fluxes using the eddy covariance method. Agricultural and Forest Meteorology 151(10): 1312-1324.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No data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Dirks, B. O. M., A. Hensen,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(1999) Surface CO2 exchange in an intensively managed peat pasture. Climate Research 13(2): 115-123.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intervention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Dise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N. B. (2009)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response to global change. Science 326(5954): 810-811.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No data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Evrendilek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F., S.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Berberoglu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(2011) Historical spatiotemporal analysis of land-use/land-cover changes and carbon budget in a temperate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(Turkey) using remotely sensed data. Applied Geography 31(3): 1166-1172.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intervention, Lack of relevant outcome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>Gambolati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 xml:space="preserve">, G., M. Putti,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(2006) Subsidence due to peat oxidation and impact on drainage infrastructures in a farmland catchment south of the Venice Lagoon. Environmental Geology 49(6): 814-820.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No data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Gronlund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A., A.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Hauge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et al. (2008) Carbon loss estimates from cultivated peat soils in Norway: a comparison of three methods. Nutrient Cycling in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Agroecosystems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81(2): 157-167.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Hahn-Scheofl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M., D. Zak,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(2011) Organic sediment formed during inundation of a degraded fen grassland emits large fluxes of CH(4) and CO(2).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Biogeosciences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8(6): 1539-1550.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Ex situ incubation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Hargreaves, K. J., R.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Milne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(2003) Carbon balance of afforested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in Scotland. Forestry 76(3): 299-317.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Hendriks, D. M. D., J. Van Huissteden,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(2007) The full greenhouse gas balance of an abandoned peat meadow.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Biogeosciences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4(3): 411-424.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Jarvis, S. C., D. J. Hatch, et al. (1994)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Denitrification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and the evolution of nitrous oxide after the application of cattle slurry to a peat soil. Plant and Soil 166(2): 231-241.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Unsuitable timescale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>Kasimir-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>Klemedtsson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 xml:space="preserve">, A., L.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>Klemedtsson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(1997) Greenhouse gas emissions from farmed organic soils: a review. Soil Use and Management 13(4): 245-250.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Relevant Review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Kivimaki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S. K., M.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Yli-Petays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(2008) Carbon sink function of sedge and Sphagnum patches in a restored cut-away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: increased functional diversity leads to higher production. Journal of Applied Ecology 45(3): 921-929.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Kluge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B., G.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Wessolek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(2008) Long-term carbon loss and CO(2)-C release of drained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soils in northeast Germany. European Journal of Soil Science 59(6): 1076-1086.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lastRenderedPageBreak/>
              <w:t xml:space="preserve">Koehler, A.-K., M. Sottocornola,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(2011) How strong is the current carbon sequestration of an Atlantic blanket bog? Global Change Biology 17(1): 309-319.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 xml:space="preserve">Koizumi, H., M.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>Kontturi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(1999) Soil respiration in three soil types in agricultural ecosystems in Finland.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Acta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Agriculturae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Scandinavica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Section B-Soil and Plant Science 49(2): 65-74.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Kroon, P. S., A. P.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Schrier-Uijl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(2010) Annual balances of CH(4) and N(2)O from a managed fen meadow using eddy covariance flux measurements. European Journal of Soil Science 61(5): 773-784.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 xml:space="preserve">Leifeld, J., L.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>Gubler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(2011a) Organic matter losses from temperate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ombrotrophic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: an evaluation of the ash residue method. Plant and Soil 341(1-2): 349-361.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Lloyd, C. R. (2006) Annual carbon balance of a managed wetland meadow in the Somerset Levels, UK. Agricultural and Forest Meteorology 138(1-4): 168-179.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Maljanen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M., B. D.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Sigurdsson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(2010a) Greenhouse gas balances of managed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in the Nordic countries - present knowledge and gaps.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Biogeosciences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7(9): 2711-2738.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Relevant Review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Maljanen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M., J.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Hytonen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, et al. (2007a) Greenhouse gas emissions from cultivated and abandoned organic croplands in Finland. Boreal Environment Research 12(2): 133-140.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No data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Maljanen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M., M.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Martikkala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, et al. (2007b) Fluxes of nitrous oxide and nitric oxide from experimental excreta patches in boreal agricultural soil. Soil Biology &amp; Biochemistry 39(4): 914-920.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intervention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Minkkinen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K., R.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Korhonen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(2002) Carbon balance and radiative forcing of Finnish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1900-2100 - the impact of forestry drainage. Global Change Biology 8(8): 785-799.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Relevant Review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Moore, T. R. (1989) Influence of water table levels on methane and carbon dioxide emissions from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soils. (Journal Article).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intervention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Nieveen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J. P., C. M. J. Jacobs,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(1998) Diurnal and seasonal variation of carbon dioxide exchange from a former true raised bog. Global Change Biology 4(8): 823-833.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Nieveen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, J. P., D. I. Campbell, et al. (2005) Carbon exchange of grazed pasture on a drained peat soil. Global Change Biology 11(4): 607-618.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Petrone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R. M., J. M. Waddington, et al. (2001) Ecosystem scale evapotranspiration and net CO2 exchange from a restored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. Hydrological Processes 15(14): 2839-2845.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Petrone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R. M., J. M. Waddington, et al. (2003) Ecosystem-scale flux of CO2 from a restored vacuum harvested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. 11(6): 419-432.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Pol-van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Dasselaar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A. V. D., W. J.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Corre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(1998) Spatial variability of methane, nitrous oxide, and carbon dioxide emissions from drained grasslands. Soil Science Society of America Journal 62(3): 810-817.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Rantakari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M., T.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Mattsson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(2010) Organic and inorganic carbon concentrations and fluxes from managed and unmanaged boreal first-order catchments. Science of the Total Environment 408(7): 1649-1658.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Rojstaczer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S. And S. J.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Deverel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(1995) LAND SUBSIDENCE IN DRAINED HISTOSOLS AND HIGHLY ORGANIC MINERAL SOILS OF CALIFORNIA. Soil Science Society of America Journal 59(4): 1162-1167.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Schothorst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C. J. (1977) Subsidence of low moor peat soils in the Western Netherlands.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Geoderma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17(4): 265-291.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outcome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>Gambolati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 xml:space="preserve">, G., M. Putti,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(2005) Peat land oxidation enhances subsidence in the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venice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watershed. Eos 86(23).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No data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Schrier-Uijl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A. P., E. M. Veenendaal,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(2008) Spatial and temporal variation of methane emissions in drained eutrophic peat agro-ecosystems: Drainage ditches as emission hotspots.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Biogeosciences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Discussions 5(2): 1237-1261.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Other (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Superceded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by more recent study (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Schrier-Uijl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2010))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Schrier-Uijl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, A. P., P. S. Kroon,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(2010) Methane emissions in two drained peat agro-ecosystems with high and low agricultural intensity. Plant and Soil 329(1-2): 509-520.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Other (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Superceded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by more detailed study (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Schrier-Uijl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2010))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lastRenderedPageBreak/>
              <w:t>Adkinson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A. C. And E. R. Humphreys  (2011) The response of carbon dioxide exchange to manipulations of Sphagnum water content in an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ombrotrophic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bog. Boreal Environment Research 12(2): 191-209.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Unsuitable timescale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Teklemariam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T. A. (2010) Direct and indirect effects of inter-annual meteorological variability on ecosystem carbon dioxide exchange at a temperate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ombrotrophic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bog (Journal Article).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Turbiak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J., Z.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Cieślin´ski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(2001) Losses of organic matter in a deeply drained shallow peat-muck soil transformed by the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agri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-reclamation ploughing.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Woda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Środowisko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Obszary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Wiejskie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1(2(2)): 91-102.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outcome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Van den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Bos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, R. (2003) Restoration of former wetlands in the Netherlands; effect on the balance between CO2 sink and CH4 source. Netherlands Journal of Geosciences-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Geologie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En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Mijnbouw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82(4): 325-331.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comparator, Other (Study reports CH4 emission and uptake for various peats worldwide from literature (no relevant comparator))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Waddington, J. M. And P.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Mcneill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(2002) Peat oxidation in an abandoned cutover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. Canadian Journal of Soil Science 82(3): 279-286.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Waddington, J. M., P. A. Rotenberg, et al. (2000) Peat CO2 production in a natural and cutover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: Implications for restoration. Biogeochemistry (Dordrecht) 54(2): 115-130.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Ex situ incubation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Schipper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L. A. (1994) Methane production and emissions from four reclaimed and pristine wetlands of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southeastern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United States. (Journal Article).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>Weslien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 xml:space="preserve">, P., A. K.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>Klemedtsson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de-DE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(2009) Strong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ph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influence on N(2)O and CH(4) fluxes from forested organic soils. European Journal of Soil Science 60(3): 311-320.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Wilson, D., E.-S.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Tuittila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et al. (2007) Carbon dioxide dynamics of a restored maritime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Ecoscience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14(1): 71-80.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Wilson, D., J.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Alm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(2009) Rewetting of Cutaway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: Are We Re-Creating Hot Spots of Methane Emissions? Restoration Ecology 17(6): 796-806.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Nazaruk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G. And E.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Kaca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(1999)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subsidence on the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Wizna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study area with a functioning irrigation-drainage system made of ceramic drains. Journal of Water and Land Development(3): 77-89.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outcome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>Yli-Petays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fr-FR"/>
              </w:rPr>
              <w:t xml:space="preserve">, M., J. Laine,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(2007) Carbon gas exchange of a re-vegetated cut-away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five decades after abandonment. Boreal Environment Research 12(2): 177-190.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Berglund, K. (2000) Cultivating away organic soils.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Kungl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Skogs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och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Lantbruksakademiens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Tidskrift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139(16): 25-28.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outcome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Velthof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et al. (1996) SPATIAL VARIABILITY OF NITROUS OXIDE FLUXES IN MO'WN AND GRAZED GRASSLANDS ON A POORLY DRAINED CLAY SOIL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Soil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Biology and Biochemistry 28(9); 1215-1225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Velthof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et al. (1997) Effects of type and amount of applied nitrogen fertilizer on nitrous oxide fluxes from intensively managed grassland Nutrient Cycling in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Agroecosystems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46; 257-267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Gorham (1991) Northern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: Role in the carbon cycle and probable responses to climatic warming Ecological Applications 1(2); 182-195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intervention, 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Hoper et al (2008) Restoration of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and greenhouse gas balances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and Climate Change (book)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Relevant Review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Van der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Werf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et al (2009) CO2 emissions from forest loss Nature Geoscience 2; 737-738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Freeman et al (1993) Fluxes of CO,, CH, and N,O from a Welsh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following simulation of water table draw-down: Potential feedback to climatic change Biogeochemistry 19; 51-60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Ex situ incubation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Cannell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et al  (1993) Conifer plantations on drained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in Britain: a net gain or loss of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lastRenderedPageBreak/>
              <w:t>carbon? Forestry 66(4); 353-369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lastRenderedPageBreak/>
              <w:t>No data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lastRenderedPageBreak/>
              <w:t xml:space="preserve">Braun (2005) Spatial and temporal variation in greenhouse gas flux as affected by mowing on grasslands of hummocky terrain in Saskatchewan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phd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Thesis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Armstrong, A., J. Holden,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(2010) The impact of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drain-blocking on dissolved organic carbon loss and discolouration of water; results from a national survey. Journal of Hydrology 381(1-2): 112-120.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Chapman, S. J. And M.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Thurlow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(1996) The influence of climate on CO2 and CH4 emissions from organic soils. Agricultural and Forest Meteorology 79(4): 205-217.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Velthof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(1997) Nitrous oxide emission from grasslands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phd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Thesis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Other (Chapters published independently as publications included in this review already)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Van den Pol-van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Dasselaar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 (1999a)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Methane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emissions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from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>grasslands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Phd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Thesis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Other (Chapters published independently as publications included in this review already)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Anon (2009) Proceedings on the Wind Farms on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Santiago de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Compostela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Spain, 27-30 April 2008 Proceedings on the Wind Farms on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Peatland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Santiago de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Compostela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Spain, 27-30 April 2008,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Jyväskylä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, International Peat Society.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Other (Various individual papers - none included)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Scottish Executive  (2007)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Ecosse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- Estimating Carbon in Organic Soils, Sequestration and emissions,  177 pp.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Scottosh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Executive, Edinburgh. Http://www.scotland.gov.uk/Publications/2007/03/16170508 (accessed August 2008).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population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Whalen SC  (2005) Biogeochemistry of methane exchange between natural wetlands and the atmosphere. Environmental Engineering Science, 22, 73-94.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Relevant Review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Basiliko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N., T. R. Moore, et al.  (2006) Nutrient input and carbon and microbial dynamics in an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ombrotrophic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bog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Geomicrobiology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Journal 23(7): 531-543.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Ex situ incubation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Dunfield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P. F., E.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Topp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, et al.  (1995) EFFECT OF NITROGEN FERTILIZERS AND MOISTURE-CONTENT ON CH4 AND N2O FLUXES IN A HUMISOL - MEASUREMENTS IN THE FIELD AND INTACT SOIL CORES Biogeochemistry 29(3): 199-222.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Unsuitable timescale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Glatzel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S., I.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Forbrich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et al. (2008) Small scale controls of greenhouse gas release under elevated N deposition rates in a restoring peat bog in NW Germany.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Biogeosciences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5(3): 925-935.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comparator, Ex situ incubation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Song, C. And J. Zhang (2009) Effects of soil moisture, temperature, and nitrogen fertilization on soil respiration and nitrous oxide emission during maize growth period in northeast China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Acta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Agriculturae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Scandinavica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Section B-Soil and Plant Science 59(2): 97-106.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Watson, A. And D. B.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Nedwell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(1998) Methane production and emission from peat: the influence of anions (sulphate, nitrate) from acid rain Atmospheric Environment 32(19): 3239-3245.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nl-NL"/>
              </w:rPr>
              <w:t xml:space="preserve">Wendel, S., T. Moore,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(2011) Experimental nitrogen, phosphorus, and potassium deposition decreases summer soil temperatures, water contents, and soil CO(2) concentrations in a northern bog </w:t>
            </w:r>
            <w:proofErr w:type="spellStart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Biogeosciences</w:t>
            </w:r>
            <w:proofErr w:type="spellEnd"/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8(3): 585-595.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  <w:tr w:rsidR="006C1617" w:rsidRPr="006C1617" w:rsidTr="006C1617">
        <w:trPr>
          <w:trHeight w:val="300"/>
        </w:trPr>
        <w:tc>
          <w:tcPr>
            <w:tcW w:w="8506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es-ES"/>
              </w:rPr>
              <w:t>Gundogan</w:t>
            </w:r>
            <w:proofErr w:type="spellEnd"/>
            <w:r w:rsidRPr="00BC5FDA">
              <w:rPr>
                <w:rFonts w:ascii="Calibri" w:eastAsia="Times New Roman" w:hAnsi="Calibri"/>
                <w:color w:val="000000"/>
                <w:sz w:val="22"/>
                <w:szCs w:val="22"/>
                <w:lang w:val="es-ES"/>
              </w:rPr>
              <w:t xml:space="preserve">, R., N. Hall, et al. </w:t>
            </w: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(2010) THE EFFECTS OF ARTIFICIAL DRAINAGE ON SOIL CHARACTERISTICS OF A PEATLAND ECOSYSTEM IN SOUTHEAST TURKEY. Fresenius Environmental Bulletin 19(10): 2239-2245.</w:t>
            </w:r>
          </w:p>
        </w:tc>
        <w:tc>
          <w:tcPr>
            <w:tcW w:w="2410" w:type="dxa"/>
            <w:noWrap/>
            <w:hideMark/>
          </w:tcPr>
          <w:p w:rsidR="006C1617" w:rsidRPr="006C1617" w:rsidRDefault="006C1617" w:rsidP="006C161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C1617">
              <w:rPr>
                <w:rFonts w:ascii="Calibri" w:eastAsia="Times New Roman" w:hAnsi="Calibri"/>
                <w:color w:val="000000"/>
                <w:sz w:val="22"/>
                <w:szCs w:val="22"/>
              </w:rPr>
              <w:t>Lack of relevant comparator</w:t>
            </w:r>
          </w:p>
        </w:tc>
      </w:tr>
    </w:tbl>
    <w:p w:rsidR="006C1617" w:rsidRPr="00CA3EE9" w:rsidRDefault="006C1617" w:rsidP="004D353B"/>
    <w:sectPr w:rsidR="006C1617" w:rsidRPr="00CA3EE9" w:rsidSect="00BE731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12C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410286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61A7070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3C00714"/>
    <w:multiLevelType w:val="hybridMultilevel"/>
    <w:tmpl w:val="60B8D0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086E"/>
    <w:rsid w:val="000062A6"/>
    <w:rsid w:val="00014E39"/>
    <w:rsid w:val="00054962"/>
    <w:rsid w:val="00092FA8"/>
    <w:rsid w:val="0009552D"/>
    <w:rsid w:val="000C1623"/>
    <w:rsid w:val="000E0E71"/>
    <w:rsid w:val="001115F5"/>
    <w:rsid w:val="00144C2A"/>
    <w:rsid w:val="00153D60"/>
    <w:rsid w:val="00172FAF"/>
    <w:rsid w:val="00176B14"/>
    <w:rsid w:val="00192050"/>
    <w:rsid w:val="00213789"/>
    <w:rsid w:val="00300DA7"/>
    <w:rsid w:val="00351851"/>
    <w:rsid w:val="003B639E"/>
    <w:rsid w:val="003D2F5F"/>
    <w:rsid w:val="003F086E"/>
    <w:rsid w:val="004216A6"/>
    <w:rsid w:val="00450E0A"/>
    <w:rsid w:val="00460C70"/>
    <w:rsid w:val="004746C9"/>
    <w:rsid w:val="004A1E81"/>
    <w:rsid w:val="004B6FA9"/>
    <w:rsid w:val="004D353B"/>
    <w:rsid w:val="005107BE"/>
    <w:rsid w:val="00520953"/>
    <w:rsid w:val="005D6C96"/>
    <w:rsid w:val="005F0C0C"/>
    <w:rsid w:val="006A3533"/>
    <w:rsid w:val="006C1617"/>
    <w:rsid w:val="006C3D09"/>
    <w:rsid w:val="006D4377"/>
    <w:rsid w:val="007004D0"/>
    <w:rsid w:val="00702F30"/>
    <w:rsid w:val="00703259"/>
    <w:rsid w:val="007065A4"/>
    <w:rsid w:val="00744797"/>
    <w:rsid w:val="00776C37"/>
    <w:rsid w:val="00790877"/>
    <w:rsid w:val="007B3E90"/>
    <w:rsid w:val="0081131E"/>
    <w:rsid w:val="0081766B"/>
    <w:rsid w:val="00822711"/>
    <w:rsid w:val="00827A78"/>
    <w:rsid w:val="00841867"/>
    <w:rsid w:val="00855C31"/>
    <w:rsid w:val="00881400"/>
    <w:rsid w:val="008850EA"/>
    <w:rsid w:val="00895FEE"/>
    <w:rsid w:val="008C2D14"/>
    <w:rsid w:val="008C2FD8"/>
    <w:rsid w:val="008F1AB0"/>
    <w:rsid w:val="0095457D"/>
    <w:rsid w:val="009616B1"/>
    <w:rsid w:val="00967625"/>
    <w:rsid w:val="0098493A"/>
    <w:rsid w:val="009B7CDD"/>
    <w:rsid w:val="009C72D1"/>
    <w:rsid w:val="009F6C6E"/>
    <w:rsid w:val="00A00DB4"/>
    <w:rsid w:val="00A35220"/>
    <w:rsid w:val="00AD45A7"/>
    <w:rsid w:val="00B0098D"/>
    <w:rsid w:val="00B02EDB"/>
    <w:rsid w:val="00B13E0D"/>
    <w:rsid w:val="00B73F4E"/>
    <w:rsid w:val="00B86C46"/>
    <w:rsid w:val="00B92BBD"/>
    <w:rsid w:val="00BC5FDA"/>
    <w:rsid w:val="00BE731C"/>
    <w:rsid w:val="00BE7466"/>
    <w:rsid w:val="00BF5B01"/>
    <w:rsid w:val="00BF68A7"/>
    <w:rsid w:val="00C36D53"/>
    <w:rsid w:val="00C44DB3"/>
    <w:rsid w:val="00C46717"/>
    <w:rsid w:val="00C47B13"/>
    <w:rsid w:val="00C81F2D"/>
    <w:rsid w:val="00C9287F"/>
    <w:rsid w:val="00CA3EE9"/>
    <w:rsid w:val="00CA788F"/>
    <w:rsid w:val="00CB0A48"/>
    <w:rsid w:val="00CC399A"/>
    <w:rsid w:val="00CD1EC4"/>
    <w:rsid w:val="00CD71E4"/>
    <w:rsid w:val="00D1102B"/>
    <w:rsid w:val="00D829E8"/>
    <w:rsid w:val="00DE6FA2"/>
    <w:rsid w:val="00E07E41"/>
    <w:rsid w:val="00E42CF8"/>
    <w:rsid w:val="00E94125"/>
    <w:rsid w:val="00EB1A3B"/>
    <w:rsid w:val="00ED0404"/>
    <w:rsid w:val="00EF3F67"/>
    <w:rsid w:val="00F27903"/>
    <w:rsid w:val="00F3408E"/>
    <w:rsid w:val="00F37DF9"/>
    <w:rsid w:val="00F4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08E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408E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3408E"/>
    <w:pPr>
      <w:keepNext/>
      <w:keepLines/>
      <w:numPr>
        <w:ilvl w:val="1"/>
        <w:numId w:val="3"/>
      </w:numPr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3408E"/>
    <w:pPr>
      <w:keepNext/>
      <w:keepLines/>
      <w:numPr>
        <w:ilvl w:val="2"/>
        <w:numId w:val="3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3408E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3408E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3408E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3408E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3408E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3408E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3408E"/>
    <w:rPr>
      <w:rFonts w:eastAsiaTheme="majorEastAsia" w:cstheme="majorBidi"/>
      <w:b/>
      <w:bCs/>
      <w:sz w:val="32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F3408E"/>
    <w:rPr>
      <w:rFonts w:eastAsiaTheme="majorEastAsia" w:cstheme="majorBidi"/>
      <w:b/>
      <w:bCs/>
      <w:sz w:val="28"/>
      <w:szCs w:val="26"/>
      <w:lang w:eastAsia="en-GB"/>
    </w:rPr>
  </w:style>
  <w:style w:type="table" w:styleId="TableGrid">
    <w:name w:val="Table Grid"/>
    <w:basedOn w:val="TableNormal"/>
    <w:rsid w:val="00F34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F3408E"/>
    <w:rPr>
      <w:rFonts w:eastAsiaTheme="majorEastAsia" w:cstheme="majorBidi"/>
      <w:b/>
      <w:bCs/>
      <w:sz w:val="24"/>
      <w:szCs w:val="24"/>
      <w:lang w:eastAsia="en-GB"/>
    </w:rPr>
  </w:style>
  <w:style w:type="numbering" w:styleId="111111">
    <w:name w:val="Outline List 2"/>
    <w:basedOn w:val="NoList"/>
    <w:rsid w:val="00F3408E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semiHidden/>
    <w:rsid w:val="00F340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F340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semiHidden/>
    <w:rsid w:val="00F3408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F3408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semiHidden/>
    <w:rsid w:val="00F3408E"/>
    <w:rPr>
      <w:rFonts w:asciiTheme="majorHAnsi" w:eastAsiaTheme="majorEastAsia" w:hAnsiTheme="majorHAnsi" w:cstheme="majorBidi"/>
      <w:color w:val="404040" w:themeColor="text1" w:themeTint="BF"/>
      <w:lang w:eastAsia="en-GB"/>
    </w:rPr>
  </w:style>
  <w:style w:type="character" w:customStyle="1" w:styleId="Heading9Char">
    <w:name w:val="Heading 9 Char"/>
    <w:basedOn w:val="DefaultParagraphFont"/>
    <w:link w:val="Heading9"/>
    <w:semiHidden/>
    <w:rsid w:val="00F3408E"/>
    <w:rPr>
      <w:rFonts w:asciiTheme="majorHAnsi" w:eastAsiaTheme="majorEastAsia" w:hAnsiTheme="majorHAnsi" w:cstheme="majorBidi"/>
      <w:i/>
      <w:iCs/>
      <w:color w:val="404040" w:themeColor="text1" w:themeTint="BF"/>
      <w:lang w:eastAsia="en-GB"/>
    </w:rPr>
  </w:style>
  <w:style w:type="paragraph" w:styleId="Header">
    <w:name w:val="header"/>
    <w:basedOn w:val="Normal"/>
    <w:link w:val="HeaderChar"/>
    <w:uiPriority w:val="99"/>
    <w:rsid w:val="00F3408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3408E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F3408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3408E"/>
    <w:rPr>
      <w:rFonts w:eastAsia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rsid w:val="00F3408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3408E"/>
    <w:pPr>
      <w:jc w:val="center"/>
    </w:pPr>
    <w:rPr>
      <w:rFonts w:eastAsia="Times New Roman"/>
      <w:b/>
      <w:bCs/>
      <w:smallCaps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3408E"/>
    <w:rPr>
      <w:rFonts w:eastAsia="Times New Roman"/>
      <w:b/>
      <w:bCs/>
      <w:smallCaps/>
      <w:sz w:val="28"/>
      <w:szCs w:val="24"/>
    </w:rPr>
  </w:style>
  <w:style w:type="character" w:styleId="Hyperlink">
    <w:name w:val="Hyperlink"/>
    <w:basedOn w:val="DefaultParagraphFont"/>
    <w:uiPriority w:val="99"/>
    <w:rsid w:val="00F3408E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F3408E"/>
    <w:rPr>
      <w:rFonts w:cs="Times New Roman"/>
      <w:i/>
      <w:iCs/>
    </w:rPr>
  </w:style>
  <w:style w:type="paragraph" w:styleId="BalloonText">
    <w:name w:val="Balloon Text"/>
    <w:basedOn w:val="Normal"/>
    <w:link w:val="BalloonTextChar"/>
    <w:rsid w:val="00F3408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08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normaltext-white">
    <w:name w:val="normaltext-white"/>
    <w:basedOn w:val="DefaultParagraphFont"/>
    <w:uiPriority w:val="99"/>
    <w:rsid w:val="00F3408E"/>
    <w:rPr>
      <w:rFonts w:cs="Times New Roman"/>
    </w:rPr>
  </w:style>
  <w:style w:type="paragraph" w:customStyle="1" w:styleId="Default">
    <w:name w:val="Default"/>
    <w:rsid w:val="00F3408E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A3EE9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CA3EE9"/>
    <w:pPr>
      <w:spacing w:after="200"/>
    </w:pPr>
    <w:rPr>
      <w:b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Heading1Char">
    <w:name w:val="11111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24B79-7B25-4CB8-BBB8-A5002613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2730</Words>
  <Characters>15566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Prifysgol Bangor University</Company>
  <LinksUpToDate>false</LinksUpToDate>
  <CharactersWithSpaces>18260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osse06</dc:creator>
  <cp:lastModifiedBy>Etherington, Russell, BioMed Central Ltd.</cp:lastModifiedBy>
  <cp:revision>2</cp:revision>
  <dcterms:created xsi:type="dcterms:W3CDTF">2014-02-17T15:08:00Z</dcterms:created>
  <dcterms:modified xsi:type="dcterms:W3CDTF">2014-02-17T15:08:00Z</dcterms:modified>
</cp:coreProperties>
</file>