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6B" w:rsidRPr="00CA3EE9" w:rsidRDefault="006935EF" w:rsidP="00CA3EE9">
      <w:pPr>
        <w:jc w:val="both"/>
        <w:rPr>
          <w:b/>
          <w:sz w:val="36"/>
        </w:rPr>
      </w:pPr>
      <w:r>
        <w:rPr>
          <w:b/>
          <w:sz w:val="36"/>
        </w:rPr>
        <w:t xml:space="preserve">Additional File </w:t>
      </w:r>
      <w:r w:rsidR="00A3349F">
        <w:rPr>
          <w:b/>
          <w:sz w:val="36"/>
        </w:rPr>
        <w:t>8</w:t>
      </w:r>
      <w:bookmarkStart w:id="0" w:name="_GoBack"/>
      <w:bookmarkEnd w:id="0"/>
    </w:p>
    <w:p w:rsidR="00CA3EE9" w:rsidRDefault="00076681" w:rsidP="004D353B">
      <w:pPr>
        <w:jc w:val="both"/>
        <w:rPr>
          <w:b/>
          <w:sz w:val="32"/>
        </w:rPr>
      </w:pPr>
      <w:r>
        <w:rPr>
          <w:b/>
          <w:sz w:val="32"/>
        </w:rPr>
        <w:t>Data Extraction Proforma</w:t>
      </w:r>
      <w:r w:rsidR="00F77E3E">
        <w:rPr>
          <w:b/>
          <w:sz w:val="32"/>
        </w:rPr>
        <w:t xml:space="preserve"> and Strategy</w:t>
      </w:r>
    </w:p>
    <w:p w:rsidR="004D353B" w:rsidRDefault="004D353B" w:rsidP="004D353B"/>
    <w:p w:rsidR="006C1617" w:rsidRDefault="006C1617" w:rsidP="004D353B"/>
    <w:p w:rsidR="006C1617" w:rsidRDefault="006C1617" w:rsidP="00A815F8">
      <w:pPr>
        <w:spacing w:after="120"/>
      </w:pPr>
      <w:r>
        <w:t>Table A</w:t>
      </w:r>
      <w:r w:rsidR="00076681">
        <w:t>7</w:t>
      </w:r>
      <w:r>
        <w:t>.</w:t>
      </w:r>
      <w:r w:rsidR="00A815F8">
        <w:t>1</w:t>
      </w:r>
      <w:r w:rsidR="007457A1">
        <w:t>.</w:t>
      </w:r>
      <w:r>
        <w:t xml:space="preserve"> </w:t>
      </w:r>
      <w:r w:rsidR="00076681">
        <w:t>Tabulated layout for data extraction spreadsheet.</w:t>
      </w:r>
    </w:p>
    <w:tbl>
      <w:tblPr>
        <w:tblStyle w:val="TableGrid"/>
        <w:tblW w:w="0" w:type="auto"/>
        <w:tblLook w:val="04A0" w:firstRow="1" w:lastRow="0" w:firstColumn="1" w:lastColumn="0" w:noHBand="0" w:noVBand="1"/>
      </w:tblPr>
      <w:tblGrid>
        <w:gridCol w:w="2543"/>
        <w:gridCol w:w="6679"/>
      </w:tblGrid>
      <w:tr w:rsidR="00076681" w:rsidRPr="00076681" w:rsidTr="00076681">
        <w:trPr>
          <w:trHeight w:val="300"/>
        </w:trPr>
        <w:tc>
          <w:tcPr>
            <w:tcW w:w="2543" w:type="dxa"/>
            <w:noWrap/>
            <w:hideMark/>
          </w:tcPr>
          <w:p w:rsidR="00076681" w:rsidRPr="00076681" w:rsidRDefault="00076681" w:rsidP="00076681">
            <w:pPr>
              <w:spacing w:after="120"/>
              <w:rPr>
                <w:b/>
              </w:rPr>
            </w:pPr>
            <w:r w:rsidRPr="00076681">
              <w:rPr>
                <w:b/>
              </w:rPr>
              <w:t>Variable</w:t>
            </w:r>
          </w:p>
        </w:tc>
        <w:tc>
          <w:tcPr>
            <w:tcW w:w="6679" w:type="dxa"/>
            <w:noWrap/>
            <w:hideMark/>
          </w:tcPr>
          <w:p w:rsidR="00076681" w:rsidRPr="00076681" w:rsidRDefault="00076681" w:rsidP="00076681">
            <w:pPr>
              <w:spacing w:after="120"/>
              <w:rPr>
                <w:b/>
              </w:rPr>
            </w:pPr>
            <w:r w:rsidRPr="00076681">
              <w:rPr>
                <w:b/>
              </w:rPr>
              <w:t>Data</w:t>
            </w:r>
          </w:p>
        </w:tc>
      </w:tr>
      <w:tr w:rsidR="00076681" w:rsidRPr="00076681" w:rsidTr="00076681">
        <w:trPr>
          <w:trHeight w:val="300"/>
        </w:trPr>
        <w:tc>
          <w:tcPr>
            <w:tcW w:w="2543" w:type="dxa"/>
            <w:noWrap/>
            <w:hideMark/>
          </w:tcPr>
          <w:p w:rsidR="00076681" w:rsidRPr="00076681" w:rsidRDefault="00076681" w:rsidP="00076681">
            <w:pPr>
              <w:spacing w:after="120"/>
            </w:pPr>
            <w:r w:rsidRPr="00076681">
              <w:t>Author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Year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Title</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Journal</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Region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Country</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Soil description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Intervention/ Exposure</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Comparator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Intervention Category</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Outcomes</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Design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Method</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Data location in paper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Data format</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Reported Units</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Mean comparator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Mean intervention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SD comparator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SD intervention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n comparator</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n intervention</w:t>
            </w:r>
          </w:p>
        </w:tc>
        <w:tc>
          <w:tcPr>
            <w:tcW w:w="6679" w:type="dxa"/>
            <w:noWrap/>
            <w:hideMark/>
          </w:tcPr>
          <w:p w:rsidR="00076681" w:rsidRPr="00076681" w:rsidRDefault="00076681" w:rsidP="00076681">
            <w:pPr>
              <w:spacing w:after="120"/>
            </w:pPr>
          </w:p>
        </w:tc>
      </w:tr>
      <w:tr w:rsidR="00076681" w:rsidRPr="00076681" w:rsidTr="00076681">
        <w:trPr>
          <w:trHeight w:val="300"/>
        </w:trPr>
        <w:tc>
          <w:tcPr>
            <w:tcW w:w="2543" w:type="dxa"/>
            <w:noWrap/>
            <w:hideMark/>
          </w:tcPr>
          <w:p w:rsidR="00076681" w:rsidRPr="00076681" w:rsidRDefault="00076681" w:rsidP="00076681">
            <w:pPr>
              <w:spacing w:after="120"/>
            </w:pPr>
            <w:r w:rsidRPr="00076681">
              <w:t>Comments</w:t>
            </w:r>
          </w:p>
        </w:tc>
        <w:tc>
          <w:tcPr>
            <w:tcW w:w="6679" w:type="dxa"/>
            <w:noWrap/>
            <w:hideMark/>
          </w:tcPr>
          <w:p w:rsidR="00076681" w:rsidRPr="00076681" w:rsidRDefault="00076681" w:rsidP="00076681">
            <w:pPr>
              <w:spacing w:after="120"/>
            </w:pPr>
          </w:p>
        </w:tc>
      </w:tr>
    </w:tbl>
    <w:p w:rsidR="002B34A4" w:rsidRDefault="002B34A4" w:rsidP="00A815F8">
      <w:pPr>
        <w:spacing w:after="120"/>
      </w:pPr>
    </w:p>
    <w:p w:rsidR="002B34A4" w:rsidRDefault="002B34A4">
      <w:r>
        <w:br w:type="page"/>
      </w:r>
    </w:p>
    <w:p w:rsidR="002B34A4" w:rsidRDefault="002B34A4" w:rsidP="002B34A4">
      <w:pPr>
        <w:pStyle w:val="Heading2"/>
        <w:numPr>
          <w:ilvl w:val="0"/>
          <w:numId w:val="0"/>
        </w:numPr>
      </w:pPr>
      <w:r>
        <w:lastRenderedPageBreak/>
        <w:t>Data Extraction Strategy</w:t>
      </w:r>
    </w:p>
    <w:p w:rsidR="002B34A4" w:rsidRPr="002B34A4" w:rsidRDefault="002B34A4" w:rsidP="002B34A4"/>
    <w:p w:rsidR="002B34A4" w:rsidRPr="004C3ADA" w:rsidRDefault="002B34A4" w:rsidP="002B34A4">
      <w:r w:rsidRPr="004C3ADA">
        <w:t>The following illustrate the key decisions made when presented with choices in data extraction.</w:t>
      </w:r>
    </w:p>
    <w:p w:rsidR="002B34A4" w:rsidRDefault="002B34A4" w:rsidP="002B34A4"/>
    <w:p w:rsidR="002B34A4" w:rsidRDefault="002B34A4" w:rsidP="002B34A4">
      <w:pPr>
        <w:pStyle w:val="ListParagraph"/>
        <w:numPr>
          <w:ilvl w:val="0"/>
          <w:numId w:val="14"/>
        </w:numPr>
      </w:pPr>
      <w:r>
        <w:t>BACI (before-after-comparator-intervention) study design data were converted to change-over-time for intervention and comparator data by subtracting baselines from the latest point of measurement. An effect size based on difference between the intervention and comparator could then be calculated.</w:t>
      </w:r>
    </w:p>
    <w:p w:rsidR="002B34A4" w:rsidRDefault="002B34A4" w:rsidP="002B34A4">
      <w:pPr>
        <w:pStyle w:val="ListParagraph"/>
        <w:numPr>
          <w:ilvl w:val="0"/>
          <w:numId w:val="14"/>
        </w:numPr>
      </w:pPr>
      <w:r>
        <w:t>Where multiple years following an intervention were reported, data from the latest time point were used as ‘after’ data, since land management changes are likely to act over long periods of time. Data collected from within 12 months of the intervention was excluded where later data was available. In one study where ‘after’ data appeared highly variable, data from multiple years was pooled so as to be more conservative.</w:t>
      </w:r>
    </w:p>
    <w:p w:rsidR="002B34A4" w:rsidRDefault="002B34A4" w:rsidP="002B34A4">
      <w:pPr>
        <w:pStyle w:val="ListParagraph"/>
        <w:numPr>
          <w:ilvl w:val="0"/>
          <w:numId w:val="14"/>
        </w:numPr>
      </w:pPr>
      <w:r>
        <w:t xml:space="preserve">Where studies reported data from geographically separated sites or sites that were known to differ substantially in ecology, these data were treated as different study units, provided that both comparator and </w:t>
      </w:r>
      <w:r w:rsidRPr="005547DC">
        <w:t>intervention</w:t>
      </w:r>
      <w:r>
        <w:t xml:space="preserve"> data were present for each site. Hence, the unit of measurement in the synthesis was the </w:t>
      </w:r>
      <w:r w:rsidRPr="004C3ADA">
        <w:rPr>
          <w:i/>
        </w:rPr>
        <w:t>study site</w:t>
      </w:r>
      <w:r>
        <w:t>. Where measures of variability were not available for single sites, standard deviations were calculated across sites using site means.</w:t>
      </w:r>
    </w:p>
    <w:p w:rsidR="002B34A4" w:rsidRDefault="002B34A4" w:rsidP="002B34A4">
      <w:pPr>
        <w:pStyle w:val="ListParagraph"/>
        <w:numPr>
          <w:ilvl w:val="0"/>
          <w:numId w:val="14"/>
        </w:numPr>
      </w:pPr>
      <w:r>
        <w:t>Where spatial replicates were measured on more than one occasion (for example flux chambers measured over a year) the longest possible reporting period was used to gather a pooled mean and standard deviation.</w:t>
      </w:r>
    </w:p>
    <w:p w:rsidR="002B34A4" w:rsidRDefault="002B34A4" w:rsidP="002B34A4">
      <w:pPr>
        <w:pStyle w:val="ListParagraph"/>
        <w:numPr>
          <w:ilvl w:val="0"/>
          <w:numId w:val="14"/>
        </w:numPr>
      </w:pPr>
      <w:r w:rsidRPr="004E24E2">
        <w:t xml:space="preserve">Although technically pseudoreplication, the majority of studies did not replicate at </w:t>
      </w:r>
      <w:r w:rsidR="006871A1">
        <w:t>the intervention/exposure level. Therefore, so as to retain sufficient studies</w:t>
      </w:r>
      <w:r w:rsidRPr="004E24E2">
        <w:t xml:space="preserve"> any form of spatial replication was treated as an independent unit of replication. Sample size, therefore, was taken to be the number of samples taken across space, not time. Purely temporal replication</w:t>
      </w:r>
      <w:r w:rsidR="006871A1">
        <w:t xml:space="preserve"> (i.e. repeated measurements of the same sample)</w:t>
      </w:r>
      <w:r w:rsidRPr="004E24E2">
        <w:t xml:space="preserve"> was excluded from consideration. This was decided </w:t>
      </w:r>
      <w:r>
        <w:t xml:space="preserve">upon </w:t>
      </w:r>
      <w:r w:rsidRPr="004E24E2">
        <w:t xml:space="preserve">since </w:t>
      </w:r>
      <w:r>
        <w:t>such studies</w:t>
      </w:r>
      <w:r w:rsidRPr="004E24E2">
        <w:t xml:space="preserve"> </w:t>
      </w:r>
      <w:r>
        <w:t>violate</w:t>
      </w:r>
      <w:r w:rsidRPr="004E24E2">
        <w:t xml:space="preserve"> assumptions of independence of data. Furthermore, the results of models using temporal variability can only be generalised across time and not space. Spatial variability reported for multiple time periods was pooled (pooled standard deviation). Where temporal and spatial variability could not be discerned, data were included in the meta-analysis but sensitivity analysis was carried out to determine the implication of doing so.</w:t>
      </w:r>
      <w:r>
        <w:t xml:space="preserve"> Pooled standard deviations were calculated according to the equation;</w:t>
      </w:r>
    </w:p>
    <w:p w:rsidR="002B34A4" w:rsidRDefault="002B34A4" w:rsidP="002B34A4"/>
    <w:p w:rsidR="002B34A4" w:rsidRPr="004C3ADA" w:rsidRDefault="00A3349F" w:rsidP="002B34A4">
      <m:oMathPara>
        <m:oMath>
          <m:sSub>
            <m:sSubPr>
              <m:ctrlPr>
                <w:rPr>
                  <w:rFonts w:ascii="Cambria Math" w:hAnsi="Cambria Math"/>
                </w:rPr>
              </m:ctrlPr>
            </m:sSubPr>
            <m:e>
              <m:r>
                <w:rPr>
                  <w:rFonts w:ascii="Cambria Math" w:hAnsi="Cambria Math"/>
                </w:rPr>
                <m:t>SD</m:t>
              </m:r>
            </m:e>
            <m:sub>
              <m:r>
                <w:rPr>
                  <w:rFonts w:ascii="Cambria Math" w:hAnsi="Cambria Math"/>
                </w:rPr>
                <m:t>pooled</m:t>
              </m:r>
            </m:sub>
          </m:sSub>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-1</m:t>
                      </m:r>
                    </m:e>
                  </m:d>
                  <m:sSubSup>
                    <m:sSubSupPr>
                      <m:ctrlPr>
                        <w:rPr>
                          <w:rFonts w:ascii="Cambria Math" w:hAnsi="Cambria Math"/>
                        </w:rPr>
                      </m:ctrlPr>
                    </m:sSubSupPr>
                    <m:e>
                      <m:r>
                        <w:rPr>
                          <w:rFonts w:ascii="Cambria Math" w:hAnsi="Cambria Math"/>
                        </w:rPr>
                        <m:t>S</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-1</m:t>
                      </m:r>
                    </m:e>
                  </m:d>
                  <m:sSubSup>
                    <m:sSubSupPr>
                      <m:ctrlPr>
                        <w:rPr>
                          <w:rFonts w:ascii="Cambria Math" w:hAnsi="Cambria Math"/>
                        </w:rPr>
                      </m:ctrlPr>
                    </m:sSubSupPr>
                    <m:e>
                      <m:r>
                        <w:rPr>
                          <w:rFonts w:ascii="Cambria Math" w:hAnsi="Cambria Math"/>
                        </w:rPr>
                        <m:t>S</m:t>
                      </m:r>
                    </m:e>
                    <m:sub>
                      <m:r>
                        <m:rPr>
                          <m:sty m:val="p"/>
                        </m:rPr>
                        <w:rPr>
                          <w:rFonts w:ascii="Cambria Math" w:hAnsi="Cambria Math"/>
                        </w:rPr>
                        <m:t>2</m:t>
                      </m:r>
                    </m:sub>
                    <m:sup>
                      <m:r>
                        <m:rPr>
                          <m:sty m:val="p"/>
                        </m:rPr>
                        <w:rPr>
                          <w:rFonts w:ascii="Cambria Math" w:hAnsi="Cambria Math"/>
                        </w:rPr>
                        <m:t>2</m:t>
                      </m:r>
                    </m:sup>
                  </m:sSubSup>
                </m:num>
                <m:den>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-2</m:t>
                      </m:r>
                    </m:e>
                  </m:d>
                </m:den>
              </m:f>
            </m:e>
          </m:rad>
        </m:oMath>
      </m:oMathPara>
    </w:p>
    <w:p w:rsidR="002B34A4" w:rsidRPr="004E24E2" w:rsidRDefault="002B34A4" w:rsidP="002B34A4"/>
    <w:p w:rsidR="002B34A4" w:rsidRDefault="002B34A4" w:rsidP="002B34A4">
      <w:pPr>
        <w:pStyle w:val="ListParagraph"/>
        <w:numPr>
          <w:ilvl w:val="0"/>
          <w:numId w:val="14"/>
        </w:numPr>
      </w:pPr>
      <w:r>
        <w:t xml:space="preserve">Variability was converted from confidence intervals and standard errors into the common rubric of standard deviation where sample sizes were reported. Where details of sample size were not precise (for example “more than 30 samples were taken”) a conservative estimate was used based on best information; i.e. the </w:t>
      </w:r>
      <w:r w:rsidR="006871A1">
        <w:t>smaller</w:t>
      </w:r>
      <w:r>
        <w:t xml:space="preserve"> sample size was used in further calculations. Where no measure of variability was provided, means were extracted for inclusion in narrative synthesis alone.</w:t>
      </w:r>
    </w:p>
    <w:p w:rsidR="002B34A4" w:rsidRDefault="002B34A4" w:rsidP="002B34A4">
      <w:pPr>
        <w:pStyle w:val="ListParagraph"/>
        <w:numPr>
          <w:ilvl w:val="0"/>
          <w:numId w:val="14"/>
        </w:numPr>
      </w:pPr>
      <w:r>
        <w:t xml:space="preserve">Where data were reported over within-site spatial scales that were not commonly reported enough to allow inclusion as effect modifiers across studies (for example soil depth or peat microform), means and standard deviations were pooled and reported as summary statistics for that replicate. </w:t>
      </w:r>
    </w:p>
    <w:p w:rsidR="002B34A4" w:rsidRDefault="002B34A4" w:rsidP="002B34A4">
      <w:pPr>
        <w:pStyle w:val="ListParagraph"/>
        <w:numPr>
          <w:ilvl w:val="0"/>
          <w:numId w:val="14"/>
        </w:numPr>
      </w:pPr>
      <w:r>
        <w:lastRenderedPageBreak/>
        <w:t>Where multiple interventions or exposures were recorded across a gradient (for example drained and partially drained relative to an undrained control) data were extracted for the more extreme case (for example fully drained rather than partially drained). This was to ensure the fullest extent of the study results was included in the meta-analysis.</w:t>
      </w:r>
    </w:p>
    <w:p w:rsidR="002B34A4" w:rsidRDefault="002B34A4" w:rsidP="002B34A4">
      <w:pPr>
        <w:pStyle w:val="ListParagraph"/>
        <w:numPr>
          <w:ilvl w:val="0"/>
          <w:numId w:val="14"/>
        </w:numPr>
      </w:pPr>
      <w:r>
        <w:t xml:space="preserve">Where </w:t>
      </w:r>
      <w:r w:rsidR="006871A1">
        <w:t>multiple potential interventions/exposures were reported within one manuscript/study and they did</w:t>
      </w:r>
      <w:r>
        <w:t xml:space="preserve"> not have an obvious comparator, a meaningful comparator was chosen such that there was consistency between studies concerning the same land management.</w:t>
      </w:r>
    </w:p>
    <w:p w:rsidR="002B34A4" w:rsidRDefault="002B34A4" w:rsidP="002B34A4">
      <w:pPr>
        <w:pStyle w:val="ListParagraph"/>
        <w:numPr>
          <w:ilvl w:val="0"/>
          <w:numId w:val="14"/>
        </w:numPr>
      </w:pPr>
      <w:r>
        <w:t xml:space="preserve">For studies that examined exposures rather than interventions, the comparator was chosen as the more natural state, for example </w:t>
      </w:r>
      <w:r w:rsidRPr="004C3ADA">
        <w:rPr>
          <w:i/>
        </w:rPr>
        <w:t>rich</w:t>
      </w:r>
      <w:r>
        <w:t xml:space="preserve"> peat quality, </w:t>
      </w:r>
      <w:r w:rsidRPr="004C3ADA">
        <w:rPr>
          <w:i/>
        </w:rPr>
        <w:t>high</w:t>
      </w:r>
      <w:r>
        <w:t xml:space="preserve"> water table, or </w:t>
      </w:r>
      <w:r w:rsidRPr="004C3ADA">
        <w:rPr>
          <w:i/>
        </w:rPr>
        <w:t>wet</w:t>
      </w:r>
      <w:r>
        <w:t xml:space="preserve"> soil conditions.</w:t>
      </w:r>
    </w:p>
    <w:p w:rsidR="002B34A4" w:rsidRDefault="002B34A4" w:rsidP="002B34A4">
      <w:pPr>
        <w:pStyle w:val="ListParagraph"/>
        <w:numPr>
          <w:ilvl w:val="0"/>
          <w:numId w:val="14"/>
        </w:numPr>
      </w:pPr>
      <w:r>
        <w:t>Where CO</w:t>
      </w:r>
      <w:r>
        <w:softHyphen/>
      </w:r>
      <w:r w:rsidRPr="004C3ADA">
        <w:rPr>
          <w:vertAlign w:val="subscript"/>
        </w:rPr>
        <w:t>2</w:t>
      </w:r>
      <w:r>
        <w:t xml:space="preserve"> data were reported, total ecosystem respiration (R</w:t>
      </w:r>
      <w:r w:rsidRPr="004C3ADA">
        <w:rPr>
          <w:vertAlign w:val="subscript"/>
        </w:rPr>
        <w:t>tot</w:t>
      </w:r>
      <w:r>
        <w:t>) and net ecosystem exchange (NEE) were extracted. Gross ecosystem photosynthesis (GEP) was not extracted since it is calculated from NEE minus R</w:t>
      </w:r>
      <w:r w:rsidRPr="004C3ADA">
        <w:rPr>
          <w:vertAlign w:val="subscript"/>
        </w:rPr>
        <w:t>tot</w:t>
      </w:r>
      <w:r>
        <w:t>. Where GEP and R</w:t>
      </w:r>
      <w:r w:rsidRPr="004C3ADA">
        <w:rPr>
          <w:vertAlign w:val="subscript"/>
        </w:rPr>
        <w:t>tot</w:t>
      </w:r>
      <w:r>
        <w:t xml:space="preserve"> alone were reported, NEE was calculated.</w:t>
      </w:r>
    </w:p>
    <w:p w:rsidR="002B34A4" w:rsidRDefault="002B34A4" w:rsidP="002B34A4"/>
    <w:p w:rsidR="007457A1" w:rsidRDefault="007457A1" w:rsidP="00A815F8">
      <w:pPr>
        <w:spacing w:after="120"/>
      </w:pPr>
    </w:p>
    <w:p w:rsidR="007457A1" w:rsidRDefault="007457A1">
      <w:r>
        <w:br w:type="page"/>
      </w:r>
    </w:p>
    <w:p w:rsidR="007457A1" w:rsidRDefault="007457A1">
      <w:pPr>
        <w:sectPr w:rsidR="007457A1" w:rsidSect="00BE731C">
          <w:pgSz w:w="11906" w:h="16838"/>
          <w:pgMar w:top="1418" w:right="1418" w:bottom="1418" w:left="1418" w:header="709" w:footer="709" w:gutter="0"/>
          <w:cols w:space="708"/>
          <w:docGrid w:linePitch="360"/>
        </w:sectPr>
      </w:pPr>
    </w:p>
    <w:p w:rsidR="007457A1" w:rsidRPr="007457A1" w:rsidRDefault="007457A1" w:rsidP="007457A1">
      <w:pPr>
        <w:spacing w:after="120"/>
      </w:pPr>
      <w:r>
        <w:lastRenderedPageBreak/>
        <w:t xml:space="preserve">Table A7.2. Information regarding data location, extraction strategy and pooling calculations </w:t>
      </w:r>
      <w:r w:rsidR="00050AFE">
        <w:t xml:space="preserve">for means and standard deviations </w:t>
      </w:r>
      <w:r>
        <w:t>for studies included in the synthesis.</w:t>
      </w:r>
    </w:p>
    <w:tbl>
      <w:tblPr>
        <w:tblW w:w="15881" w:type="dxa"/>
        <w:tblInd w:w="103" w:type="dxa"/>
        <w:tblLayout w:type="fixed"/>
        <w:tblLook w:val="04A0" w:firstRow="1" w:lastRow="0" w:firstColumn="1" w:lastColumn="0" w:noHBand="0" w:noVBand="1"/>
      </w:tblPr>
      <w:tblGrid>
        <w:gridCol w:w="6668"/>
        <w:gridCol w:w="2271"/>
        <w:gridCol w:w="1131"/>
        <w:gridCol w:w="1701"/>
        <w:gridCol w:w="1559"/>
        <w:gridCol w:w="850"/>
        <w:gridCol w:w="1701"/>
      </w:tblGrid>
      <w:tr w:rsidR="007457A1" w:rsidRPr="007457A1" w:rsidTr="00050AFE">
        <w:trPr>
          <w:trHeight w:val="600"/>
        </w:trPr>
        <w:tc>
          <w:tcPr>
            <w:tcW w:w="6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sz w:val="20"/>
                <w:szCs w:val="20"/>
              </w:rPr>
            </w:pPr>
            <w:r w:rsidRPr="007457A1">
              <w:rPr>
                <w:rFonts w:ascii="Calibri" w:eastAsia="Times New Roman" w:hAnsi="Calibri"/>
                <w:b/>
                <w:bCs/>
                <w:sz w:val="20"/>
                <w:szCs w:val="20"/>
              </w:rPr>
              <w:t>Article</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sz w:val="20"/>
                <w:szCs w:val="20"/>
              </w:rPr>
            </w:pPr>
            <w:r w:rsidRPr="007457A1">
              <w:rPr>
                <w:rFonts w:ascii="Calibri" w:eastAsia="Times New Roman" w:hAnsi="Calibri"/>
                <w:b/>
                <w:bCs/>
                <w:sz w:val="20"/>
                <w:szCs w:val="20"/>
              </w:rPr>
              <w:t>Region</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sz w:val="20"/>
                <w:szCs w:val="20"/>
              </w:rPr>
            </w:pPr>
            <w:r w:rsidRPr="007457A1">
              <w:rPr>
                <w:rFonts w:ascii="Calibri" w:eastAsia="Times New Roman" w:hAnsi="Calibri"/>
                <w:b/>
                <w:bCs/>
                <w:sz w:val="20"/>
                <w:szCs w:val="20"/>
              </w:rPr>
              <w:t>Outcomes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457A1" w:rsidRPr="00A3349F" w:rsidRDefault="00050AFE" w:rsidP="007457A1">
            <w:pPr>
              <w:rPr>
                <w:rFonts w:ascii="Calibri" w:eastAsia="Times New Roman" w:hAnsi="Calibri"/>
                <w:b/>
                <w:bCs/>
                <w:sz w:val="20"/>
                <w:szCs w:val="20"/>
                <w:lang w:val="it-IT"/>
              </w:rPr>
            </w:pPr>
            <w:r w:rsidRPr="00A3349F">
              <w:rPr>
                <w:rFonts w:ascii="Calibri" w:eastAsia="Times New Roman" w:hAnsi="Calibri"/>
                <w:b/>
                <w:bCs/>
                <w:sz w:val="20"/>
                <w:szCs w:val="20"/>
                <w:lang w:val="it-IT"/>
              </w:rPr>
              <w:t>Quantitative data locations in paper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color w:val="000000"/>
                <w:sz w:val="20"/>
                <w:szCs w:val="20"/>
              </w:rPr>
            </w:pPr>
            <w:r w:rsidRPr="007457A1">
              <w:rPr>
                <w:rFonts w:ascii="Calibri" w:eastAsia="Times New Roman" w:hAnsi="Calibri"/>
                <w:b/>
                <w:bCs/>
                <w:color w:val="000000"/>
                <w:sz w:val="20"/>
                <w:szCs w:val="20"/>
              </w:rPr>
              <w:t>Data Extraction Method</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color w:val="000000"/>
                <w:sz w:val="20"/>
                <w:szCs w:val="20"/>
              </w:rPr>
            </w:pPr>
            <w:r w:rsidRPr="007457A1">
              <w:rPr>
                <w:rFonts w:ascii="Calibri" w:eastAsia="Times New Roman" w:hAnsi="Calibri"/>
                <w:b/>
                <w:bCs/>
                <w:color w:val="000000"/>
                <w:sz w:val="20"/>
                <w:szCs w:val="20"/>
              </w:rPr>
              <w:t>Pooling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457A1" w:rsidRPr="007457A1" w:rsidRDefault="007457A1" w:rsidP="007457A1">
            <w:pPr>
              <w:rPr>
                <w:rFonts w:ascii="Calibri" w:eastAsia="Times New Roman" w:hAnsi="Calibri"/>
                <w:b/>
                <w:bCs/>
                <w:color w:val="000000"/>
                <w:sz w:val="20"/>
                <w:szCs w:val="20"/>
              </w:rPr>
            </w:pPr>
            <w:r w:rsidRPr="007457A1">
              <w:rPr>
                <w:rFonts w:ascii="Calibri" w:eastAsia="Times New Roman" w:hAnsi="Calibri"/>
                <w:b/>
                <w:bCs/>
                <w:color w:val="000000"/>
                <w:sz w:val="20"/>
                <w:szCs w:val="20"/>
              </w:rPr>
              <w:t>Pooled Across</w:t>
            </w:r>
          </w:p>
        </w:tc>
      </w:tr>
      <w:tr w:rsidR="007457A1" w:rsidRPr="007457A1" w:rsidTr="00050AFE">
        <w:trPr>
          <w:trHeight w:val="900"/>
        </w:trPr>
        <w:tc>
          <w:tcPr>
            <w:tcW w:w="6668"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Factors influencing nitrous oxide and methane emissions from minerotrophic fens in northeast Germany.. Biology and Fertility of Soils 28(1): 1-4.</w:t>
            </w:r>
          </w:p>
        </w:tc>
        <w:tc>
          <w:tcPr>
            <w:tcW w:w="2271"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Gumnitzniederung</w:t>
            </w:r>
          </w:p>
        </w:tc>
        <w:tc>
          <w:tcPr>
            <w:tcW w:w="1131"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Factors influencing nitrous oxide and methane emissions from minerotrophic fens in northeast Germany.. Biology and Fertility of Soils 28(1): 1-4.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Gumnitzniederung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Factors influencing nitrous oxide and methane emissions from minerotrophic fens in northeast Germany.. Biology and Fertility of Soils 28(1): 1-4.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Rhin-Havelluch</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Nitrous oxide fluxes of disturbed minerotrophic peatlands.. Agribiological Research-Zeitschrift Fur Agrarbiologie Agrikulturchemie Okologie 51(1): 47-57.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Mucheberg (Gumnitz/Bradndenburg)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Nitrous oxide fluxes of disturbed minerotrophic peatlands.. Agribiological Research-Zeitschrift Fur Agrarbiologie Agrikulturchemie Okologie 51(1): 47-57.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A3349F" w:rsidRDefault="007457A1" w:rsidP="007457A1">
            <w:pPr>
              <w:rPr>
                <w:rFonts w:ascii="Calibri" w:eastAsia="Times New Roman" w:hAnsi="Calibri"/>
                <w:sz w:val="20"/>
                <w:szCs w:val="20"/>
                <w:lang w:val="de-DE"/>
              </w:rPr>
            </w:pPr>
            <w:r w:rsidRPr="00A3349F">
              <w:rPr>
                <w:rFonts w:ascii="Calibri" w:eastAsia="Times New Roman" w:hAnsi="Calibri"/>
                <w:sz w:val="20"/>
                <w:szCs w:val="20"/>
                <w:lang w:val="de-DE"/>
              </w:rPr>
              <w:t>Paulinenaue (Rhin-Havel-Luch/Brandenburg)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Nitrous oxide fluxes of disturbed minerotrophic peatlands.. Agribiological Research-Zeitschrift Fur Agrarbiologie Agrikulturchemie Okologie 51(1): 47-57.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A3349F" w:rsidRDefault="007457A1" w:rsidP="007457A1">
            <w:pPr>
              <w:rPr>
                <w:rFonts w:ascii="Calibri" w:eastAsia="Times New Roman" w:hAnsi="Calibri"/>
                <w:sz w:val="20"/>
                <w:szCs w:val="20"/>
                <w:lang w:val="de-DE"/>
              </w:rPr>
            </w:pPr>
            <w:r w:rsidRPr="00A3349F">
              <w:rPr>
                <w:rFonts w:ascii="Calibri" w:eastAsia="Times New Roman" w:hAnsi="Calibri"/>
                <w:sz w:val="20"/>
                <w:szCs w:val="20"/>
                <w:lang w:val="de-DE"/>
              </w:rPr>
              <w:t>Heinrichswalde (Friedlander Grosse Wiese/Mecklenburg-Volpommern)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Augustin, J., W. Merbach, et al. (1998) Nitrous oxide fluxes of disturbed minerotrophic peatlands.. Agribiological Research-Zeitschrift Fur Agrarbiologie Agrikulturchemie Okologie 51(1): 47-57.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A3349F" w:rsidRDefault="007457A1" w:rsidP="007457A1">
            <w:pPr>
              <w:rPr>
                <w:rFonts w:ascii="Calibri" w:eastAsia="Times New Roman" w:hAnsi="Calibri"/>
                <w:sz w:val="20"/>
                <w:szCs w:val="20"/>
                <w:lang w:val="de-DE"/>
              </w:rPr>
            </w:pPr>
            <w:r w:rsidRPr="00A3349F">
              <w:rPr>
                <w:rFonts w:ascii="Calibri" w:eastAsia="Times New Roman" w:hAnsi="Calibri"/>
                <w:sz w:val="20"/>
                <w:szCs w:val="20"/>
                <w:lang w:val="de-DE"/>
              </w:rPr>
              <w:t>Heinrichswalde (Friedlander Grosse Wiese/Mecklenburg-Volpommern)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Banas, K. and K. Gos (2004) Effect of peat-bog reclamation on the physico-chemical characteristics of the ground water in peat.. Polish Journal of Ecology 52(1): 69-74.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Pomerania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 p 71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Bubier, J. L., T. R. Moore, et al.  (2007) Effects of nutrient addition on vegetation and carbon cycling in an ombrotrophic bog. Global Change Biology 13(6): 1168-1186.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Mer Bleue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Bubier, J. L., T. R. Moore, et al.  (2007) Effects of nutrient addition on vegetation and carbon cycling in an ombrotrophic bog. Global Change Biology 13(6): 1168-1186.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Mer Bleue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Cagampan, J. P. and J. M. Waddington (2008) Net ecosystem CO2 exchange of a cutover peatland rehabilitated with a transplanted acrotelm.. Ecoscience 15(2): 258-267.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Cagampan, J. P. and J. M. Waddington (2008) Net ecosystem CO2 exchange of a cutover peatland rehabilitated with a transplanted acrotelm.. Ecoscience 15(2): 258-267.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Cagampan, J. P. and J. M. Waddington (2008) Net ecosystem CO2 exchange of a cutover peatland rehabilitated with a transplanted acrotelm.. Ecoscience 15(2): 258-267.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Cagampan, J. P. and J. M. Waddington (2008) Net ecosystem CO2 exchange of a cutover peatland rehabilitated with a transplanted acrotelm.. Ecoscience 15(2): 258-267.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A3349F">
              <w:rPr>
                <w:rFonts w:ascii="Calibri" w:eastAsia="Times New Roman" w:hAnsi="Calibri"/>
                <w:sz w:val="20"/>
                <w:szCs w:val="20"/>
                <w:lang w:val="fr-FR"/>
              </w:rPr>
              <w:t xml:space="preserve">Danevcic, T., I. Mandic-Mulec, et al. </w:t>
            </w:r>
            <w:r w:rsidRPr="007457A1">
              <w:rPr>
                <w:rFonts w:ascii="Calibri" w:eastAsia="Times New Roman" w:hAnsi="Calibri"/>
                <w:sz w:val="20"/>
                <w:szCs w:val="20"/>
              </w:rPr>
              <w:t>(2010) Emissions of CO(2), CH(4) and N(2)O from Southern European peatlands.. Soil Biology &amp; Biochemistry 42(9): 1437-1446.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Ljubljana Marsh</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A3349F">
              <w:rPr>
                <w:rFonts w:ascii="Calibri" w:eastAsia="Times New Roman" w:hAnsi="Calibri"/>
                <w:sz w:val="20"/>
                <w:szCs w:val="20"/>
                <w:lang w:val="fr-FR"/>
              </w:rPr>
              <w:t xml:space="preserve">Danevcic, T., I. Mandic-Mulec, et al. </w:t>
            </w:r>
            <w:r w:rsidRPr="007457A1">
              <w:rPr>
                <w:rFonts w:ascii="Calibri" w:eastAsia="Times New Roman" w:hAnsi="Calibri"/>
                <w:sz w:val="20"/>
                <w:szCs w:val="20"/>
              </w:rPr>
              <w:t>(2010) Emissions of CO(2), CH(4) and N(2)O from Southern European peatlands.. Soil Biology &amp; Biochemistry 42(9): 1437-1446.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Ljubljana Marsh</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A3349F">
              <w:rPr>
                <w:rFonts w:ascii="Calibri" w:eastAsia="Times New Roman" w:hAnsi="Calibri"/>
                <w:sz w:val="20"/>
                <w:szCs w:val="20"/>
                <w:lang w:val="fr-FR"/>
              </w:rPr>
              <w:t xml:space="preserve">Danevcic, T., I. Mandic-Mulec, et al. </w:t>
            </w:r>
            <w:r w:rsidRPr="007457A1">
              <w:rPr>
                <w:rFonts w:ascii="Calibri" w:eastAsia="Times New Roman" w:hAnsi="Calibri"/>
                <w:sz w:val="20"/>
                <w:szCs w:val="20"/>
              </w:rPr>
              <w:t>(2010) Emissions of CO(2), CH(4) and N(2)O from Southern European peatlands.. Soil Biology &amp; Biochemistry 42(9): 1437-1446.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Ljubljana Marsh</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Dias, A. T. C., B. Hoorens, et al. (2010) Plant Species Composition Can Be Used as a Proxy to Predict Methane Emissions in Peatland Ecosystems After Land-Use Changes.. Ecosystems 13(4): 526-538.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Nieuwkoopse Plassen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Dias, A. T. C., B. Hoorens, et al. (2010) Plant Species Composition Can Be Used as a Proxy to Predict Methane Emissions in Peatland Ecosystems After Land-Use Changes.. Ecosystems 13(4): 526-538.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Nieuwkoopse Plassen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Dias, A. T. C., B. Hoorens, et al. (2010) Plant Species Composition Can Be Used as a Proxy to Predict Methane Emissions in Peatland Ecosystems After Land-Use Changes.. Ecosystems 13(4): 526-538.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Het Guisveld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A3349F">
              <w:rPr>
                <w:rFonts w:ascii="Calibri" w:eastAsia="Times New Roman" w:hAnsi="Calibri"/>
                <w:sz w:val="20"/>
                <w:szCs w:val="20"/>
                <w:lang w:val="nl-NL"/>
              </w:rPr>
              <w:t xml:space="preserve">Dirks, B. O. M., A. Hensen, et al. </w:t>
            </w:r>
            <w:r w:rsidRPr="007457A1">
              <w:rPr>
                <w:rFonts w:ascii="Calibri" w:eastAsia="Times New Roman" w:hAnsi="Calibri"/>
                <w:sz w:val="20"/>
                <w:szCs w:val="20"/>
              </w:rPr>
              <w:t>(2000) Effect of drainage on CO2 exchange patterns in an intensively managed peat pasture.. Climate Research 14(1): 57-63.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A3349F">
              <w:rPr>
                <w:rFonts w:ascii="Calibri" w:eastAsia="Times New Roman" w:hAnsi="Calibri"/>
                <w:sz w:val="20"/>
                <w:szCs w:val="20"/>
                <w:lang w:val="nl-NL"/>
              </w:rPr>
              <w:t xml:space="preserve">Dirks, B. O. M., A. Hensen, et al. </w:t>
            </w:r>
            <w:r w:rsidRPr="007457A1">
              <w:rPr>
                <w:rFonts w:ascii="Calibri" w:eastAsia="Times New Roman" w:hAnsi="Calibri"/>
                <w:sz w:val="20"/>
                <w:szCs w:val="20"/>
              </w:rPr>
              <w:t>(2000) Effect of drainage on CO2 exchange patterns in an intensively managed peat pasture.. Climate Research 14(1): 57-63.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Fiedler, S., B. S. Hoell, et al. (2008) Particulate organic carbon (POC) in relation to other pore water carbon fractions in drained and rewetted fens in Southern Germany.. Biogeosciences 5(6): 1615-1623.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Donauriad fen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Fiedler, S., B. S. Hoell, et al. (2008) Particulate organic carbon (POC) in relation to other pore water carbon fractions in drained and rewetted fens in Southern Germany.. Biogeosciences 5(6): 1615-1623.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Donauriad fen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POC (TOC-DOC)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Fiedler, S., B. S. Hoell, et al. (2008) Particulate organic carbon (POC) in relation to other pore water carbon fractions in drained and rewetted fens in Southern Germany.. Biogeosciences 5(6): 1615-1623.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Donauriad fen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Fiedler, S., B. S. Hoell, et al. (2008) Particulate organic carbon (POC) in relation to other pore water carbon fractions in drained and rewetted fens in Southern Germany.. Biogeosciences 5(6): 1615-1623.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Donauriad fen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POC (TOC-DOC)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Glatzel, S., K. Kalbitz, et al. (2003) Dissolved organic matter properties and their relationship to carbon dioxide efflux from restored peat bogs.. Geoderma 113(3-4): 397-411.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Riviere de Loup</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Glenn, S., A. Heyes, et al. (1993) CARBON-DIOXIDE AND METHANE FLUXES FROM DRAINED PEAT SOILS, SOUTHERN QUEBEC.. Global Biogeochemical Cycles 7(2): 247-257.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Napierville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Glenn, S., A. Heyes, et al. (1993) CARBON-DIOXIDE AND METHANE FLUXES FROM DRAINED PEAT SOILS, SOUTHERN QUEBEC.. Global Biogeochemical Cycles 7(2): 247-257.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Napierville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Godin et al. (2012) Methane and methanogen community dynamics across a boreal peatland nutrient gradient. Soil Biology &amp; Biochemistry</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Ontario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Godin et al. (2012) Methane and methanogen community dynamics across a boreal peatland nutrient gradient. Soil Biology &amp; Biochemistry</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Ontario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Godin et al. (2012) Methane and methanogen community dynamics across a boreal peatland nutrient gradient. Soil Biology &amp; Biochemistry</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Ontario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Höll, B. S., S. Fiedler, et al. (2009) Characteristics of dissolved organic matter following 20 years of peatland restoration.. Science of the Total Environment 408(1): 78-83.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Donauried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Hyvonen, N. P., J. T. Huttuneen, et al. (2009) Fluxes of nitrous oxide and methane on an abandoned peat extraction site: Effect of reed canary grass cultivation.. Bioresource Technology 100(20): 4723-4730.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Linnansuo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Hyvonen, N. P., J. T. Huttuneen, et al. (2009) Fluxes of nitrous oxide and methane on an abandoned peat extraction site: Effect of reed canary grass cultivation.. Bioresource Technology 100(20): 4723-4730.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Linnansuo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Ikkonen, E. N., V. K. Kurets, et al. (2001) The rate of carbon dioxide emission into the atmosphere from a southern Karelian mesooligotrophic bog.. Russian Journal of Ecology 32(6): 382-385</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Karelia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Kalbitz, K., H. Rupp, et al. (2002) N,P- and DOC-dynamics in soil and groundwater after restoration of intensively cultivated fens.. in Broll, G; Merbach, W.; Pfeiffer, E.-M.: Wetlands in Central Europe: Soil organisms, soil ecological processes and trace gas emissions, Springer Verlag, 99-116 (2002)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Dromling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4 and Figures 9 and 10</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Kalbitz, K., H. Rupp, et al. (2002) N,P- and DOC-dynamics in soil and groundwater after restoration of intensively cultivated fens.. in Broll, G; Merbach, W.; Pfeiffer, E.-M.: Wetlands in Central Europe: Soil organisms, soil ecological processes and trace gas emissions, Springer Verlag, 99-116 (2002)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Dromling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4 and Figures 9 and 10</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Klemedtsson, A. K., P. Weslien, et al. (2009) Methane and nitrous oxide fluxes from a farmed Swedish Histosol.. European Journal of Soil Science 60(3): 321-331.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Southern Sweden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3,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Klemedtsson, A. K., P. Weslien, et al. (2009) Methane and nitrous oxide fluxes from a farmed Swedish Histosol.. European Journal of Soil Science 60(3): 321-331.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Southern Sweden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3,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Klove, B., T. E. Sveistrup, et al. (2010) Leaching of nutrients and emission of greenhouse gases from peatland cultivation at Bodin, Northern Norway.. Geoderma 154(3-4): 219-232.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Bodin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Klove, B., T. E. Sveistrup, et al. (2010) Leaching of nutrients and emission of greenhouse gases from peatland cultivation at Bodin, Northern Norway.. Geoderma 154(3-4): 219-232.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Bodin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Klove, B., T. E. Sveistrup, et al. (2010) Leaching of nutrients and emission of greenhouse gases from peatland cultivation at Bodin, Northern Norway.. Geoderma 154(3-4): 219-232.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Bodin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Komulainen, V. M., E. S. Tuittila, et al. (1999) Restoration of drained peatlands in southern Finland: initial effects on vegetation change and CO2 balance.. Journal of Applied Ecology 36(5): 634-648.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Komilamminsuo mire (fen)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Tables 3 to 6, and 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Komulainen, V. M., E. S. Tuittila, et al. (1999) Restoration of drained peatlands in southern Finland: initial effects on vegetation change and CO2 balance.. Journal of Applied Ecology 36(5): 634-648.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Viheriaisenneva mire (bog)</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Tables 3 to 6, and 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Komulainen, V. M., H. Nyka̋nan, et al. (1998) Short-term effect of restoration on vegetation change and methane emissions from peatlands drained for forestry in southern Finland.. Canadian Journal of Forest Research 28(3): 402-411.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Komilamminsuo mire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Komulainen, V. M., H. Nyka̋nan, et al. (1998) Short-term effect of restoration on vegetation change and methane emissions from peatlands drained for forestry in southern Finland.. Canadian Journal of Forest Research 28(3): 402-411.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Viheriaisenneva mire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Laine, J. and K. Minkkinen (1996) Effect of forest drainage on the carbon balance of a mire: A case study.. Scandinavian Journal of Forest Research 11(3): 307-312.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Carbon stores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p309 (last paragraph)</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Leifeld, J., M. Mueller, et al. (2011) Peatland subsidence and carbon loss from drained temperate fens.. Soil Use and Management 27(2): 170-176.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Witzwil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Long-term subsidence</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Leifeld, J., M. Mueller, et al. (2011) Peatland subsidence and carbon loss from drained temperate fens.. Soil Use and Management 27(2): 170-176.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Witzwil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Soil depth</w:t>
            </w: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Lund, M., T. R. Christensen, et al.  (2009) Effects of N and P fertilization on the greenhouse gas exchange in two northern peatlands with contrasting N deposition rates. Biogeosciences 6(10): 2135-2144.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Fajemyr</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(CO2), p2138 (N2O), p2139 (CH4)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Lund, M., T. R. Christensen, et al.  (2009) Effects of N and P fertilization on the greenhouse gas exchange in two northern peatlands with contrasting N deposition rates. Biogeosciences 6(10): 2135-2144.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Fajemyr</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(CO2), p2138 (N2O), p2139 (CH4)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Lund, M., T. R. Christensen, et al.  (2009) Effects of N and P fertilization on the greenhouse gas exchange in two northern peatlands with contrasting N deposition rates. Biogeosciences 6(10): 2135-2144.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Fajemyr</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(CO2), p2138 (N2O), p2139 (CH4)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12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Lund, M., T. R. Christensen, et al.  (2009) Effects of N and P fertilization on the greenhouse gas exchange in two northern peatlands with contrasting N deposition rates. Biogeosciences 6(10): 2135-2144.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Fajemyr</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(CO2), p2138 (N2O), p2139 (CH4)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Makiranta, P., J. Hytonen, et al. (2007) Soil greenhouse gas emissions from afforested organic soil croplands and cutaway peatlands.. Boreal Environment Research 12(2): 159-175.</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8</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Makiranta, P., J. Hytonen, et al. (2007) Soil greenhouse gas emissions from afforested organic soil croplands and cutaway peatlands.. Boreal Environment Research 12(2): 159-175.</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(2001) Fluxes of N2O, CH4 and CO2 on afforested boreal agricultural soils.. Plant and Soil 231(1): 113-121.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Western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(2001) Fluxes of N2O, CH4 and CO2 on afforested boreal agricultural soils.. Plant and Soil 231(1): 113-121.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Western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(2001) Fluxes of N2O, CH4 and CO2 on afforested boreal agricultural soils.. Plant and Soil 231(1): 113-121.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Western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(2010) Cold-season nitrous oxide dynamics in a drained boreal peatland differ depending on land-use practice.. Canadian Journal of Forest Research-Revue Canadienne De Recherche Forestiere 40(3): 565-572.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Kannus</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 and 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(2010) Cold-season nitrous oxide dynamics in a drained boreal peatland differ depending on land-use practice.. Canadian Journal of Forest Research-Revue Canadienne De Recherche Forestiere 40(3): 565-572.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Kannus</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 and 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(2010) Cold-season nitrous oxide dynamics in a drained boreal peatland differ depending on land-use practice.. Canadian Journal of Forest Research-Revue Canadienne De Recherche Forestiere 40(3): 565-572.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Kannus</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 and 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Maljanen, M., J. Hytonen, et al. (2010) Cold-season nitrous oxide dynamics in a drained boreal peatland differ depending on land-use practice.. Canadian Journal of Forest Research-Revue Canadienne De Recherche Forestiere 40(3): 565-572.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Kannus</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Soil air 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(1993) EFFECT OF A LOWERED WATER-TABLE ON NITROUS-OXIDE FLUXES FROM NORTHERN PEATLANDS.. Nature 366(6450): 51-53.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Martikainen, P. J., H. Nykanen, et al. (1995) CHANGE IN FLUXES OF CARBON-DIOXIDE, METHANE AND NITROUS-OXIDE DUE TO FOREST DRAINAGE OF MIRE SITES OF DIFFERENT TROPHY.. Plant and Soil 168: 571-577.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(mean only)</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Minkkinen, K. and J. Laine (2006) Vegetation heterogeneity and ditches create spatial variability in methane fluxes from peatlands drained for forestry.. Plant and Soil 285(1-2): 289-304.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3 and 6 and Table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Moore, T. R. and B. R. Clarkson (2007) Dissolved organic carbon in New Zealand peatlands.. New Zealand Journal of Marine and Freshwater Research 41(1): 137-141.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Torehape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Moore, T. R. and B. R. Clarkson (2007) Dissolved organic carbon in New Zealand peatlands.. New Zealand Journal of Marine and Freshwater Research 41(1): 137-141.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Torehape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Nagata, O., T. Yazaki, et al. (2010) Nitrous oxide emissions from drained and mineral soil-dressed peatland in central Hokkaido, Japan.. Journal of Agricultural Meteorology 66(1): 23-30.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Hokkaido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Tables 3 and 4 and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(1995) Emissions of CH4, N2O and CO2 from a virgin fen and a fen drained for grassland in Finland.. (Journal Article).</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(1995) Emissions of CH4, N2O and CO2 from a virgin fen and a fen drained for grassland in Finland.. (Journal Article).</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(1995) Emissions of CH4, N2O and CO2 from a virgin fen and a fen drained for grassland in Finland.. (Journal Article).</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Nykanen, H., J. Alm, et al. (1998) Methane fluxes on boreal peatlands of different fertility and the effect of long-term experimental lowering of the water table on flux rates.. Global Biogeochemical Cycles 12(1): 53-69.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J. Alm, et al. (1998) Methane fluxes on boreal peatlands of different fertility and the effect of long-term experimental lowering of the water table on flux rates.. Global Biogeochemical Cycles 12(1): 53-69.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J. Alm, et al. (1998) Methane fluxes on boreal peatlands of different fertility and the effect of long-term experimental lowering of the water table on flux rates.. Global Biogeochemical Cycles 12(1): 53-69.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Nykanen, H., J. Alm, et al. (1998) Methane fluxes on boreal peatlands of different fertility and the effect of long-term experimental lowering of the water table on flux rates.. Global Biogeochemical Cycles 12(1): 53-69.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Petersen, S. O., C. C. Hoffmann, et al. (2011) Annual emissions of CH4 and N2O, and ecosystem respiration, from eight organic soils in Western Denmark managed by agriculture.. Biogeosciences Discussions 8(5): 10017-10067.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Nation wide survey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5 and Figures 7 to 9</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Regina, K., E. Syvasalo, et al. (2004) Fluxes of N2O from farmed peat soils in Finland.. European Journal of Soil Science 55(3): 591-599.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Rovaniemi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Regina, K., E. Syvasalo, et al. (2004) Fluxes of N2O from farmed peat soils in Finland.. European Journal of Soil Science 55(3): 591-599.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Jokioinen</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Regina, K., H. Nykanen, et al. (1996) Fluxes of nitrous oxide from boreal peatlands as affected by peatland type, water table level and nitrification capacity.. Biogeochemistry 35(3): 401-418.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Central and eastern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Rochette, P., N. Tremblay, et al. (2010) N(2)O emissions from an irrigated and non-irrigated organic soil in eastern Canada as influenced by N fertilizer addition.. European Journal of Soil Science 61(2): 186-196.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Sainte-Clotilde-de-Chateauguay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Rochette, P., N. Tremblay, et al. (2010) N(2)O emissions from an irrigated and non-irrigated organic soil in eastern Canada as influenced by N fertilizer addition.. European Journal of Soil Science 61(2): 186-196.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Sainte-Clotilde-de-Chateauguay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Rochette, P., N. Tremblay, et al. (2010) N(2)O emissions from an irrigated and non-irrigated organic soil in eastern Canada as influenced by N fertilizer addition.. European Journal of Soil Science 61(2): 186-196.</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Sainte-Clotilde-de-Chateauguay</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Soil surface 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Roulet, N. T., R. Ash, et al. (1993) METHANE FLUX FROM DRAINED NORTHERN PEATLANDS - EFFECT OF A PERSISTENT WATER-TABLE LOWERING ON FLUX.. Global Biogeochemical Cycles 7(4): 749-769.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Wally Creek</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 and Figures 2, 3, 4 and 7</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Schipper, L. A. and M. McLeod (2002) Subsidence rates and carbon loss in peat soils following conversion to pasture in the Waikato Region, New Zealand.. Soil Use and Management 18(2): 91-93.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Moanatuatua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Carbon stores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Schrier-Uijl, A. P. (2010) Flushing meadows - the influence of management alternatives on the greenhouse gas balance of fen meadow areas, Wageningen Universiteit (Wageningen University).. Thesis</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Western Netherlands</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3.3 (Chapter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Silvola, J., J. Alm, et al. (1996) CO2 fluxes from peat in boreal mires under varying temperature and moisture conditions.. Journal of Ecology 84(2): 219-228.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Lakkasuo</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 and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Silvola, J., J. Alm, et al. (1996) CO2 fluxes from peat in boreal mires under varying temperature and moisture conditions.. Journal of Ecology 84(2): 219-228.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Ilomantsi</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 and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Silvola, J., J. Alm, et al. (1996) CO2 fluxes from peat in boreal mires under varying temperature and moisture conditions.. Journal of Ecology 84(2): 219-228.</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Rasivaara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 and 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Soini, P., T. Riutta, et al. (2010) Comparison of Vegetation and CO(2) Dynamics Between a Restored Cut-Away Peatland and a Pristine Fen: Evaluation of the Restoration Success.. Restoration Ecology 18(6): 894-903.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Central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Soini, P., T. Riutta, et al. (2010) Comparison of Vegetation and CO(2) Dynamics Between a Restored Cut-Away Peatland and a Pristine Fen: Evaluation of the Restoration Success.. Restoration Ecology 18(6): 894-903.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Central Finland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6</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Strack, M. and J. M. Waddington (2007) Response of peatland carbon dioxide and methane fluxes to a water table drawdown experiment.. Global Biogeochemical Cycles 21(1): GB1007.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and J. M. Waddington (2007) Response of peatland carbon dioxide and methane fluxes to a water table drawdown experiment.. Global Biogeochemical Cycles 21(1): GB1007.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and J. M. Waddington (2007) Response of peatland carbon dioxide and methane fluxes to a water table drawdown experiment.. Global Biogeochemical Cycles 21(1): GB1007.</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(2004) Effect of water table drawdown on northern peatland methane dynamics: Implications for climate change.. Global Biogeochemical Cycles 18(4).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1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(2006) Response of vegetation and net ecosystem carbon dioxide exchange at different peatland microforms following water table drawdown.. Journal of Geophysical Research-Biogeosciences 111(G2).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(2006) Response of vegetation and net ecosystem carbon dioxide exchange at different peatland microforms following water table drawdown.. Journal of Geophysical Research-Biogeosciences 111(G2).</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1 and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(2008) Effect of water table drawdown on peatland dissolved organic carbon export and dynamics.. Hydrological Processes 22(17): 3373-3385.</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 Charles-de-Bellechasse</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(2009) Moisture controls on CO(2) exchange in a Sphagnum-dominated peatland: results from an extreme drought field experiment.. Ecohydrology 2(4): 454-461.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NEE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Water Table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Strack, M., J. M. Waddington, et al. (2009) Moisture controls on CO(2) exchange in a Sphagnum-dominated peatland: results from an extreme drought field experiment.. Ecohydrology 2(4): 454-461.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Pointe-Lebel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Temperature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Tuittila, E. S., V. M. Komulainen, et al. (1999) Restored cut-away peatland as a sink for atmospheric CO2.. Oecologia 120(4): 563-574.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Aitoneva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Tuittila, E. S., V. M. Komulainen, et al. (2000) Methane dynamics of a restored cut-away peatland.. Global Change Biology 6(5): 569-581.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Aitoneva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 Beek, C. L., M. Pleijter, et al. (2010) Emissions of N(2)O from fertilized and grazed grassland on organic soil in relation to groundwater level.. Nutrient Cycling in Agroecosystems 86(3): 331-340.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Tables 2 and 4 and 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van Beek, C. L., M. Pleijter, et al. (2011) Nitrous oxide emissions from fertilized and unfertilized grasslands on peat soil.. Nutrient Cycling in Agroecosystems 89(3): 453-461.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1 and Figures 2 and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 Beek, C. L., M. Pleijter, et al. (2011) Nitrous oxide emissions from fertilized and unfertilized grasslands on peat soil.. Nutrient Cycling in Agroecosystems 89(3): 453-461.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 den Pol-van Dasselaar, et al (1999) Effects of nitrogen input and grazing on methane fluxes of extensively and intensively managed grasslands in the Netherlands. Biology and Fertility of Soils 29(1); 24-30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 den Pol-van Dasselaar, et al (1999) Effects of nitrogen input and grazing on methane fluxes of extensively and intensively managed grasslands in the Netherlands. Biology and Fertility of Soils 29(1); 24-30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 den Pol-van Dasselaar, et al (1999) Effects of nitrogen input and grazing on methane fluxes of extensively and intensively managed grasslands in the Netherlands. Biology and Fertility of Soils 29(1); 24-30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2 and Figure 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 and replicates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vandenPolvanDasselaar, A., M. L. vanBeusichem, et al. (1997) Effects of grassland management on the emission of methane from intensively managed grasslands on peat soil.. Plant and Soil 189(1): 1-9.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Table 3 and Figure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Veenendaal, E. M., O. Kolle, et al. (2007) CO2 exchange and carbon balance in two grassland sites on eutrophic drained peat soils.. Biogeosciences 4(6): 1027-1040.</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Reeuwijk</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 (R10 - at 10 degrees)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6 to 9, p 1033 (R10)</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Direct Extraction</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No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Velthof, G. L. and O. Oenema (1995) Nitrous oxide fluxes from grassland in the Netherlands .2. Effects of soil type, nitrogen fertilizer application and grazing.. European Journal of Soil Science 46(4): 541-549.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3 to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Velthof, G. L. and O. Oenema (1995) Nitrous oxide fluxes from grassland in the Netherlands .2. Effects of soil type, nitrogen fertilizer application and grazing.. European Journal of Soil Science 46(4): 541-549.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3 to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Velthof, G. L. and O. Oenema (1995) Nitrous oxide fluxes from grassland in the Netherlands .2. Effects of soil type, nitrogen fertilizer application and grazing.. European Journal of Soil Science 46(4): 541-549.</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Zegveld</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3 to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Generated from replicate means</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Von Arnold, K., P. Weslien, et al. (2005) Fluxes of CO(2), CH(4) and N(2)O from drained coniferous forests on organic soils.. Forest Ecology and Management 210(1-3): 239-254.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Asa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to 5 and Tables 3, 4, 5 and 7</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Von Arnold, K., P. Weslien, et al. (2005) Fluxes of CO(2), CH(4) and N(2)O from drained coniferous forests on organic soils.. Forest Ecology and Management 210(1-3): 239-254.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Asa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N2O</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to 5 and Tables 3, 4, 5 and 7</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9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lastRenderedPageBreak/>
              <w:t>Von Arnold, K., P. Weslien, et al. (2005) Fluxes of CO(2), CH(4) and N(2)O from drained coniferous forests on organic soils.. Forest Ecology and Management 210(1-3): 239-254.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Asa</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to 5 and Tables 3, 4, 5 and 7</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Waddington, J. M. and S. M. Day (2007) Methane emissions from a peatland following restoration.. Journal of Geophysical Research-Biogeosciences 112(G3).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Bois-des-Bel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3 and 4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Waddington, J. M. and S. M. Day (2007) Methane emissions from a peatland following restoration.. Journal of Geophysical Research-Biogeosciences 112(G3).</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Bois-des-Bel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CH4 porewater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3 and 4 and Table 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Microform and 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Waddington, J. M., K. D. Warner, et al. (2002) Cutover peatlands: A persistent source of atmospheric CO2.. Global Biogeochemical Cycles 16(1).</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Quebec</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Rtot CO2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5</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Distance from exposure (mean only)</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Waddington, J. M., K. Toth, et al. (2008) Dissolved organic carbon export from a cutover and restored peatland.. Hydrological Processes 22(13): 2215-2224.</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Bois-des-Bel</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 2 and Table II</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r w:rsidR="007457A1" w:rsidRPr="007457A1" w:rsidTr="00050AFE">
        <w:trPr>
          <w:trHeight w:val="600"/>
        </w:trPr>
        <w:tc>
          <w:tcPr>
            <w:tcW w:w="66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Webster, K. L. (2010) Importance of the Water Table in Controlling Dissolved Carbon along a Fen Nutrient Gradient. (Journal Article).</w:t>
            </w:r>
          </w:p>
        </w:tc>
        <w:tc>
          <w:tcPr>
            <w:tcW w:w="2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White River</w:t>
            </w:r>
          </w:p>
        </w:tc>
        <w:tc>
          <w:tcPr>
            <w:tcW w:w="11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DOC</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sz w:val="20"/>
                <w:szCs w:val="20"/>
              </w:rPr>
            </w:pPr>
            <w:r w:rsidRPr="007457A1">
              <w:rPr>
                <w:rFonts w:ascii="Calibri" w:eastAsia="Times New Roman" w:hAnsi="Calibri"/>
                <w:sz w:val="20"/>
                <w:szCs w:val="20"/>
              </w:rPr>
              <w:t>Figures 2 and 3 and Table 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Data Thief</w:t>
            </w:r>
          </w:p>
        </w:tc>
        <w:tc>
          <w:tcPr>
            <w:tcW w:w="8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Yes</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7457A1" w:rsidRPr="007457A1" w:rsidRDefault="007457A1" w:rsidP="007457A1">
            <w:pPr>
              <w:rPr>
                <w:rFonts w:ascii="Calibri" w:eastAsia="Times New Roman" w:hAnsi="Calibri"/>
                <w:color w:val="000000"/>
                <w:sz w:val="20"/>
                <w:szCs w:val="20"/>
              </w:rPr>
            </w:pPr>
            <w:r w:rsidRPr="007457A1">
              <w:rPr>
                <w:rFonts w:ascii="Calibri" w:eastAsia="Times New Roman" w:hAnsi="Calibri"/>
                <w:color w:val="000000"/>
                <w:sz w:val="20"/>
                <w:szCs w:val="20"/>
              </w:rPr>
              <w:t>Time</w:t>
            </w:r>
          </w:p>
        </w:tc>
      </w:tr>
    </w:tbl>
    <w:p w:rsidR="00076681" w:rsidRPr="007457A1" w:rsidRDefault="00076681" w:rsidP="00A815F8">
      <w:pPr>
        <w:spacing w:after="120"/>
        <w:rPr>
          <w:sz w:val="20"/>
          <w:szCs w:val="20"/>
        </w:rPr>
      </w:pPr>
    </w:p>
    <w:sectPr w:rsidR="00076681" w:rsidRPr="007457A1" w:rsidSect="007457A1">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81B71"/>
    <w:multiLevelType w:val="hybridMultilevel"/>
    <w:tmpl w:val="EAFE9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712CF4"/>
    <w:multiLevelType w:val="multilevel"/>
    <w:tmpl w:val="0809001F"/>
    <w:lvl w:ilvl="0">
      <w:start w:val="1"/>
      <w:numFmt w:val="decimal"/>
      <w:lvlText w:val="%1."/>
      <w:lvlJc w:val="left"/>
      <w:pPr>
        <w:ind w:left="360" w:hanging="360"/>
      </w:pPr>
      <w:rPr>
        <w:rFonts w:ascii="Times New Roman" w:hAnsi="Times New Roman"/>
        <w:b/>
        <w:sz w:val="36"/>
      </w:rPr>
    </w:lvl>
    <w:lvl w:ilvl="1">
      <w:start w:val="1"/>
      <w:numFmt w:val="decimal"/>
      <w:lvlText w:val="%1.%2."/>
      <w:lvlJc w:val="left"/>
      <w:pPr>
        <w:ind w:left="792" w:hanging="432"/>
      </w:pPr>
      <w:rPr>
        <w:rFonts w:ascii="Times New Roman" w:hAnsi="Times New Roman"/>
        <w:b/>
        <w:sz w:val="32"/>
      </w:rPr>
    </w:lvl>
    <w:lvl w:ilvl="2">
      <w:start w:val="1"/>
      <w:numFmt w:val="decimal"/>
      <w:lvlText w:val="%1.%2.%3."/>
      <w:lvlJc w:val="left"/>
      <w:pPr>
        <w:ind w:left="1224" w:hanging="504"/>
      </w:pPr>
      <w:rPr>
        <w:rFonts w:ascii="Times New Roman" w:hAnsi="Times New Roman"/>
        <w:b/>
        <w:sz w:val="28"/>
      </w:rPr>
    </w:lvl>
    <w:lvl w:ilvl="3">
      <w:start w:val="1"/>
      <w:numFmt w:val="decimal"/>
      <w:lvlText w:val="%1.%2.%3.%4."/>
      <w:lvlJc w:val="left"/>
      <w:pPr>
        <w:ind w:left="1728" w:hanging="648"/>
      </w:pPr>
      <w:rPr>
        <w:rFonts w:ascii="Times New Roman" w:hAnsi="Times New Roman"/>
        <w:b/>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410286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61A707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63C00714"/>
    <w:multiLevelType w:val="hybridMultilevel"/>
    <w:tmpl w:val="60B8D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3F086E"/>
    <w:rsid w:val="000062A6"/>
    <w:rsid w:val="00014E39"/>
    <w:rsid w:val="00050AFE"/>
    <w:rsid w:val="00054962"/>
    <w:rsid w:val="00076681"/>
    <w:rsid w:val="00092FA8"/>
    <w:rsid w:val="0009552D"/>
    <w:rsid w:val="000C1623"/>
    <w:rsid w:val="000E0E71"/>
    <w:rsid w:val="001115F5"/>
    <w:rsid w:val="00144C2A"/>
    <w:rsid w:val="00153D60"/>
    <w:rsid w:val="00172FAF"/>
    <w:rsid w:val="00176B14"/>
    <w:rsid w:val="00192050"/>
    <w:rsid w:val="001C5EFD"/>
    <w:rsid w:val="00213789"/>
    <w:rsid w:val="00285268"/>
    <w:rsid w:val="002B34A4"/>
    <w:rsid w:val="00300DA7"/>
    <w:rsid w:val="00351851"/>
    <w:rsid w:val="00377077"/>
    <w:rsid w:val="003B639E"/>
    <w:rsid w:val="003D2F5F"/>
    <w:rsid w:val="003F086E"/>
    <w:rsid w:val="004216A6"/>
    <w:rsid w:val="00450E0A"/>
    <w:rsid w:val="00460C70"/>
    <w:rsid w:val="004746C9"/>
    <w:rsid w:val="004A1E81"/>
    <w:rsid w:val="004B6FA9"/>
    <w:rsid w:val="004D353B"/>
    <w:rsid w:val="005107BE"/>
    <w:rsid w:val="00520953"/>
    <w:rsid w:val="005D6C96"/>
    <w:rsid w:val="005F0C0C"/>
    <w:rsid w:val="00671581"/>
    <w:rsid w:val="006871A1"/>
    <w:rsid w:val="006935EF"/>
    <w:rsid w:val="006A3533"/>
    <w:rsid w:val="006C1617"/>
    <w:rsid w:val="006C3D09"/>
    <w:rsid w:val="006D4377"/>
    <w:rsid w:val="007004D0"/>
    <w:rsid w:val="00702F30"/>
    <w:rsid w:val="00703259"/>
    <w:rsid w:val="007065A4"/>
    <w:rsid w:val="00744797"/>
    <w:rsid w:val="007457A1"/>
    <w:rsid w:val="00776C37"/>
    <w:rsid w:val="00790877"/>
    <w:rsid w:val="007B3E90"/>
    <w:rsid w:val="0081131E"/>
    <w:rsid w:val="0081766B"/>
    <w:rsid w:val="00822711"/>
    <w:rsid w:val="00827A78"/>
    <w:rsid w:val="00841867"/>
    <w:rsid w:val="00855C31"/>
    <w:rsid w:val="00881400"/>
    <w:rsid w:val="008850EA"/>
    <w:rsid w:val="00895FEE"/>
    <w:rsid w:val="008C2D14"/>
    <w:rsid w:val="008C2FD8"/>
    <w:rsid w:val="008F1AB0"/>
    <w:rsid w:val="0095457D"/>
    <w:rsid w:val="009616B1"/>
    <w:rsid w:val="00967625"/>
    <w:rsid w:val="0098493A"/>
    <w:rsid w:val="009B7CDD"/>
    <w:rsid w:val="009C72D1"/>
    <w:rsid w:val="009F6C6E"/>
    <w:rsid w:val="00A00DB4"/>
    <w:rsid w:val="00A3349F"/>
    <w:rsid w:val="00A35220"/>
    <w:rsid w:val="00A815F8"/>
    <w:rsid w:val="00AD45A7"/>
    <w:rsid w:val="00B0098D"/>
    <w:rsid w:val="00B02EDB"/>
    <w:rsid w:val="00B13E0D"/>
    <w:rsid w:val="00B73F4E"/>
    <w:rsid w:val="00B86C46"/>
    <w:rsid w:val="00B92BBD"/>
    <w:rsid w:val="00BE731C"/>
    <w:rsid w:val="00BE7466"/>
    <w:rsid w:val="00BF5B01"/>
    <w:rsid w:val="00BF68A7"/>
    <w:rsid w:val="00C36D53"/>
    <w:rsid w:val="00C44DB3"/>
    <w:rsid w:val="00C46717"/>
    <w:rsid w:val="00C47B13"/>
    <w:rsid w:val="00C81F2D"/>
    <w:rsid w:val="00C9287F"/>
    <w:rsid w:val="00CA29DB"/>
    <w:rsid w:val="00CA3EE9"/>
    <w:rsid w:val="00CA788F"/>
    <w:rsid w:val="00CB0A48"/>
    <w:rsid w:val="00CC399A"/>
    <w:rsid w:val="00CD1EC4"/>
    <w:rsid w:val="00CD71E4"/>
    <w:rsid w:val="00D1102B"/>
    <w:rsid w:val="00D829E8"/>
    <w:rsid w:val="00DE6FA2"/>
    <w:rsid w:val="00E07E41"/>
    <w:rsid w:val="00E42CF8"/>
    <w:rsid w:val="00E94125"/>
    <w:rsid w:val="00EB1A3B"/>
    <w:rsid w:val="00EF3F67"/>
    <w:rsid w:val="00F27903"/>
    <w:rsid w:val="00F3408E"/>
    <w:rsid w:val="00F37DF9"/>
    <w:rsid w:val="00F44F83"/>
    <w:rsid w:val="00F47D51"/>
    <w:rsid w:val="00F77853"/>
    <w:rsid w:val="00F77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Default Paragraph Font" w:uiPriority="1"/>
    <w:lsdException w:name="Body Text" w:uiPriority="99"/>
    <w:lsdException w:name="Subtitle" w:qFormat="1"/>
    <w:lsdException w:name="Hyperlink" w:uiPriority="99"/>
    <w:lsdException w:name="FollowedHyperlink" w:uiPriority="99"/>
    <w:lsdException w:name="Strong"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08E"/>
    <w:rPr>
      <w:sz w:val="24"/>
      <w:szCs w:val="24"/>
      <w:lang w:eastAsia="en-GB"/>
    </w:rPr>
  </w:style>
  <w:style w:type="paragraph" w:styleId="Heading1">
    <w:name w:val="heading 1"/>
    <w:basedOn w:val="Normal"/>
    <w:next w:val="Normal"/>
    <w:link w:val="Heading1Char"/>
    <w:uiPriority w:val="99"/>
    <w:qFormat/>
    <w:rsid w:val="00F3408E"/>
    <w:pPr>
      <w:keepNext/>
      <w:keepLines/>
      <w:numPr>
        <w:numId w:val="3"/>
      </w:numPr>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F3408E"/>
    <w:pPr>
      <w:keepNext/>
      <w:keepLines/>
      <w:numPr>
        <w:ilvl w:val="1"/>
        <w:numId w:val="3"/>
      </w:numPr>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F3408E"/>
    <w:pPr>
      <w:keepNext/>
      <w:keepLines/>
      <w:numPr>
        <w:ilvl w:val="2"/>
        <w:numId w:val="3"/>
      </w:numPr>
      <w:spacing w:before="200"/>
      <w:outlineLvl w:val="2"/>
    </w:pPr>
    <w:rPr>
      <w:rFonts w:eastAsiaTheme="majorEastAsia" w:cstheme="majorBidi"/>
      <w:b/>
      <w:bCs/>
    </w:rPr>
  </w:style>
  <w:style w:type="paragraph" w:styleId="Heading4">
    <w:name w:val="heading 4"/>
    <w:basedOn w:val="Normal"/>
    <w:next w:val="Normal"/>
    <w:link w:val="Heading4Char"/>
    <w:semiHidden/>
    <w:unhideWhenUsed/>
    <w:qFormat/>
    <w:rsid w:val="00F3408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3408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3408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3408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3408E"/>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3408E"/>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08E"/>
    <w:rPr>
      <w:rFonts w:eastAsiaTheme="majorEastAsia" w:cstheme="majorBidi"/>
      <w:b/>
      <w:bCs/>
      <w:sz w:val="32"/>
      <w:szCs w:val="28"/>
      <w:lang w:eastAsia="en-GB"/>
    </w:rPr>
  </w:style>
  <w:style w:type="character" w:customStyle="1" w:styleId="Heading2Char">
    <w:name w:val="Heading 2 Char"/>
    <w:basedOn w:val="DefaultParagraphFont"/>
    <w:link w:val="Heading2"/>
    <w:rsid w:val="00F3408E"/>
    <w:rPr>
      <w:rFonts w:eastAsiaTheme="majorEastAsia" w:cstheme="majorBidi"/>
      <w:b/>
      <w:bCs/>
      <w:sz w:val="28"/>
      <w:szCs w:val="26"/>
      <w:lang w:eastAsia="en-GB"/>
    </w:rPr>
  </w:style>
  <w:style w:type="table" w:styleId="TableGrid">
    <w:name w:val="Table Grid"/>
    <w:basedOn w:val="TableNormal"/>
    <w:rsid w:val="00F34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F3408E"/>
    <w:rPr>
      <w:rFonts w:eastAsiaTheme="majorEastAsia" w:cstheme="majorBidi"/>
      <w:b/>
      <w:bCs/>
      <w:sz w:val="24"/>
      <w:szCs w:val="24"/>
      <w:lang w:eastAsia="en-GB"/>
    </w:rPr>
  </w:style>
  <w:style w:type="numbering" w:styleId="111111">
    <w:name w:val="Outline List 2"/>
    <w:basedOn w:val="NoList"/>
    <w:rsid w:val="00F3408E"/>
    <w:pPr>
      <w:numPr>
        <w:numId w:val="1"/>
      </w:numPr>
    </w:pPr>
  </w:style>
  <w:style w:type="character" w:customStyle="1" w:styleId="Heading4Char">
    <w:name w:val="Heading 4 Char"/>
    <w:basedOn w:val="DefaultParagraphFont"/>
    <w:link w:val="Heading4"/>
    <w:semiHidden/>
    <w:rsid w:val="00F3408E"/>
    <w:rPr>
      <w:rFonts w:asciiTheme="majorHAnsi" w:eastAsiaTheme="majorEastAsia" w:hAnsiTheme="majorHAnsi" w:cstheme="majorBidi"/>
      <w:b/>
      <w:bCs/>
      <w:i/>
      <w:iCs/>
      <w:color w:val="4F81BD" w:themeColor="accent1"/>
      <w:sz w:val="24"/>
      <w:szCs w:val="24"/>
      <w:lang w:eastAsia="en-GB"/>
    </w:rPr>
  </w:style>
  <w:style w:type="character" w:customStyle="1" w:styleId="Heading5Char">
    <w:name w:val="Heading 5 Char"/>
    <w:basedOn w:val="DefaultParagraphFont"/>
    <w:link w:val="Heading5"/>
    <w:semiHidden/>
    <w:rsid w:val="00F3408E"/>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semiHidden/>
    <w:rsid w:val="00F3408E"/>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semiHidden/>
    <w:rsid w:val="00F3408E"/>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semiHidden/>
    <w:rsid w:val="00F3408E"/>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semiHidden/>
    <w:rsid w:val="00F3408E"/>
    <w:rPr>
      <w:rFonts w:asciiTheme="majorHAnsi" w:eastAsiaTheme="majorEastAsia" w:hAnsiTheme="majorHAnsi" w:cstheme="majorBidi"/>
      <w:i/>
      <w:iCs/>
      <w:color w:val="404040" w:themeColor="text1" w:themeTint="BF"/>
      <w:lang w:eastAsia="en-GB"/>
    </w:rPr>
  </w:style>
  <w:style w:type="paragraph" w:styleId="Header">
    <w:name w:val="header"/>
    <w:basedOn w:val="Normal"/>
    <w:link w:val="HeaderChar"/>
    <w:uiPriority w:val="99"/>
    <w:rsid w:val="00F3408E"/>
    <w:pPr>
      <w:tabs>
        <w:tab w:val="center" w:pos="4153"/>
        <w:tab w:val="right" w:pos="8306"/>
      </w:tabs>
    </w:pPr>
    <w:rPr>
      <w:rFonts w:eastAsia="Times New Roman"/>
    </w:rPr>
  </w:style>
  <w:style w:type="character" w:customStyle="1" w:styleId="HeaderChar">
    <w:name w:val="Header Char"/>
    <w:basedOn w:val="DefaultParagraphFont"/>
    <w:link w:val="Header"/>
    <w:uiPriority w:val="99"/>
    <w:rsid w:val="00F3408E"/>
    <w:rPr>
      <w:rFonts w:eastAsia="Times New Roman"/>
      <w:sz w:val="24"/>
      <w:szCs w:val="24"/>
      <w:lang w:eastAsia="en-GB"/>
    </w:rPr>
  </w:style>
  <w:style w:type="paragraph" w:styleId="Footer">
    <w:name w:val="footer"/>
    <w:basedOn w:val="Normal"/>
    <w:link w:val="FooterChar"/>
    <w:uiPriority w:val="99"/>
    <w:rsid w:val="00F3408E"/>
    <w:pPr>
      <w:tabs>
        <w:tab w:val="center" w:pos="4153"/>
        <w:tab w:val="right" w:pos="8306"/>
      </w:tabs>
    </w:pPr>
    <w:rPr>
      <w:rFonts w:eastAsia="Times New Roman"/>
    </w:rPr>
  </w:style>
  <w:style w:type="character" w:customStyle="1" w:styleId="FooterChar">
    <w:name w:val="Footer Char"/>
    <w:basedOn w:val="DefaultParagraphFont"/>
    <w:link w:val="Footer"/>
    <w:uiPriority w:val="99"/>
    <w:rsid w:val="00F3408E"/>
    <w:rPr>
      <w:rFonts w:eastAsia="Times New Roman"/>
      <w:sz w:val="24"/>
      <w:szCs w:val="24"/>
      <w:lang w:eastAsia="en-GB"/>
    </w:rPr>
  </w:style>
  <w:style w:type="character" w:styleId="PageNumber">
    <w:name w:val="page number"/>
    <w:basedOn w:val="DefaultParagraphFont"/>
    <w:uiPriority w:val="99"/>
    <w:rsid w:val="00F3408E"/>
    <w:rPr>
      <w:rFonts w:cs="Times New Roman"/>
    </w:rPr>
  </w:style>
  <w:style w:type="paragraph" w:styleId="BodyText">
    <w:name w:val="Body Text"/>
    <w:basedOn w:val="Normal"/>
    <w:link w:val="BodyTextChar"/>
    <w:uiPriority w:val="99"/>
    <w:rsid w:val="00F3408E"/>
    <w:pPr>
      <w:jc w:val="center"/>
    </w:pPr>
    <w:rPr>
      <w:rFonts w:eastAsia="Times New Roman"/>
      <w:b/>
      <w:bCs/>
      <w:smallCaps/>
      <w:sz w:val="28"/>
      <w:lang w:eastAsia="en-US"/>
    </w:rPr>
  </w:style>
  <w:style w:type="character" w:customStyle="1" w:styleId="BodyTextChar">
    <w:name w:val="Body Text Char"/>
    <w:basedOn w:val="DefaultParagraphFont"/>
    <w:link w:val="BodyText"/>
    <w:uiPriority w:val="99"/>
    <w:rsid w:val="00F3408E"/>
    <w:rPr>
      <w:rFonts w:eastAsia="Times New Roman"/>
      <w:b/>
      <w:bCs/>
      <w:smallCaps/>
      <w:sz w:val="28"/>
      <w:szCs w:val="24"/>
    </w:rPr>
  </w:style>
  <w:style w:type="character" w:styleId="Hyperlink">
    <w:name w:val="Hyperlink"/>
    <w:basedOn w:val="DefaultParagraphFont"/>
    <w:uiPriority w:val="99"/>
    <w:rsid w:val="00F3408E"/>
    <w:rPr>
      <w:rFonts w:cs="Times New Roman"/>
      <w:color w:val="0000FF"/>
      <w:u w:val="single"/>
    </w:rPr>
  </w:style>
  <w:style w:type="character" w:styleId="Emphasis">
    <w:name w:val="Emphasis"/>
    <w:basedOn w:val="DefaultParagraphFont"/>
    <w:uiPriority w:val="99"/>
    <w:qFormat/>
    <w:rsid w:val="00F3408E"/>
    <w:rPr>
      <w:rFonts w:cs="Times New Roman"/>
      <w:i/>
      <w:iCs/>
    </w:rPr>
  </w:style>
  <w:style w:type="paragraph" w:styleId="BalloonText">
    <w:name w:val="Balloon Text"/>
    <w:basedOn w:val="Normal"/>
    <w:link w:val="BalloonTextChar"/>
    <w:rsid w:val="00F3408E"/>
    <w:rPr>
      <w:rFonts w:ascii="Tahoma" w:eastAsia="Times New Roman" w:hAnsi="Tahoma" w:cs="Tahoma"/>
      <w:sz w:val="16"/>
      <w:szCs w:val="16"/>
    </w:rPr>
  </w:style>
  <w:style w:type="character" w:customStyle="1" w:styleId="BalloonTextChar">
    <w:name w:val="Balloon Text Char"/>
    <w:basedOn w:val="DefaultParagraphFont"/>
    <w:link w:val="BalloonText"/>
    <w:rsid w:val="00F3408E"/>
    <w:rPr>
      <w:rFonts w:ascii="Tahoma" w:eastAsia="Times New Roman" w:hAnsi="Tahoma" w:cs="Tahoma"/>
      <w:sz w:val="16"/>
      <w:szCs w:val="16"/>
      <w:lang w:eastAsia="en-GB"/>
    </w:rPr>
  </w:style>
  <w:style w:type="character" w:customStyle="1" w:styleId="normaltext-white">
    <w:name w:val="normaltext-white"/>
    <w:basedOn w:val="DefaultParagraphFont"/>
    <w:uiPriority w:val="99"/>
    <w:rsid w:val="00F3408E"/>
    <w:rPr>
      <w:rFonts w:cs="Times New Roman"/>
    </w:rPr>
  </w:style>
  <w:style w:type="paragraph" w:customStyle="1" w:styleId="Default">
    <w:name w:val="Default"/>
    <w:rsid w:val="00F3408E"/>
    <w:pPr>
      <w:autoSpaceDE w:val="0"/>
      <w:autoSpaceDN w:val="0"/>
      <w:adjustRightInd w:val="0"/>
    </w:pPr>
    <w:rPr>
      <w:rFonts w:eastAsia="Times New Roman"/>
      <w:color w:val="000000"/>
      <w:sz w:val="24"/>
      <w:szCs w:val="24"/>
      <w:lang w:eastAsia="en-GB"/>
    </w:rPr>
  </w:style>
  <w:style w:type="paragraph" w:styleId="ListParagraph">
    <w:name w:val="List Paragraph"/>
    <w:basedOn w:val="Normal"/>
    <w:uiPriority w:val="34"/>
    <w:qFormat/>
    <w:rsid w:val="00CA3EE9"/>
    <w:pPr>
      <w:ind w:left="720"/>
      <w:contextualSpacing/>
    </w:pPr>
  </w:style>
  <w:style w:type="paragraph" w:styleId="Caption">
    <w:name w:val="caption"/>
    <w:basedOn w:val="Normal"/>
    <w:next w:val="Normal"/>
    <w:unhideWhenUsed/>
    <w:qFormat/>
    <w:rsid w:val="00CA3EE9"/>
    <w:pPr>
      <w:spacing w:after="200"/>
    </w:pPr>
    <w:rPr>
      <w:bCs/>
      <w:szCs w:val="18"/>
    </w:rPr>
  </w:style>
  <w:style w:type="character" w:styleId="FollowedHyperlink">
    <w:name w:val="FollowedHyperlink"/>
    <w:basedOn w:val="DefaultParagraphFont"/>
    <w:uiPriority w:val="99"/>
    <w:unhideWhenUsed/>
    <w:rsid w:val="007457A1"/>
    <w:rPr>
      <w:color w:val="800080"/>
      <w:u w:val="single"/>
    </w:rPr>
  </w:style>
  <w:style w:type="paragraph" w:customStyle="1" w:styleId="xl63">
    <w:name w:val="xl63"/>
    <w:basedOn w:val="Normal"/>
    <w:rsid w:val="007457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64">
    <w:name w:val="xl64"/>
    <w:basedOn w:val="Normal"/>
    <w:rsid w:val="007457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65">
    <w:name w:val="xl65"/>
    <w:basedOn w:val="Normal"/>
    <w:rsid w:val="007457A1"/>
    <w:pPr>
      <w:spacing w:before="100" w:beforeAutospacing="1" w:after="100" w:afterAutospacing="1"/>
      <w:textAlignment w:val="center"/>
    </w:pPr>
    <w:rPr>
      <w:rFonts w:eastAsia="Times New Roman"/>
    </w:rPr>
  </w:style>
  <w:style w:type="paragraph" w:customStyle="1" w:styleId="xl66">
    <w:name w:val="xl66"/>
    <w:basedOn w:val="Normal"/>
    <w:rsid w:val="007457A1"/>
    <w:pPr>
      <w:spacing w:before="100" w:beforeAutospacing="1" w:after="100" w:afterAutospacing="1"/>
      <w:textAlignment w:val="center"/>
    </w:pPr>
    <w:rPr>
      <w:rFonts w:eastAsia="Times New Roman"/>
    </w:rPr>
  </w:style>
  <w:style w:type="paragraph" w:customStyle="1" w:styleId="xl67">
    <w:name w:val="xl67"/>
    <w:basedOn w:val="Normal"/>
    <w:rsid w:val="007457A1"/>
    <w:pPr>
      <w:spacing w:before="100" w:beforeAutospacing="1" w:after="100" w:afterAutospacing="1"/>
      <w:textAlignment w:val="center"/>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11111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1421">
      <w:bodyDiv w:val="1"/>
      <w:marLeft w:val="0"/>
      <w:marRight w:val="0"/>
      <w:marTop w:val="0"/>
      <w:marBottom w:val="0"/>
      <w:divBdr>
        <w:top w:val="none" w:sz="0" w:space="0" w:color="auto"/>
        <w:left w:val="none" w:sz="0" w:space="0" w:color="auto"/>
        <w:bottom w:val="none" w:sz="0" w:space="0" w:color="auto"/>
        <w:right w:val="none" w:sz="0" w:space="0" w:color="auto"/>
      </w:divBdr>
    </w:div>
    <w:div w:id="153189073">
      <w:bodyDiv w:val="1"/>
      <w:marLeft w:val="0"/>
      <w:marRight w:val="0"/>
      <w:marTop w:val="0"/>
      <w:marBottom w:val="0"/>
      <w:divBdr>
        <w:top w:val="none" w:sz="0" w:space="0" w:color="auto"/>
        <w:left w:val="none" w:sz="0" w:space="0" w:color="auto"/>
        <w:bottom w:val="none" w:sz="0" w:space="0" w:color="auto"/>
        <w:right w:val="none" w:sz="0" w:space="0" w:color="auto"/>
      </w:divBdr>
    </w:div>
    <w:div w:id="628049493">
      <w:bodyDiv w:val="1"/>
      <w:marLeft w:val="0"/>
      <w:marRight w:val="0"/>
      <w:marTop w:val="0"/>
      <w:marBottom w:val="0"/>
      <w:divBdr>
        <w:top w:val="none" w:sz="0" w:space="0" w:color="auto"/>
        <w:left w:val="none" w:sz="0" w:space="0" w:color="auto"/>
        <w:bottom w:val="none" w:sz="0" w:space="0" w:color="auto"/>
        <w:right w:val="none" w:sz="0" w:space="0" w:color="auto"/>
      </w:divBdr>
    </w:div>
    <w:div w:id="747656656">
      <w:bodyDiv w:val="1"/>
      <w:marLeft w:val="0"/>
      <w:marRight w:val="0"/>
      <w:marTop w:val="0"/>
      <w:marBottom w:val="0"/>
      <w:divBdr>
        <w:top w:val="none" w:sz="0" w:space="0" w:color="auto"/>
        <w:left w:val="none" w:sz="0" w:space="0" w:color="auto"/>
        <w:bottom w:val="none" w:sz="0" w:space="0" w:color="auto"/>
        <w:right w:val="none" w:sz="0" w:space="0" w:color="auto"/>
      </w:divBdr>
    </w:div>
    <w:div w:id="1092774478">
      <w:bodyDiv w:val="1"/>
      <w:marLeft w:val="0"/>
      <w:marRight w:val="0"/>
      <w:marTop w:val="0"/>
      <w:marBottom w:val="0"/>
      <w:divBdr>
        <w:top w:val="none" w:sz="0" w:space="0" w:color="auto"/>
        <w:left w:val="none" w:sz="0" w:space="0" w:color="auto"/>
        <w:bottom w:val="none" w:sz="0" w:space="0" w:color="auto"/>
        <w:right w:val="none" w:sz="0" w:space="0" w:color="auto"/>
      </w:divBdr>
    </w:div>
    <w:div w:id="1144011430">
      <w:bodyDiv w:val="1"/>
      <w:marLeft w:val="0"/>
      <w:marRight w:val="0"/>
      <w:marTop w:val="0"/>
      <w:marBottom w:val="0"/>
      <w:divBdr>
        <w:top w:val="none" w:sz="0" w:space="0" w:color="auto"/>
        <w:left w:val="none" w:sz="0" w:space="0" w:color="auto"/>
        <w:bottom w:val="none" w:sz="0" w:space="0" w:color="auto"/>
        <w:right w:val="none" w:sz="0" w:space="0" w:color="auto"/>
      </w:divBdr>
    </w:div>
    <w:div w:id="1144616068">
      <w:bodyDiv w:val="1"/>
      <w:marLeft w:val="0"/>
      <w:marRight w:val="0"/>
      <w:marTop w:val="0"/>
      <w:marBottom w:val="0"/>
      <w:divBdr>
        <w:top w:val="none" w:sz="0" w:space="0" w:color="auto"/>
        <w:left w:val="none" w:sz="0" w:space="0" w:color="auto"/>
        <w:bottom w:val="none" w:sz="0" w:space="0" w:color="auto"/>
        <w:right w:val="none" w:sz="0" w:space="0" w:color="auto"/>
      </w:divBdr>
    </w:div>
    <w:div w:id="1157571769">
      <w:bodyDiv w:val="1"/>
      <w:marLeft w:val="0"/>
      <w:marRight w:val="0"/>
      <w:marTop w:val="0"/>
      <w:marBottom w:val="0"/>
      <w:divBdr>
        <w:top w:val="none" w:sz="0" w:space="0" w:color="auto"/>
        <w:left w:val="none" w:sz="0" w:space="0" w:color="auto"/>
        <w:bottom w:val="none" w:sz="0" w:space="0" w:color="auto"/>
        <w:right w:val="none" w:sz="0" w:space="0" w:color="auto"/>
      </w:divBdr>
    </w:div>
    <w:div w:id="1438216006">
      <w:bodyDiv w:val="1"/>
      <w:marLeft w:val="0"/>
      <w:marRight w:val="0"/>
      <w:marTop w:val="0"/>
      <w:marBottom w:val="0"/>
      <w:divBdr>
        <w:top w:val="none" w:sz="0" w:space="0" w:color="auto"/>
        <w:left w:val="none" w:sz="0" w:space="0" w:color="auto"/>
        <w:bottom w:val="none" w:sz="0" w:space="0" w:color="auto"/>
        <w:right w:val="none" w:sz="0" w:space="0" w:color="auto"/>
      </w:divBdr>
    </w:div>
    <w:div w:id="1749225467">
      <w:bodyDiv w:val="1"/>
      <w:marLeft w:val="0"/>
      <w:marRight w:val="0"/>
      <w:marTop w:val="0"/>
      <w:marBottom w:val="0"/>
      <w:divBdr>
        <w:top w:val="none" w:sz="0" w:space="0" w:color="auto"/>
        <w:left w:val="none" w:sz="0" w:space="0" w:color="auto"/>
        <w:bottom w:val="none" w:sz="0" w:space="0" w:color="auto"/>
        <w:right w:val="none" w:sz="0" w:space="0" w:color="auto"/>
      </w:divBdr>
    </w:div>
    <w:div w:id="1749383329">
      <w:bodyDiv w:val="1"/>
      <w:marLeft w:val="0"/>
      <w:marRight w:val="0"/>
      <w:marTop w:val="0"/>
      <w:marBottom w:val="0"/>
      <w:divBdr>
        <w:top w:val="none" w:sz="0" w:space="0" w:color="auto"/>
        <w:left w:val="none" w:sz="0" w:space="0" w:color="auto"/>
        <w:bottom w:val="none" w:sz="0" w:space="0" w:color="auto"/>
        <w:right w:val="none" w:sz="0" w:space="0" w:color="auto"/>
      </w:divBdr>
    </w:div>
    <w:div w:id="1785921876">
      <w:bodyDiv w:val="1"/>
      <w:marLeft w:val="0"/>
      <w:marRight w:val="0"/>
      <w:marTop w:val="0"/>
      <w:marBottom w:val="0"/>
      <w:divBdr>
        <w:top w:val="none" w:sz="0" w:space="0" w:color="auto"/>
        <w:left w:val="none" w:sz="0" w:space="0" w:color="auto"/>
        <w:bottom w:val="none" w:sz="0" w:space="0" w:color="auto"/>
        <w:right w:val="none" w:sz="0" w:space="0" w:color="auto"/>
      </w:divBdr>
    </w:div>
    <w:div w:id="18576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C0C6-BE88-4A30-8F0B-3782BCDC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5985</Words>
  <Characters>34120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40025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osse06</dc:creator>
  <cp:lastModifiedBy>Etherington, Russell, BioMed Central Ltd.</cp:lastModifiedBy>
  <cp:revision>2</cp:revision>
  <dcterms:created xsi:type="dcterms:W3CDTF">2014-02-17T15:09:00Z</dcterms:created>
  <dcterms:modified xsi:type="dcterms:W3CDTF">2014-02-17T15:09:00Z</dcterms:modified>
</cp:coreProperties>
</file>