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CDD" w:rsidRPr="005C7511" w:rsidRDefault="00B43CDD" w:rsidP="00B43CDD">
      <w:pPr>
        <w:rPr>
          <w:rFonts w:ascii="Georgia" w:hAnsi="Georgia"/>
          <w:i/>
        </w:rPr>
      </w:pPr>
      <w:r w:rsidRPr="005C7511">
        <w:rPr>
          <w:rFonts w:ascii="Georgia" w:hAnsi="Georgia"/>
          <w:i/>
        </w:rPr>
        <w:t>Assessment of illness</w:t>
      </w:r>
    </w:p>
    <w:p w:rsidR="00B43CDD" w:rsidRDefault="00B43CDD" w:rsidP="00B43CDD">
      <w:pPr>
        <w:spacing w:line="480" w:lineRule="auto"/>
        <w:rPr>
          <w:rFonts w:ascii="Georgia" w:hAnsi="Georgia" w:cs="Georgia"/>
          <w:color w:val="000000"/>
        </w:rPr>
      </w:pPr>
      <w:r>
        <w:rPr>
          <w:rFonts w:ascii="Georgia" w:hAnsi="Georgia" w:cs="Georgia"/>
          <w:color w:val="000000"/>
        </w:rPr>
        <w:t>A subject would be considered to have illness based on the severity of symptoms on days following inoculation.  Upper respiratory tract infection symptoms/nasal symptoms included</w:t>
      </w:r>
      <w:r w:rsidR="007767DC">
        <w:rPr>
          <w:rFonts w:ascii="Georgia" w:hAnsi="Georgia" w:cs="Georgia"/>
          <w:color w:val="000000"/>
        </w:rPr>
        <w:t xml:space="preserve"> </w:t>
      </w:r>
      <w:r w:rsidR="007767DC" w:rsidRPr="007767DC">
        <w:rPr>
          <w:rFonts w:ascii="Georgia" w:hAnsi="Georgia" w:cs="Georgia"/>
          <w:color w:val="000000"/>
        </w:rPr>
        <w:t>URTI/nasal symptoms included s</w:t>
      </w:r>
      <w:bookmarkStart w:id="0" w:name="_GoBack"/>
      <w:bookmarkEnd w:id="0"/>
      <w:r w:rsidR="007767DC" w:rsidRPr="007767DC">
        <w:rPr>
          <w:rFonts w:ascii="Georgia" w:hAnsi="Georgia" w:cs="Georgia"/>
          <w:color w:val="000000"/>
        </w:rPr>
        <w:t>neezing, runny nose, nasal obstruction, and sore throat.  Non-nasal symptoms included malaise, chilliness, cough and headache</w:t>
      </w:r>
      <w:r w:rsidR="007767DC">
        <w:rPr>
          <w:rFonts w:ascii="Georgia" w:hAnsi="Georgia" w:cs="Georgia"/>
          <w:color w:val="000000"/>
        </w:rPr>
        <w:t xml:space="preserve">.  </w:t>
      </w:r>
      <w:r>
        <w:rPr>
          <w:rFonts w:ascii="Georgia" w:hAnsi="Georgia" w:cs="Georgia"/>
          <w:color w:val="000000"/>
        </w:rPr>
        <w:t xml:space="preserve">Subjects were asked to judge their symptoms on a scale from 0 (absent) to 4 (very severe).  </w:t>
      </w:r>
      <w:r w:rsidRPr="00391990">
        <w:rPr>
          <w:rFonts w:ascii="Georgia" w:hAnsi="Georgia" w:cs="Georgia"/>
          <w:color w:val="000000"/>
        </w:rPr>
        <w:t>The diagnosis of a cold illness (modified Jackson cold</w:t>
      </w:r>
      <w:r>
        <w:rPr>
          <w:rFonts w:ascii="Georgia" w:hAnsi="Georgia" w:cs="Georgia"/>
          <w:color w:val="000000"/>
        </w:rPr>
        <w:t xml:space="preserve"> </w:t>
      </w:r>
      <w:r>
        <w:rPr>
          <w:rFonts w:ascii="Georgia" w:hAnsi="Georgia" w:cs="Georgia"/>
          <w:color w:val="000000"/>
        </w:rPr>
        <w:fldChar w:fldCharType="begin"/>
      </w:r>
      <w:r>
        <w:rPr>
          <w:rFonts w:ascii="Georgia" w:hAnsi="Georgia" w:cs="Georgia"/>
          <w:color w:val="000000"/>
        </w:rPr>
        <w:instrText xml:space="preserve"> ADDIN EN.CITE &lt;EndNote&gt;&lt;Cite&gt;&lt;Author&gt;Jackson&lt;/Author&gt;&lt;Year&gt;1958&lt;/Year&gt;&lt;RecNum&gt;369&lt;/RecNum&gt;&lt;DisplayText&gt;[1]&lt;/DisplayText&gt;&lt;record&gt;&lt;rec-number&gt;369&lt;/rec-number&gt;&lt;foreign-keys&gt;&lt;key app="EN" db-id="adrpzxzw2zavtjee2r6v990mfwzrdfw9fa0a"&gt;369&lt;/key&gt;&lt;/foreign-keys&gt;&lt;ref-type name="Journal Article"&gt;17&lt;/ref-type&gt;&lt;contributors&gt;&lt;authors&gt;&lt;author&gt;G. G. Jackson&lt;/author&gt;&lt;/authors&gt;&lt;/contributors&gt;&lt;titles&gt;&lt;title&gt;Transmission of the common cold to volunteers under controlled conditions. I. The common cold as a clinical entity&lt;/title&gt;&lt;secondary-title&gt;Archives of Internal Medicine&lt;/secondary-title&gt;&lt;/titles&gt;&lt;periodical&gt;&lt;full-title&gt;Archives of Internal Medicine&lt;/full-title&gt;&lt;/periodical&gt;&lt;pages&gt;267&lt;/pages&gt;&lt;volume&gt;101&lt;/volume&gt;&lt;number&gt;2&lt;/number&gt;&lt;dates&gt;&lt;year&gt;1958&lt;/year&gt;&lt;/dates&gt;&lt;urls&gt;&lt;/urls&gt;&lt;/record&gt;&lt;/Cite&gt;&lt;/EndNote&gt;</w:instrText>
      </w:r>
      <w:r>
        <w:rPr>
          <w:rFonts w:ascii="Georgia" w:hAnsi="Georgia" w:cs="Georgia"/>
          <w:color w:val="000000"/>
        </w:rPr>
        <w:fldChar w:fldCharType="separate"/>
      </w:r>
      <w:r>
        <w:rPr>
          <w:rFonts w:ascii="Georgia" w:hAnsi="Georgia" w:cs="Georgia"/>
          <w:noProof/>
          <w:color w:val="000000"/>
        </w:rPr>
        <w:t>[</w:t>
      </w:r>
      <w:hyperlink w:anchor="_ENREF_1" w:tooltip="Jackson, 1958 #369" w:history="1">
        <w:r>
          <w:rPr>
            <w:rFonts w:ascii="Georgia" w:hAnsi="Georgia" w:cs="Georgia"/>
            <w:noProof/>
            <w:color w:val="000000"/>
          </w:rPr>
          <w:t>1</w:t>
        </w:r>
      </w:hyperlink>
      <w:r>
        <w:rPr>
          <w:rFonts w:ascii="Georgia" w:hAnsi="Georgia" w:cs="Georgia"/>
          <w:noProof/>
          <w:color w:val="000000"/>
        </w:rPr>
        <w:t>]</w:t>
      </w:r>
      <w:r>
        <w:rPr>
          <w:rFonts w:ascii="Georgia" w:hAnsi="Georgia" w:cs="Georgia"/>
          <w:color w:val="000000"/>
        </w:rPr>
        <w:fldChar w:fldCharType="end"/>
      </w:r>
      <w:r w:rsidRPr="00391990">
        <w:rPr>
          <w:rFonts w:ascii="Georgia" w:hAnsi="Georgia" w:cs="Georgia"/>
          <w:color w:val="000000"/>
        </w:rPr>
        <w:t>) required a total symptom score of ≥ 6 for 5 days and either the presence of rhinorrhea on 3 or more day</w:t>
      </w:r>
      <w:r>
        <w:rPr>
          <w:rFonts w:ascii="Georgia" w:hAnsi="Georgia" w:cs="Georgia"/>
          <w:color w:val="000000"/>
        </w:rPr>
        <w:t>s</w:t>
      </w:r>
      <w:r w:rsidRPr="00391990">
        <w:rPr>
          <w:rFonts w:ascii="Georgia" w:hAnsi="Georgia" w:cs="Georgia"/>
          <w:color w:val="000000"/>
        </w:rPr>
        <w:t xml:space="preserve"> or the subjective impression of having a cold. </w:t>
      </w:r>
    </w:p>
    <w:p w:rsidR="00B43CDD" w:rsidRDefault="00B43CDD" w:rsidP="00B43CDD">
      <w:pPr>
        <w:spacing w:line="480" w:lineRule="auto"/>
        <w:rPr>
          <w:rFonts w:ascii="Georgia" w:hAnsi="Georgia" w:cs="Georgia"/>
          <w:color w:val="000000"/>
        </w:rPr>
      </w:pPr>
    </w:p>
    <w:p w:rsidR="00B43CDD" w:rsidRPr="00B43CDD" w:rsidRDefault="00B43CDD" w:rsidP="00B43CDD">
      <w:pPr>
        <w:spacing w:line="480" w:lineRule="auto"/>
        <w:rPr>
          <w:rFonts w:ascii="Georgia" w:hAnsi="Georgia" w:cs="Georgia"/>
          <w:i/>
          <w:color w:val="000000"/>
        </w:rPr>
      </w:pPr>
      <w:r w:rsidRPr="00B43CDD">
        <w:rPr>
          <w:rFonts w:ascii="Georgia" w:hAnsi="Georgia" w:cs="Georgia"/>
          <w:i/>
          <w:color w:val="000000"/>
        </w:rPr>
        <w:t>Reference</w:t>
      </w:r>
    </w:p>
    <w:p w:rsidR="00B43CDD" w:rsidRPr="00B43CDD" w:rsidRDefault="00B43CDD" w:rsidP="00B43CDD">
      <w:pPr>
        <w:spacing w:line="240" w:lineRule="auto"/>
        <w:ind w:left="270" w:hanging="270"/>
        <w:rPr>
          <w:rFonts w:cs="Georgia"/>
          <w:noProof/>
          <w:color w:val="000000"/>
        </w:rPr>
      </w:pPr>
      <w:r>
        <w:rPr>
          <w:rFonts w:ascii="Georgia" w:hAnsi="Georgia" w:cs="Georgia"/>
          <w:color w:val="000000"/>
        </w:rPr>
        <w:fldChar w:fldCharType="begin"/>
      </w:r>
      <w:r>
        <w:rPr>
          <w:rFonts w:ascii="Georgia" w:hAnsi="Georgia" w:cs="Georgia"/>
          <w:color w:val="000000"/>
        </w:rPr>
        <w:instrText xml:space="preserve"> ADDIN EN.REFLIST </w:instrText>
      </w:r>
      <w:r>
        <w:rPr>
          <w:rFonts w:ascii="Georgia" w:hAnsi="Georgia" w:cs="Georgia"/>
          <w:color w:val="000000"/>
        </w:rPr>
        <w:fldChar w:fldCharType="separate"/>
      </w:r>
      <w:bookmarkStart w:id="1" w:name="_ENREF_1"/>
      <w:r w:rsidRPr="00B43CDD">
        <w:rPr>
          <w:rFonts w:cs="Georgia"/>
          <w:noProof/>
          <w:color w:val="000000"/>
        </w:rPr>
        <w:t>1.</w:t>
      </w:r>
      <w:r w:rsidRPr="00B43CDD">
        <w:rPr>
          <w:rFonts w:cs="Georgia"/>
          <w:noProof/>
          <w:color w:val="000000"/>
        </w:rPr>
        <w:tab/>
        <w:t xml:space="preserve">Jackson GG: </w:t>
      </w:r>
      <w:r w:rsidRPr="00B43CDD">
        <w:rPr>
          <w:rFonts w:cs="Georgia"/>
          <w:b/>
          <w:noProof/>
          <w:color w:val="000000"/>
        </w:rPr>
        <w:t>Transmission of the common cold to volunteers under controlled conditions. I. The common cold as a clinical entity.</w:t>
      </w:r>
      <w:r w:rsidRPr="00B43CDD">
        <w:rPr>
          <w:rFonts w:cs="Georgia"/>
          <w:noProof/>
          <w:color w:val="000000"/>
        </w:rPr>
        <w:t xml:space="preserve"> </w:t>
      </w:r>
      <w:r w:rsidRPr="00B43CDD">
        <w:rPr>
          <w:rFonts w:cs="Georgia"/>
          <w:i/>
          <w:noProof/>
          <w:color w:val="000000"/>
        </w:rPr>
        <w:t xml:space="preserve">Archives of Internal Medicine </w:t>
      </w:r>
      <w:r w:rsidRPr="00B43CDD">
        <w:rPr>
          <w:rFonts w:cs="Georgia"/>
          <w:noProof/>
          <w:color w:val="000000"/>
        </w:rPr>
        <w:t xml:space="preserve">1958, </w:t>
      </w:r>
      <w:r w:rsidRPr="00B43CDD">
        <w:rPr>
          <w:rFonts w:cs="Georgia"/>
          <w:b/>
          <w:noProof/>
          <w:color w:val="000000"/>
        </w:rPr>
        <w:t>101:</w:t>
      </w:r>
      <w:r w:rsidRPr="00B43CDD">
        <w:rPr>
          <w:rFonts w:cs="Georgia"/>
          <w:noProof/>
          <w:color w:val="000000"/>
        </w:rPr>
        <w:t>267.</w:t>
      </w:r>
      <w:bookmarkEnd w:id="1"/>
    </w:p>
    <w:p w:rsidR="00B43CDD" w:rsidRDefault="00B43CDD" w:rsidP="00B43CDD">
      <w:pPr>
        <w:spacing w:line="240" w:lineRule="auto"/>
        <w:rPr>
          <w:rFonts w:ascii="Georgia" w:hAnsi="Georgia" w:cs="Georgia"/>
          <w:noProof/>
          <w:color w:val="000000"/>
        </w:rPr>
      </w:pPr>
    </w:p>
    <w:p w:rsidR="006B5361" w:rsidRPr="00B43CDD" w:rsidRDefault="00B43CDD" w:rsidP="00B43CDD">
      <w:pPr>
        <w:spacing w:line="480" w:lineRule="auto"/>
        <w:rPr>
          <w:rFonts w:ascii="Georgia" w:hAnsi="Georgia" w:cs="Georgia"/>
          <w:color w:val="000000"/>
        </w:rPr>
      </w:pPr>
      <w:r>
        <w:rPr>
          <w:rFonts w:ascii="Georgia" w:hAnsi="Georgia" w:cs="Georgia"/>
          <w:color w:val="000000"/>
        </w:rPr>
        <w:fldChar w:fldCharType="end"/>
      </w:r>
    </w:p>
    <w:sectPr w:rsidR="006B5361" w:rsidRPr="00B43C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Layout" w:val="&lt;ENLayout&gt;&lt;Style&gt;biomedcentral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adrpzxzw2zavtjee2r6v990mfwzrdfw9fa0a&quot;&gt;EndnoteLibrary_101612&lt;record-ids&gt;&lt;item&gt;369&lt;/item&gt;&lt;/record-ids&gt;&lt;/item&gt;&lt;/Libraries&gt;"/>
  </w:docVars>
  <w:rsids>
    <w:rsidRoot w:val="00B43CDD"/>
    <w:rsid w:val="001A2A91"/>
    <w:rsid w:val="004B1F89"/>
    <w:rsid w:val="007767DC"/>
    <w:rsid w:val="00B173C8"/>
    <w:rsid w:val="00B43CDD"/>
    <w:rsid w:val="00CC2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3CDD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43CD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3CDD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43CD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Allen, Emma (eka2bh)</dc:creator>
  <cp:lastModifiedBy>Allen, Emma (eka2bh)</cp:lastModifiedBy>
  <cp:revision>3</cp:revision>
  <dcterms:created xsi:type="dcterms:W3CDTF">2014-02-06T21:21:00Z</dcterms:created>
  <dcterms:modified xsi:type="dcterms:W3CDTF">2014-02-27T16:07:00Z</dcterms:modified>
</cp:coreProperties>
</file>