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3FF" w:rsidRPr="00734E96" w:rsidRDefault="004203FF" w:rsidP="00734E96">
      <w:pPr>
        <w:rPr>
          <w:rFonts w:ascii="Cambria" w:hAnsi="Cambria"/>
          <w:b/>
          <w:sz w:val="24"/>
          <w:szCs w:val="24"/>
          <w:highlight w:val="yellow"/>
          <w:u w:val="single"/>
        </w:rPr>
      </w:pPr>
      <w:proofErr w:type="gramStart"/>
      <w:r w:rsidRPr="00734E96">
        <w:rPr>
          <w:rFonts w:ascii="Cambria" w:hAnsi="Cambria" w:hint="eastAsia"/>
          <w:b/>
          <w:sz w:val="24"/>
          <w:szCs w:val="24"/>
          <w:highlight w:val="yellow"/>
          <w:u w:val="single"/>
        </w:rPr>
        <w:t>Tab</w:t>
      </w:r>
      <w:r w:rsidR="008276AF" w:rsidRPr="00734E96">
        <w:rPr>
          <w:rFonts w:ascii="Cambria" w:hAnsi="Cambria" w:hint="eastAsia"/>
          <w:b/>
          <w:sz w:val="24"/>
          <w:szCs w:val="24"/>
          <w:highlight w:val="yellow"/>
          <w:u w:val="single"/>
        </w:rPr>
        <w:t xml:space="preserve">le </w:t>
      </w:r>
      <w:r w:rsidR="00D072BE">
        <w:rPr>
          <w:rFonts w:ascii="Cambria" w:hAnsi="Cambria" w:hint="eastAsia"/>
          <w:b/>
          <w:sz w:val="24"/>
          <w:szCs w:val="24"/>
          <w:highlight w:val="yellow"/>
          <w:u w:val="single"/>
        </w:rPr>
        <w:t>2</w:t>
      </w:r>
      <w:r w:rsidRPr="00734E96">
        <w:rPr>
          <w:rFonts w:ascii="Cambria" w:hAnsi="Cambria" w:hint="eastAsia"/>
          <w:b/>
          <w:sz w:val="24"/>
          <w:szCs w:val="24"/>
          <w:highlight w:val="yellow"/>
          <w:u w:val="single"/>
        </w:rPr>
        <w:t>.</w:t>
      </w:r>
      <w:proofErr w:type="gramEnd"/>
      <w:r w:rsidRPr="00734E96">
        <w:rPr>
          <w:rFonts w:ascii="Cambria" w:hAnsi="Cambria" w:hint="eastAsia"/>
          <w:b/>
          <w:sz w:val="24"/>
          <w:szCs w:val="24"/>
          <w:highlight w:val="yellow"/>
          <w:u w:val="single"/>
        </w:rPr>
        <w:t xml:space="preserve">  Major </w:t>
      </w:r>
      <w:r w:rsidR="00734E96" w:rsidRPr="00734E96">
        <w:rPr>
          <w:rFonts w:ascii="Cambria" w:hAnsi="Cambria" w:hint="eastAsia"/>
          <w:b/>
          <w:sz w:val="24"/>
          <w:szCs w:val="24"/>
          <w:highlight w:val="yellow"/>
          <w:u w:val="single"/>
        </w:rPr>
        <w:t xml:space="preserve">historical </w:t>
      </w:r>
      <w:r w:rsidR="00C400C9">
        <w:rPr>
          <w:rFonts w:ascii="Cambria" w:hAnsi="Cambria" w:hint="eastAsia"/>
          <w:b/>
          <w:sz w:val="24"/>
          <w:szCs w:val="24"/>
          <w:highlight w:val="yellow"/>
          <w:u w:val="single"/>
        </w:rPr>
        <w:t>events in End-of-Care in the United States</w:t>
      </w:r>
      <w:r w:rsidR="00FE7C39">
        <w:rPr>
          <w:rFonts w:ascii="Cambria" w:hAnsi="Cambria" w:hint="eastAsia"/>
          <w:b/>
          <w:sz w:val="24"/>
          <w:szCs w:val="24"/>
          <w:highlight w:val="yellow"/>
          <w:u w:val="single"/>
        </w:rPr>
        <w:t xml:space="preserve"> [11</w:t>
      </w:r>
      <w:proofErr w:type="gramStart"/>
      <w:r w:rsidR="00FE7C39">
        <w:rPr>
          <w:rFonts w:ascii="Cambria" w:hAnsi="Cambria" w:hint="eastAsia"/>
          <w:b/>
          <w:sz w:val="24"/>
          <w:szCs w:val="24"/>
          <w:highlight w:val="yellow"/>
          <w:u w:val="single"/>
        </w:rPr>
        <w:t>,12</w:t>
      </w:r>
      <w:bookmarkStart w:id="0" w:name="_GoBack"/>
      <w:bookmarkEnd w:id="0"/>
      <w:proofErr w:type="gramEnd"/>
      <w:r w:rsidR="003B0DBA" w:rsidRPr="00734E96">
        <w:rPr>
          <w:rFonts w:ascii="Cambria" w:hAnsi="Cambria" w:hint="eastAsia"/>
          <w:b/>
          <w:sz w:val="24"/>
          <w:szCs w:val="24"/>
          <w:highlight w:val="yellow"/>
          <w:u w:val="single"/>
        </w:rPr>
        <w:t>]</w:t>
      </w:r>
    </w:p>
    <w:p w:rsidR="004203FF" w:rsidRPr="00DF4349" w:rsidRDefault="004203FF" w:rsidP="004203FF">
      <w:pPr>
        <w:ind w:firstLineChars="200" w:firstLine="560"/>
        <w:rPr>
          <w:rFonts w:ascii="Cambria" w:hAnsi="Cambria"/>
          <w:sz w:val="28"/>
          <w:szCs w:val="28"/>
          <w:highlight w:val="yellow"/>
        </w:rPr>
      </w:pPr>
    </w:p>
    <w:tbl>
      <w:tblPr>
        <w:tblStyle w:val="a3"/>
        <w:tblW w:w="9215" w:type="dxa"/>
        <w:tblInd w:w="-176" w:type="dxa"/>
        <w:tblLook w:val="04A0" w:firstRow="1" w:lastRow="0" w:firstColumn="1" w:lastColumn="0" w:noHBand="0" w:noVBand="1"/>
      </w:tblPr>
      <w:tblGrid>
        <w:gridCol w:w="738"/>
        <w:gridCol w:w="1990"/>
        <w:gridCol w:w="2410"/>
        <w:gridCol w:w="4077"/>
      </w:tblGrid>
      <w:tr w:rsidR="003B0DBA" w:rsidRPr="00DF4349" w:rsidTr="00B62A26">
        <w:tc>
          <w:tcPr>
            <w:tcW w:w="738" w:type="dxa"/>
          </w:tcPr>
          <w:p w:rsidR="003B0DBA" w:rsidRPr="00734E96" w:rsidRDefault="003B0DBA" w:rsidP="00CA6D8F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Year</w:t>
            </w:r>
          </w:p>
        </w:tc>
        <w:tc>
          <w:tcPr>
            <w:tcW w:w="1990" w:type="dxa"/>
          </w:tcPr>
          <w:p w:rsidR="003B0DBA" w:rsidRPr="00734E96" w:rsidRDefault="00734E96" w:rsidP="00CA6D8F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>
              <w:rPr>
                <w:rFonts w:ascii="Cambria" w:hAnsi="Cambria" w:hint="eastAsia"/>
                <w:b/>
                <w:szCs w:val="21"/>
                <w:highlight w:val="yellow"/>
              </w:rPr>
              <w:t>Name of Case</w:t>
            </w:r>
          </w:p>
        </w:tc>
        <w:tc>
          <w:tcPr>
            <w:tcW w:w="2410" w:type="dxa"/>
          </w:tcPr>
          <w:p w:rsidR="003B0DBA" w:rsidRPr="00734E96" w:rsidRDefault="003B0DBA" w:rsidP="00CA6D8F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Issue</w:t>
            </w:r>
            <w:r w:rsidR="00901DB5">
              <w:rPr>
                <w:rFonts w:ascii="Cambria" w:hAnsi="Cambria"/>
                <w:b/>
                <w:szCs w:val="21"/>
                <w:highlight w:val="yellow"/>
              </w:rPr>
              <w:t>s</w:t>
            </w:r>
          </w:p>
        </w:tc>
        <w:tc>
          <w:tcPr>
            <w:tcW w:w="4077" w:type="dxa"/>
          </w:tcPr>
          <w:p w:rsidR="003B0DBA" w:rsidRPr="00734E96" w:rsidRDefault="003B0DBA" w:rsidP="00CA6D8F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Importance</w:t>
            </w:r>
          </w:p>
        </w:tc>
      </w:tr>
      <w:tr w:rsidR="003B0DBA" w:rsidRPr="00DF4349" w:rsidTr="00B62A26">
        <w:tc>
          <w:tcPr>
            <w:tcW w:w="738" w:type="dxa"/>
          </w:tcPr>
          <w:p w:rsidR="003B0DBA" w:rsidRPr="00734E96" w:rsidRDefault="003B0DBA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1914</w:t>
            </w:r>
          </w:p>
        </w:tc>
        <w:tc>
          <w:tcPr>
            <w:tcW w:w="1990" w:type="dxa"/>
          </w:tcPr>
          <w:p w:rsidR="003B0DBA" w:rsidRPr="00734E96" w:rsidRDefault="003B0DBA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proofErr w:type="spellStart"/>
            <w:r w:rsidRPr="00734E96">
              <w:rPr>
                <w:rFonts w:ascii="Cambria" w:hAnsi="Cambria" w:hint="eastAsia"/>
                <w:szCs w:val="21"/>
                <w:highlight w:val="yellow"/>
              </w:rPr>
              <w:t>Schloendorff</w:t>
            </w:r>
            <w:proofErr w:type="spellEnd"/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 vs Society of New York Hospitals</w:t>
            </w:r>
          </w:p>
        </w:tc>
        <w:tc>
          <w:tcPr>
            <w:tcW w:w="2410" w:type="dxa"/>
          </w:tcPr>
          <w:p w:rsidR="003B0DBA" w:rsidRPr="00734E96" w:rsidRDefault="001A1161" w:rsidP="003B0DBA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Surgical intervention </w:t>
            </w:r>
            <w:r w:rsidR="00734E96" w:rsidRPr="00734E96">
              <w:rPr>
                <w:rFonts w:ascii="Cambria" w:hAnsi="Cambria" w:hint="eastAsia"/>
                <w:szCs w:val="21"/>
                <w:highlight w:val="yellow"/>
              </w:rPr>
              <w:t xml:space="preserve">was 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performed despite withhold</w:t>
            </w:r>
            <w:r w:rsidR="00734E96" w:rsidRPr="00734E96">
              <w:rPr>
                <w:rFonts w:ascii="Cambria" w:hAnsi="Cambria" w:hint="eastAsia"/>
                <w:szCs w:val="21"/>
                <w:highlight w:val="yellow"/>
              </w:rPr>
              <w:t>ing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 of consent by a patient</w:t>
            </w:r>
          </w:p>
        </w:tc>
        <w:tc>
          <w:tcPr>
            <w:tcW w:w="4077" w:type="dxa"/>
          </w:tcPr>
          <w:p w:rsidR="003B0DBA" w:rsidRPr="00734E96" w:rsidRDefault="00D47AE5" w:rsidP="003B0DBA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/>
                <w:szCs w:val="21"/>
                <w:highlight w:val="yellow"/>
              </w:rPr>
              <w:t>Competent</w:t>
            </w:r>
            <w:r w:rsidR="003B0DBA" w:rsidRPr="00734E96">
              <w:rPr>
                <w:rFonts w:ascii="Cambria" w:hAnsi="Cambria" w:hint="eastAsia"/>
                <w:szCs w:val="21"/>
                <w:highlight w:val="yellow"/>
              </w:rPr>
              <w:t xml:space="preserve"> patients have a right to determine their therapeutic intervention and informed</w:t>
            </w:r>
            <w:r w:rsidR="00F9607D">
              <w:rPr>
                <w:rFonts w:ascii="Cambria" w:hAnsi="Cambria" w:hint="eastAsia"/>
                <w:szCs w:val="21"/>
                <w:highlight w:val="yellow"/>
              </w:rPr>
              <w:t xml:space="preserve"> consent is required before th</w:t>
            </w:r>
            <w:r w:rsidR="00F9607D">
              <w:rPr>
                <w:rFonts w:ascii="Cambria" w:hAnsi="Cambria"/>
                <w:szCs w:val="21"/>
                <w:highlight w:val="yellow"/>
              </w:rPr>
              <w:t xml:space="preserve">e </w:t>
            </w:r>
            <w:r w:rsidR="00F9607D" w:rsidRPr="00734E96">
              <w:rPr>
                <w:rFonts w:ascii="Cambria" w:hAnsi="Cambria" w:hint="eastAsia"/>
                <w:szCs w:val="21"/>
                <w:highlight w:val="yellow"/>
              </w:rPr>
              <w:t>intervention</w:t>
            </w:r>
            <w:r w:rsidR="003B0DBA" w:rsidRPr="00734E96">
              <w:rPr>
                <w:rFonts w:ascii="Cambria" w:hAnsi="Cambria" w:hint="eastAsia"/>
                <w:szCs w:val="21"/>
                <w:highlight w:val="yellow"/>
              </w:rPr>
              <w:t>.</w:t>
            </w:r>
          </w:p>
        </w:tc>
      </w:tr>
      <w:tr w:rsidR="00D072BE" w:rsidRPr="00DF4349" w:rsidTr="00B62A26">
        <w:tc>
          <w:tcPr>
            <w:tcW w:w="738" w:type="dxa"/>
          </w:tcPr>
          <w:p w:rsidR="00D072BE" w:rsidRPr="00734E96" w:rsidRDefault="00D072BE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 w:hint="eastAsia"/>
                <w:szCs w:val="21"/>
                <w:highlight w:val="yellow"/>
              </w:rPr>
              <w:t>1969</w:t>
            </w:r>
          </w:p>
        </w:tc>
        <w:tc>
          <w:tcPr>
            <w:tcW w:w="1990" w:type="dxa"/>
          </w:tcPr>
          <w:p w:rsidR="00D072BE" w:rsidRPr="00734E96" w:rsidRDefault="00D072BE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</w:p>
        </w:tc>
        <w:tc>
          <w:tcPr>
            <w:tcW w:w="2410" w:type="dxa"/>
          </w:tcPr>
          <w:p w:rsidR="00D072BE" w:rsidRPr="00734E96" w:rsidRDefault="00D072BE" w:rsidP="003B0DBA">
            <w:pPr>
              <w:rPr>
                <w:rFonts w:ascii="Cambria" w:hAnsi="Cambria"/>
                <w:szCs w:val="21"/>
                <w:highlight w:val="yellow"/>
              </w:rPr>
            </w:pPr>
          </w:p>
        </w:tc>
        <w:tc>
          <w:tcPr>
            <w:tcW w:w="4077" w:type="dxa"/>
          </w:tcPr>
          <w:p w:rsidR="00D072BE" w:rsidRPr="00734E96" w:rsidRDefault="00D072BE" w:rsidP="003B0DBA">
            <w:pPr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 w:hint="eastAsia"/>
                <w:szCs w:val="21"/>
                <w:highlight w:val="yellow"/>
              </w:rPr>
              <w:t xml:space="preserve">The concept of living will was introduced by Luis </w:t>
            </w:r>
            <w:proofErr w:type="spellStart"/>
            <w:r>
              <w:rPr>
                <w:rFonts w:ascii="Cambria" w:hAnsi="Cambria" w:hint="eastAsia"/>
                <w:szCs w:val="21"/>
                <w:highlight w:val="yellow"/>
              </w:rPr>
              <w:t>Kutner</w:t>
            </w:r>
            <w:proofErr w:type="spellEnd"/>
            <w:r>
              <w:rPr>
                <w:rFonts w:ascii="Cambria" w:hAnsi="Cambria" w:hint="eastAsia"/>
                <w:szCs w:val="21"/>
                <w:highlight w:val="yellow"/>
              </w:rPr>
              <w:t xml:space="preserve">, an Illinois </w:t>
            </w:r>
            <w:proofErr w:type="spellStart"/>
            <w:r>
              <w:rPr>
                <w:rFonts w:ascii="Cambria" w:hAnsi="Cambria" w:hint="eastAsia"/>
                <w:szCs w:val="21"/>
                <w:highlight w:val="yellow"/>
              </w:rPr>
              <w:t>lawer</w:t>
            </w:r>
            <w:proofErr w:type="spellEnd"/>
            <w:r>
              <w:rPr>
                <w:rFonts w:ascii="Cambria" w:hAnsi="Cambria" w:hint="eastAsia"/>
                <w:szCs w:val="21"/>
                <w:highlight w:val="yellow"/>
              </w:rPr>
              <w:t>.</w:t>
            </w:r>
          </w:p>
        </w:tc>
      </w:tr>
      <w:tr w:rsidR="003B0DBA" w:rsidRPr="00DF4349" w:rsidTr="00B62A26">
        <w:tc>
          <w:tcPr>
            <w:tcW w:w="738" w:type="dxa"/>
          </w:tcPr>
          <w:p w:rsidR="003B0DBA" w:rsidRPr="00734E96" w:rsidRDefault="003B0DBA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1976</w:t>
            </w:r>
          </w:p>
        </w:tc>
        <w:tc>
          <w:tcPr>
            <w:tcW w:w="1990" w:type="dxa"/>
          </w:tcPr>
          <w:p w:rsidR="003B0DBA" w:rsidRPr="00734E96" w:rsidRDefault="0034467A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/>
                <w:szCs w:val="21"/>
                <w:highlight w:val="yellow"/>
              </w:rPr>
              <w:t>T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he case of</w:t>
            </w:r>
            <w:r w:rsidR="003B0DBA" w:rsidRPr="00734E96">
              <w:rPr>
                <w:rFonts w:ascii="Cambria" w:hAnsi="Cambria" w:hint="eastAsia"/>
                <w:szCs w:val="21"/>
                <w:highlight w:val="yellow"/>
              </w:rPr>
              <w:t xml:space="preserve"> 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Karen </w:t>
            </w:r>
            <w:r w:rsidR="003B0DBA" w:rsidRPr="00734E96">
              <w:rPr>
                <w:rFonts w:ascii="Cambria" w:hAnsi="Cambria" w:hint="eastAsia"/>
                <w:szCs w:val="21"/>
                <w:highlight w:val="yellow"/>
              </w:rPr>
              <w:t>Quinlan</w:t>
            </w:r>
          </w:p>
        </w:tc>
        <w:tc>
          <w:tcPr>
            <w:tcW w:w="2410" w:type="dxa"/>
          </w:tcPr>
          <w:p w:rsidR="003B0DBA" w:rsidRPr="00734E96" w:rsidRDefault="003B0DBA" w:rsidP="004C2F9C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Withd</w:t>
            </w:r>
            <w:r w:rsidR="004C2F9C">
              <w:rPr>
                <w:rFonts w:ascii="Cambria" w:hAnsi="Cambria" w:hint="eastAsia"/>
                <w:szCs w:val="21"/>
                <w:highlight w:val="yellow"/>
              </w:rPr>
              <w:t xml:space="preserve">rawal of mechanical ventilation 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from a patient in a vegetative state</w:t>
            </w:r>
          </w:p>
        </w:tc>
        <w:tc>
          <w:tcPr>
            <w:tcW w:w="4077" w:type="dxa"/>
          </w:tcPr>
          <w:p w:rsidR="003B0DBA" w:rsidRPr="00734E96" w:rsidRDefault="003B0DBA" w:rsidP="00D47AE5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Competent patients have a right to refuse interventions, and this can be applied by surrogates under the principle of substantial judgment if </w:t>
            </w:r>
            <w:r w:rsidR="00D47AE5">
              <w:rPr>
                <w:rFonts w:ascii="Cambria" w:hAnsi="Cambria"/>
                <w:szCs w:val="21"/>
                <w:highlight w:val="yellow"/>
              </w:rPr>
              <w:t>a patient</w:t>
            </w:r>
            <w:r w:rsidR="00D47AE5">
              <w:rPr>
                <w:rFonts w:ascii="Cambria" w:hAnsi="Cambria" w:hint="eastAsia"/>
                <w:szCs w:val="21"/>
                <w:highlight w:val="yellow"/>
              </w:rPr>
              <w:t xml:space="preserve"> bec</w:t>
            </w:r>
            <w:r w:rsidR="00D47AE5">
              <w:rPr>
                <w:rFonts w:ascii="Cambria" w:hAnsi="Cambria"/>
                <w:szCs w:val="21"/>
                <w:highlight w:val="yellow"/>
              </w:rPr>
              <w:t>omes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 incompetent.</w:t>
            </w:r>
          </w:p>
        </w:tc>
      </w:tr>
      <w:tr w:rsidR="003B0DBA" w:rsidRPr="00DF4349" w:rsidTr="00B62A26">
        <w:tc>
          <w:tcPr>
            <w:tcW w:w="738" w:type="dxa"/>
          </w:tcPr>
          <w:p w:rsidR="003B0DBA" w:rsidRPr="00734E96" w:rsidRDefault="003B0DBA" w:rsidP="00CA6D8F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1976</w:t>
            </w:r>
          </w:p>
        </w:tc>
        <w:tc>
          <w:tcPr>
            <w:tcW w:w="1990" w:type="dxa"/>
          </w:tcPr>
          <w:p w:rsidR="003B0DBA" w:rsidRPr="00734E96" w:rsidRDefault="00A15680" w:rsidP="00CA6D8F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California State</w:t>
            </w:r>
          </w:p>
        </w:tc>
        <w:tc>
          <w:tcPr>
            <w:tcW w:w="2410" w:type="dxa"/>
          </w:tcPr>
          <w:p w:rsidR="003B0DBA" w:rsidRPr="00734E96" w:rsidRDefault="00A15680" w:rsidP="003B0DBA">
            <w:pPr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 xml:space="preserve">   ---------------------</w:t>
            </w:r>
          </w:p>
        </w:tc>
        <w:tc>
          <w:tcPr>
            <w:tcW w:w="4077" w:type="dxa"/>
          </w:tcPr>
          <w:p w:rsidR="003B0DBA" w:rsidRPr="00734E96" w:rsidRDefault="00A15680" w:rsidP="003B0DBA">
            <w:pPr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The Natural Death Act</w:t>
            </w:r>
            <w:r w:rsidR="00734E96">
              <w:rPr>
                <w:rFonts w:ascii="Cambria" w:hAnsi="Cambria" w:hint="eastAsia"/>
                <w:b/>
                <w:szCs w:val="21"/>
                <w:highlight w:val="yellow"/>
              </w:rPr>
              <w:t xml:space="preserve"> allowed withdrawal of life-sustaining support</w:t>
            </w:r>
          </w:p>
        </w:tc>
      </w:tr>
      <w:tr w:rsidR="003B0DBA" w:rsidRPr="00DF4349" w:rsidTr="00B62A26">
        <w:tc>
          <w:tcPr>
            <w:tcW w:w="738" w:type="dxa"/>
          </w:tcPr>
          <w:p w:rsidR="003B0DBA" w:rsidRPr="00734E96" w:rsidRDefault="00A15680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1983</w:t>
            </w:r>
          </w:p>
        </w:tc>
        <w:tc>
          <w:tcPr>
            <w:tcW w:w="1990" w:type="dxa"/>
          </w:tcPr>
          <w:p w:rsidR="003B0DBA" w:rsidRPr="00734E96" w:rsidRDefault="00B62A26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Barber vs Superior Court</w:t>
            </w:r>
          </w:p>
        </w:tc>
        <w:tc>
          <w:tcPr>
            <w:tcW w:w="2410" w:type="dxa"/>
          </w:tcPr>
          <w:p w:rsidR="003B0DBA" w:rsidRPr="00734E96" w:rsidRDefault="00B62A26" w:rsidP="00734E96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Withd</w:t>
            </w:r>
            <w:r w:rsidR="00734E96">
              <w:rPr>
                <w:rFonts w:ascii="Cambria" w:hAnsi="Cambria" w:hint="eastAsia"/>
                <w:szCs w:val="21"/>
                <w:highlight w:val="yellow"/>
              </w:rPr>
              <w:t>r</w:t>
            </w:r>
            <w:r w:rsidR="004C2F9C">
              <w:rPr>
                <w:rFonts w:ascii="Cambria" w:hAnsi="Cambria" w:hint="eastAsia"/>
                <w:szCs w:val="21"/>
                <w:highlight w:val="yellow"/>
              </w:rPr>
              <w:t>awal of mechanical ventilation</w:t>
            </w:r>
            <w:r w:rsidR="00734E96">
              <w:rPr>
                <w:rFonts w:ascii="Cambria" w:hAnsi="Cambria" w:hint="eastAsia"/>
                <w:szCs w:val="21"/>
                <w:highlight w:val="yellow"/>
              </w:rPr>
              <w:t xml:space="preserve"> 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from a vegetative patient at the request of the patient</w:t>
            </w:r>
            <w:r w:rsidRPr="00734E96">
              <w:rPr>
                <w:rFonts w:ascii="Cambria" w:hAnsi="Cambria"/>
                <w:szCs w:val="21"/>
                <w:highlight w:val="yellow"/>
              </w:rPr>
              <w:t>’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s family</w:t>
            </w:r>
          </w:p>
        </w:tc>
        <w:tc>
          <w:tcPr>
            <w:tcW w:w="4077" w:type="dxa"/>
          </w:tcPr>
          <w:p w:rsidR="003B0DBA" w:rsidRPr="00734E96" w:rsidRDefault="00B62A26" w:rsidP="001B17C2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Surrogates can refuse interventions on behalf of patients, based on </w:t>
            </w:r>
            <w:r w:rsidR="001B17C2">
              <w:rPr>
                <w:rFonts w:ascii="Cambria" w:hAnsi="Cambria"/>
                <w:szCs w:val="21"/>
                <w:highlight w:val="yellow"/>
              </w:rPr>
              <w:t>the patient’s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 best interests.</w:t>
            </w:r>
          </w:p>
        </w:tc>
      </w:tr>
      <w:tr w:rsidR="003B0DBA" w:rsidRPr="00DF4349" w:rsidTr="00B62A26">
        <w:tc>
          <w:tcPr>
            <w:tcW w:w="738" w:type="dxa"/>
          </w:tcPr>
          <w:p w:rsidR="003B0DBA" w:rsidRPr="00734E96" w:rsidRDefault="00B62A26" w:rsidP="00B62A26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1985</w:t>
            </w:r>
          </w:p>
        </w:tc>
        <w:tc>
          <w:tcPr>
            <w:tcW w:w="1990" w:type="dxa"/>
          </w:tcPr>
          <w:p w:rsidR="003B0DBA" w:rsidRPr="00734E96" w:rsidRDefault="0034467A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The case of Claire</w:t>
            </w:r>
            <w:r w:rsidR="00B62A26" w:rsidRPr="00734E96">
              <w:rPr>
                <w:rFonts w:ascii="Cambria" w:hAnsi="Cambria" w:hint="eastAsia"/>
                <w:szCs w:val="21"/>
                <w:highlight w:val="yellow"/>
              </w:rPr>
              <w:t xml:space="preserve"> Conroy</w:t>
            </w:r>
          </w:p>
        </w:tc>
        <w:tc>
          <w:tcPr>
            <w:tcW w:w="2410" w:type="dxa"/>
          </w:tcPr>
          <w:p w:rsidR="003B0DBA" w:rsidRPr="00734E96" w:rsidRDefault="00B62A26" w:rsidP="00B62A26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The right of a patients</w:t>
            </w:r>
            <w:r w:rsidRPr="00734E96">
              <w:rPr>
                <w:rFonts w:ascii="Cambria" w:hAnsi="Cambria"/>
                <w:szCs w:val="21"/>
                <w:highlight w:val="yellow"/>
              </w:rPr>
              <w:t>’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 guardian to stop artificial nutrition</w:t>
            </w:r>
          </w:p>
        </w:tc>
        <w:tc>
          <w:tcPr>
            <w:tcW w:w="4077" w:type="dxa"/>
          </w:tcPr>
          <w:p w:rsidR="003B0DBA" w:rsidRPr="00734E96" w:rsidRDefault="001B17C2" w:rsidP="00B62A26">
            <w:pPr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 w:hint="eastAsia"/>
                <w:szCs w:val="21"/>
                <w:highlight w:val="yellow"/>
              </w:rPr>
              <w:t>T</w:t>
            </w:r>
            <w:r w:rsidR="00B62A26" w:rsidRPr="00734E96">
              <w:rPr>
                <w:rFonts w:ascii="Cambria" w:hAnsi="Cambria" w:hint="eastAsia"/>
                <w:szCs w:val="21"/>
                <w:highlight w:val="yellow"/>
              </w:rPr>
              <w:t>reatment that does not benefit or cause</w:t>
            </w:r>
            <w:r>
              <w:rPr>
                <w:rFonts w:ascii="Cambria" w:hAnsi="Cambria"/>
                <w:szCs w:val="21"/>
                <w:highlight w:val="yellow"/>
              </w:rPr>
              <w:t>s</w:t>
            </w:r>
            <w:r w:rsidR="00B62A26" w:rsidRPr="00734E96">
              <w:rPr>
                <w:rFonts w:ascii="Cambria" w:hAnsi="Cambria" w:hint="eastAsia"/>
                <w:szCs w:val="21"/>
                <w:highlight w:val="yellow"/>
              </w:rPr>
              <w:t xml:space="preserve"> harm to the patient should not be continued based on humanitarian reasons in situations where the patient</w:t>
            </w:r>
            <w:r w:rsidR="00B62A26" w:rsidRPr="00734E96">
              <w:rPr>
                <w:rFonts w:ascii="Cambria" w:hAnsi="Cambria"/>
                <w:szCs w:val="21"/>
                <w:highlight w:val="yellow"/>
              </w:rPr>
              <w:t>’</w:t>
            </w:r>
            <w:r w:rsidR="00B62A26" w:rsidRPr="00734E96">
              <w:rPr>
                <w:rFonts w:ascii="Cambria" w:hAnsi="Cambria" w:hint="eastAsia"/>
                <w:szCs w:val="21"/>
                <w:highlight w:val="yellow"/>
              </w:rPr>
              <w:t>s wishes for end-of-life care are not known.</w:t>
            </w:r>
          </w:p>
        </w:tc>
      </w:tr>
      <w:tr w:rsidR="003B0DBA" w:rsidRPr="00DF4349" w:rsidTr="00B62A26">
        <w:tc>
          <w:tcPr>
            <w:tcW w:w="738" w:type="dxa"/>
          </w:tcPr>
          <w:p w:rsidR="003B0DBA" w:rsidRPr="00734E96" w:rsidRDefault="00B62A26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1990</w:t>
            </w:r>
          </w:p>
        </w:tc>
        <w:tc>
          <w:tcPr>
            <w:tcW w:w="1990" w:type="dxa"/>
          </w:tcPr>
          <w:p w:rsidR="003B0DBA" w:rsidRPr="00734E96" w:rsidRDefault="00B62A26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Cruzan vs the Missouri Department of Health</w:t>
            </w:r>
          </w:p>
        </w:tc>
        <w:tc>
          <w:tcPr>
            <w:tcW w:w="2410" w:type="dxa"/>
          </w:tcPr>
          <w:p w:rsidR="003B0DBA" w:rsidRPr="00734E96" w:rsidRDefault="00B62A26" w:rsidP="00B62A26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Withdrawal of care from an incompetent patient who had prior wishes</w:t>
            </w:r>
          </w:p>
        </w:tc>
        <w:tc>
          <w:tcPr>
            <w:tcW w:w="4077" w:type="dxa"/>
          </w:tcPr>
          <w:p w:rsidR="003B0DBA" w:rsidRPr="00734E96" w:rsidRDefault="00B62A26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States can set the level of evidence required to determine the prior wishes of incompetent patients with which surrogate decisions are made.</w:t>
            </w:r>
          </w:p>
        </w:tc>
      </w:tr>
      <w:tr w:rsidR="003B0DBA" w:rsidRPr="00DF4349" w:rsidTr="00B62A26">
        <w:tc>
          <w:tcPr>
            <w:tcW w:w="738" w:type="dxa"/>
          </w:tcPr>
          <w:p w:rsidR="003B0DBA" w:rsidRPr="00734E96" w:rsidRDefault="00B62A26" w:rsidP="00B62A26">
            <w:pPr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1990</w:t>
            </w:r>
          </w:p>
        </w:tc>
        <w:tc>
          <w:tcPr>
            <w:tcW w:w="1990" w:type="dxa"/>
          </w:tcPr>
          <w:p w:rsidR="003B0DBA" w:rsidRPr="00734E96" w:rsidRDefault="00B62A26" w:rsidP="00734E96">
            <w:pPr>
              <w:ind w:firstLineChars="100" w:firstLine="211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 xml:space="preserve">U.S </w:t>
            </w:r>
            <w:proofErr w:type="spellStart"/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goverment</w:t>
            </w:r>
            <w:proofErr w:type="spellEnd"/>
          </w:p>
        </w:tc>
        <w:tc>
          <w:tcPr>
            <w:tcW w:w="2410" w:type="dxa"/>
          </w:tcPr>
          <w:p w:rsidR="003B0DBA" w:rsidRPr="00734E96" w:rsidRDefault="00B62A26" w:rsidP="00CA6D8F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--------------------</w:t>
            </w:r>
          </w:p>
        </w:tc>
        <w:tc>
          <w:tcPr>
            <w:tcW w:w="4077" w:type="dxa"/>
          </w:tcPr>
          <w:p w:rsidR="003B0DBA" w:rsidRPr="00734E96" w:rsidRDefault="00B62A26" w:rsidP="00CA6D8F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The Patient self-Determination Act</w:t>
            </w:r>
            <w:r w:rsidR="00734E96">
              <w:rPr>
                <w:rFonts w:ascii="Cambria" w:hAnsi="Cambria" w:hint="eastAsia"/>
                <w:b/>
                <w:szCs w:val="21"/>
                <w:highlight w:val="yellow"/>
              </w:rPr>
              <w:t xml:space="preserve"> </w:t>
            </w:r>
            <w:r w:rsidR="00D97598">
              <w:rPr>
                <w:rFonts w:ascii="Cambria" w:hAnsi="Cambria"/>
                <w:b/>
                <w:szCs w:val="21"/>
                <w:highlight w:val="yellow"/>
              </w:rPr>
              <w:t>obligated</w:t>
            </w:r>
            <w:r w:rsidR="00734E96">
              <w:rPr>
                <w:rFonts w:ascii="Cambria" w:hAnsi="Cambria" w:hint="eastAsia"/>
                <w:b/>
                <w:szCs w:val="21"/>
                <w:highlight w:val="yellow"/>
              </w:rPr>
              <w:t xml:space="preserve"> medical insurance organization and medical facilities to update the status of advance directives in patient</w:t>
            </w:r>
            <w:r w:rsidR="00734E96">
              <w:rPr>
                <w:rFonts w:ascii="Cambria" w:hAnsi="Cambria"/>
                <w:b/>
                <w:szCs w:val="21"/>
                <w:highlight w:val="yellow"/>
              </w:rPr>
              <w:t>’</w:t>
            </w:r>
            <w:r w:rsidR="00734E96">
              <w:rPr>
                <w:rFonts w:ascii="Cambria" w:hAnsi="Cambria" w:hint="eastAsia"/>
                <w:b/>
                <w:szCs w:val="21"/>
                <w:highlight w:val="yellow"/>
              </w:rPr>
              <w:t xml:space="preserve">s medical charts on admission to hospice, hospital or </w:t>
            </w:r>
            <w:r w:rsidR="00734E96">
              <w:rPr>
                <w:rFonts w:ascii="Cambria" w:hAnsi="Cambria" w:hint="eastAsia"/>
                <w:b/>
                <w:szCs w:val="21"/>
                <w:highlight w:val="yellow"/>
              </w:rPr>
              <w:lastRenderedPageBreak/>
              <w:t>nursing home.</w:t>
            </w:r>
          </w:p>
        </w:tc>
      </w:tr>
      <w:tr w:rsidR="00DB3E07" w:rsidRPr="00DF4349" w:rsidTr="00B62A26">
        <w:tc>
          <w:tcPr>
            <w:tcW w:w="738" w:type="dxa"/>
          </w:tcPr>
          <w:p w:rsidR="00DB3E07" w:rsidRPr="00734E96" w:rsidRDefault="00DB3E07" w:rsidP="00B62A26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lastRenderedPageBreak/>
              <w:t>2005</w:t>
            </w:r>
          </w:p>
        </w:tc>
        <w:tc>
          <w:tcPr>
            <w:tcW w:w="1990" w:type="dxa"/>
          </w:tcPr>
          <w:p w:rsidR="00DB3E07" w:rsidRPr="00734E96" w:rsidRDefault="00DB3E07" w:rsidP="00734E96">
            <w:pPr>
              <w:ind w:firstLineChars="100" w:firstLine="210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Terri </w:t>
            </w:r>
            <w:proofErr w:type="spellStart"/>
            <w:r w:rsidRPr="00734E96">
              <w:rPr>
                <w:rFonts w:ascii="Cambria" w:hAnsi="Cambria" w:hint="eastAsia"/>
                <w:szCs w:val="21"/>
                <w:highlight w:val="yellow"/>
              </w:rPr>
              <w:t>Schiavo</w:t>
            </w:r>
            <w:proofErr w:type="spellEnd"/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 case</w:t>
            </w:r>
          </w:p>
        </w:tc>
        <w:tc>
          <w:tcPr>
            <w:tcW w:w="2410" w:type="dxa"/>
          </w:tcPr>
          <w:p w:rsidR="00DB3E07" w:rsidRPr="00734E96" w:rsidRDefault="00DB3E07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How to define family and how to </w:t>
            </w:r>
            <w:proofErr w:type="gramStart"/>
            <w:r w:rsidRPr="00734E96">
              <w:rPr>
                <w:rFonts w:ascii="Cambria" w:hAnsi="Cambria" w:hint="eastAsia"/>
                <w:szCs w:val="21"/>
                <w:highlight w:val="yellow"/>
              </w:rPr>
              <w:t>proceed</w:t>
            </w:r>
            <w:proofErr w:type="gramEnd"/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 </w:t>
            </w:r>
            <w:r w:rsidR="00D97598">
              <w:rPr>
                <w:rFonts w:ascii="Cambria" w:hAnsi="Cambria"/>
                <w:szCs w:val="21"/>
                <w:highlight w:val="yellow"/>
              </w:rPr>
              <w:t xml:space="preserve">with 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end-of-life care decision</w:t>
            </w:r>
            <w:r w:rsidR="00D97598">
              <w:rPr>
                <w:rFonts w:ascii="Cambria" w:hAnsi="Cambria"/>
                <w:szCs w:val="21"/>
                <w:highlight w:val="yellow"/>
              </w:rPr>
              <w:t>s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 if members of the immediate family are not in agreement.</w:t>
            </w:r>
          </w:p>
        </w:tc>
        <w:tc>
          <w:tcPr>
            <w:tcW w:w="4077" w:type="dxa"/>
          </w:tcPr>
          <w:p w:rsidR="00DB3E07" w:rsidRPr="00734E96" w:rsidRDefault="00DB3E07" w:rsidP="00CA6D8F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The U.S District Court in Florida denied the emergency request signed by the </w:t>
            </w:r>
            <w:r w:rsidR="001B17C2">
              <w:rPr>
                <w:rFonts w:ascii="Cambria" w:hAnsi="Cambria"/>
                <w:szCs w:val="21"/>
                <w:highlight w:val="yellow"/>
              </w:rPr>
              <w:t xml:space="preserve">US 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President to reinsert the feeding tube.</w:t>
            </w:r>
          </w:p>
        </w:tc>
      </w:tr>
    </w:tbl>
    <w:p w:rsidR="0096381F" w:rsidRPr="00BA45D2" w:rsidRDefault="007313CE" w:rsidP="00BA45D2">
      <w:pPr>
        <w:rPr>
          <w:szCs w:val="21"/>
        </w:rPr>
      </w:pPr>
    </w:p>
    <w:sectPr w:rsidR="0096381F" w:rsidRPr="00BA45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3CE" w:rsidRDefault="007313CE" w:rsidP="008276AF">
      <w:r>
        <w:separator/>
      </w:r>
    </w:p>
  </w:endnote>
  <w:endnote w:type="continuationSeparator" w:id="0">
    <w:p w:rsidR="007313CE" w:rsidRDefault="007313CE" w:rsidP="00827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3CE" w:rsidRDefault="007313CE" w:rsidP="008276AF">
      <w:r>
        <w:separator/>
      </w:r>
    </w:p>
  </w:footnote>
  <w:footnote w:type="continuationSeparator" w:id="0">
    <w:p w:rsidR="007313CE" w:rsidRDefault="007313CE" w:rsidP="00827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6282A"/>
    <w:multiLevelType w:val="hybridMultilevel"/>
    <w:tmpl w:val="CB646A34"/>
    <w:lvl w:ilvl="0" w:tplc="712AEA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3FF"/>
    <w:rsid w:val="001A1161"/>
    <w:rsid w:val="001B17C2"/>
    <w:rsid w:val="001E57BC"/>
    <w:rsid w:val="002458CC"/>
    <w:rsid w:val="00275C28"/>
    <w:rsid w:val="00313E80"/>
    <w:rsid w:val="00336397"/>
    <w:rsid w:val="0034467A"/>
    <w:rsid w:val="00397FC8"/>
    <w:rsid w:val="003B0DBA"/>
    <w:rsid w:val="003E0361"/>
    <w:rsid w:val="004203FF"/>
    <w:rsid w:val="004428FE"/>
    <w:rsid w:val="00486FEF"/>
    <w:rsid w:val="004C2F9C"/>
    <w:rsid w:val="00507CA1"/>
    <w:rsid w:val="0055578A"/>
    <w:rsid w:val="00576980"/>
    <w:rsid w:val="005E1E30"/>
    <w:rsid w:val="006732CA"/>
    <w:rsid w:val="007313CE"/>
    <w:rsid w:val="00734E96"/>
    <w:rsid w:val="00825D1F"/>
    <w:rsid w:val="008276AF"/>
    <w:rsid w:val="00831ACE"/>
    <w:rsid w:val="00847E3E"/>
    <w:rsid w:val="00901DB5"/>
    <w:rsid w:val="00954313"/>
    <w:rsid w:val="00A15680"/>
    <w:rsid w:val="00A92953"/>
    <w:rsid w:val="00B2128D"/>
    <w:rsid w:val="00B62A26"/>
    <w:rsid w:val="00B655B7"/>
    <w:rsid w:val="00BA45D2"/>
    <w:rsid w:val="00C400C9"/>
    <w:rsid w:val="00CA6D8F"/>
    <w:rsid w:val="00D072BE"/>
    <w:rsid w:val="00D47AE5"/>
    <w:rsid w:val="00D97598"/>
    <w:rsid w:val="00DB3E07"/>
    <w:rsid w:val="00DF4349"/>
    <w:rsid w:val="00F067FF"/>
    <w:rsid w:val="00F9607D"/>
    <w:rsid w:val="00FD2FFF"/>
    <w:rsid w:val="00FE7C39"/>
    <w:rsid w:val="00FF4D30"/>
    <w:rsid w:val="00FF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3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3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276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76AF"/>
  </w:style>
  <w:style w:type="paragraph" w:styleId="a6">
    <w:name w:val="footer"/>
    <w:basedOn w:val="a"/>
    <w:link w:val="a7"/>
    <w:uiPriority w:val="99"/>
    <w:unhideWhenUsed/>
    <w:rsid w:val="008276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76AF"/>
  </w:style>
  <w:style w:type="paragraph" w:styleId="a8">
    <w:name w:val="List Paragraph"/>
    <w:basedOn w:val="a"/>
    <w:uiPriority w:val="34"/>
    <w:qFormat/>
    <w:rsid w:val="00A92953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3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3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276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76AF"/>
  </w:style>
  <w:style w:type="paragraph" w:styleId="a6">
    <w:name w:val="footer"/>
    <w:basedOn w:val="a"/>
    <w:link w:val="a7"/>
    <w:uiPriority w:val="99"/>
    <w:unhideWhenUsed/>
    <w:rsid w:val="008276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76AF"/>
  </w:style>
  <w:style w:type="paragraph" w:styleId="a8">
    <w:name w:val="List Paragraph"/>
    <w:basedOn w:val="a"/>
    <w:uiPriority w:val="34"/>
    <w:qFormat/>
    <w:rsid w:val="00A9295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10</cp:revision>
  <dcterms:created xsi:type="dcterms:W3CDTF">2014-01-05T15:03:00Z</dcterms:created>
  <dcterms:modified xsi:type="dcterms:W3CDTF">2014-01-06T18:50:00Z</dcterms:modified>
</cp:coreProperties>
</file>