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69" w:rsidRPr="00CF0B2D" w:rsidRDefault="00CD7569" w:rsidP="00CD7569">
      <w:pPr>
        <w:keepNext/>
        <w:keepLines/>
        <w:pageBreakBefore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Figure 2</w:t>
      </w:r>
      <w:r w:rsidRPr="00CF0B2D">
        <w:rPr>
          <w:rFonts w:ascii="Arial" w:hAnsi="Arial" w:cs="Arial"/>
          <w:b/>
          <w:lang w:val="en-US"/>
        </w:rPr>
        <w:t xml:space="preserve">: </w:t>
      </w:r>
      <w:r w:rsidR="00803F91">
        <w:rPr>
          <w:rFonts w:ascii="Arial" w:hAnsi="Arial" w:cs="Arial"/>
          <w:b/>
          <w:lang w:val="en-US"/>
        </w:rPr>
        <w:t>Characteristics of p</w:t>
      </w:r>
      <w:r>
        <w:rPr>
          <w:rFonts w:ascii="Arial" w:hAnsi="Arial" w:cs="Arial"/>
          <w:b/>
          <w:lang w:val="en-US"/>
        </w:rPr>
        <w:t>acks with and without contents</w:t>
      </w:r>
      <w:r w:rsidR="00F56857">
        <w:rPr>
          <w:rFonts w:ascii="Arial" w:hAnsi="Arial" w:cs="Arial"/>
          <w:b/>
          <w:lang w:val="en-US"/>
        </w:rPr>
        <w:t xml:space="preserve"> in the different sub-groups</w:t>
      </w:r>
      <w:r w:rsidR="00803F91">
        <w:rPr>
          <w:rFonts w:ascii="Arial" w:hAnsi="Arial" w:cs="Arial"/>
          <w:b/>
          <w:lang w:val="en-US"/>
        </w:rPr>
        <w:t xml:space="preserve">. </w:t>
      </w:r>
      <w:r w:rsidR="00803F91" w:rsidRPr="00803F91">
        <w:rPr>
          <w:rFonts w:ascii="Arial" w:hAnsi="Arial" w:cs="Arial"/>
          <w:lang w:val="en-US"/>
        </w:rPr>
        <w:t xml:space="preserve">Characteristics include prescription status, country of origin, therapeutic group, </w:t>
      </w:r>
      <w:proofErr w:type="gramStart"/>
      <w:r w:rsidR="00803F91" w:rsidRPr="00803F91">
        <w:rPr>
          <w:rFonts w:ascii="Arial" w:hAnsi="Arial" w:cs="Arial"/>
          <w:lang w:val="en-US"/>
        </w:rPr>
        <w:t>dose</w:t>
      </w:r>
      <w:proofErr w:type="gramEnd"/>
      <w:r w:rsidR="00803F91" w:rsidRPr="00803F91">
        <w:rPr>
          <w:rFonts w:ascii="Arial" w:hAnsi="Arial" w:cs="Arial"/>
          <w:lang w:val="en-US"/>
        </w:rPr>
        <w:t xml:space="preserve"> form and expiry date</w:t>
      </w:r>
    </w:p>
    <w:p w:rsidR="0091312B" w:rsidRDefault="00DB2812" w:rsidP="006F4183">
      <w:pPr>
        <w:tabs>
          <w:tab w:val="right" w:pos="9072"/>
        </w:tabs>
        <w:spacing w:before="120"/>
        <w:jc w:val="both"/>
        <w:rPr>
          <w:rFonts w:ascii="Arial" w:hAnsi="Arial" w:cs="Arial"/>
          <w:lang w:val="en-US"/>
        </w:rPr>
      </w:pPr>
      <w:r w:rsidRPr="00DB2812">
        <w:rPr>
          <w:rFonts w:ascii="Arial" w:hAnsi="Arial" w:cs="Arial"/>
          <w:noProof/>
          <w:lang w:val="de-AT" w:eastAsia="de-AT"/>
        </w:rPr>
        <w:drawing>
          <wp:inline distT="0" distB="0" distL="0" distR="0">
            <wp:extent cx="6047117" cy="4537494"/>
            <wp:effectExtent l="0" t="0" r="0" b="0"/>
            <wp:docPr id="4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7CBE" w:rsidRDefault="00A77CBE" w:rsidP="006F4183">
      <w:pPr>
        <w:tabs>
          <w:tab w:val="right" w:pos="9072"/>
        </w:tabs>
        <w:spacing w:before="120"/>
        <w:jc w:val="both"/>
        <w:rPr>
          <w:rFonts w:ascii="Arial" w:hAnsi="Arial" w:cs="Arial"/>
          <w:lang w:val="en-US"/>
        </w:rPr>
      </w:pPr>
    </w:p>
    <w:sectPr w:rsidR="00A77CBE" w:rsidSect="001326EF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1A1" w:rsidRDefault="00F751A1" w:rsidP="00F322C9">
      <w:pPr>
        <w:spacing w:after="0" w:line="240" w:lineRule="auto"/>
      </w:pPr>
      <w:r>
        <w:separator/>
      </w:r>
    </w:p>
  </w:endnote>
  <w:endnote w:type="continuationSeparator" w:id="0">
    <w:p w:rsidR="00F751A1" w:rsidRDefault="00F751A1" w:rsidP="00F3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A1" w:rsidRDefault="004C2421">
    <w:pPr>
      <w:pStyle w:val="Fuzeile"/>
      <w:jc w:val="center"/>
    </w:pPr>
    <w:fldSimple w:instr=" PAGE   \* MERGEFORMAT ">
      <w:r w:rsidR="00803F91">
        <w:rPr>
          <w:noProof/>
        </w:rPr>
        <w:t>1</w:t>
      </w:r>
    </w:fldSimple>
  </w:p>
  <w:p w:rsidR="00F751A1" w:rsidRDefault="00F751A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1A1" w:rsidRDefault="00F751A1" w:rsidP="00F322C9">
      <w:pPr>
        <w:spacing w:after="0" w:line="240" w:lineRule="auto"/>
      </w:pPr>
      <w:r>
        <w:separator/>
      </w:r>
    </w:p>
  </w:footnote>
  <w:footnote w:type="continuationSeparator" w:id="0">
    <w:p w:rsidR="00F751A1" w:rsidRDefault="00F751A1" w:rsidP="00F3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27834"/>
    <w:multiLevelType w:val="hybridMultilevel"/>
    <w:tmpl w:val="862A58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32B35"/>
    <w:multiLevelType w:val="hybridMultilevel"/>
    <w:tmpl w:val="A88EEE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802D5"/>
    <w:multiLevelType w:val="hybridMultilevel"/>
    <w:tmpl w:val="C49AEB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7166F"/>
    <w:multiLevelType w:val="hybridMultilevel"/>
    <w:tmpl w:val="91FC0F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7A1EBC"/>
    <w:multiLevelType w:val="hybridMultilevel"/>
    <w:tmpl w:val="AC1400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53A7F"/>
    <w:multiLevelType w:val="hybridMultilevel"/>
    <w:tmpl w:val="B7441D66"/>
    <w:lvl w:ilvl="0" w:tplc="D4ECF9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SA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0st9f2enptz0oezfp85xdeaw5fztddx50rf&quot;&gt;Endnote_Wast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20&lt;/item&gt;&lt;item&gt;23&lt;/item&gt;&lt;item&gt;24&lt;/item&gt;&lt;item&gt;25&lt;/item&gt;&lt;item&gt;26&lt;/item&gt;&lt;item&gt;27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4&lt;/item&gt;&lt;item&gt;46&lt;/item&gt;&lt;item&gt;48&lt;/item&gt;&lt;item&gt;56&lt;/item&gt;&lt;item&gt;57&lt;/item&gt;&lt;item&gt;62&lt;/item&gt;&lt;item&gt;63&lt;/item&gt;&lt;item&gt;65&lt;/item&gt;&lt;item&gt;66&lt;/item&gt;&lt;item&gt;67&lt;/item&gt;&lt;item&gt;68&lt;/item&gt;&lt;item&gt;78&lt;/item&gt;&lt;item&gt;79&lt;/item&gt;&lt;item&gt;81&lt;/item&gt;&lt;item&gt;82&lt;/item&gt;&lt;item&gt;83&lt;/item&gt;&lt;/record-ids&gt;&lt;/item&gt;&lt;/Libraries&gt;"/>
  </w:docVars>
  <w:rsids>
    <w:rsidRoot w:val="00B85E0E"/>
    <w:rsid w:val="000103CA"/>
    <w:rsid w:val="00014EFA"/>
    <w:rsid w:val="0001672C"/>
    <w:rsid w:val="00022C0A"/>
    <w:rsid w:val="00026290"/>
    <w:rsid w:val="000271F7"/>
    <w:rsid w:val="00027654"/>
    <w:rsid w:val="00027F80"/>
    <w:rsid w:val="000363A3"/>
    <w:rsid w:val="00045B2A"/>
    <w:rsid w:val="00055442"/>
    <w:rsid w:val="00062A79"/>
    <w:rsid w:val="0006513A"/>
    <w:rsid w:val="00074697"/>
    <w:rsid w:val="000760FB"/>
    <w:rsid w:val="00081A2C"/>
    <w:rsid w:val="000827D6"/>
    <w:rsid w:val="000862DF"/>
    <w:rsid w:val="00091AF5"/>
    <w:rsid w:val="00093FD5"/>
    <w:rsid w:val="000947FF"/>
    <w:rsid w:val="000954F3"/>
    <w:rsid w:val="00096C06"/>
    <w:rsid w:val="000975BB"/>
    <w:rsid w:val="0009769D"/>
    <w:rsid w:val="0009796F"/>
    <w:rsid w:val="00097D62"/>
    <w:rsid w:val="000A23CB"/>
    <w:rsid w:val="000B3009"/>
    <w:rsid w:val="000C2E67"/>
    <w:rsid w:val="000C2FDE"/>
    <w:rsid w:val="000C5EAB"/>
    <w:rsid w:val="000C6965"/>
    <w:rsid w:val="000C722F"/>
    <w:rsid w:val="000C762A"/>
    <w:rsid w:val="000D11DC"/>
    <w:rsid w:val="000D17D5"/>
    <w:rsid w:val="000D21B7"/>
    <w:rsid w:val="000D5B7D"/>
    <w:rsid w:val="000E09E5"/>
    <w:rsid w:val="000E1A96"/>
    <w:rsid w:val="000E2C8D"/>
    <w:rsid w:val="000E4DDB"/>
    <w:rsid w:val="000E5154"/>
    <w:rsid w:val="000F1FD4"/>
    <w:rsid w:val="000F2128"/>
    <w:rsid w:val="000F6FAE"/>
    <w:rsid w:val="00100360"/>
    <w:rsid w:val="00102C06"/>
    <w:rsid w:val="00102E30"/>
    <w:rsid w:val="001047BD"/>
    <w:rsid w:val="0010538C"/>
    <w:rsid w:val="00106904"/>
    <w:rsid w:val="00110B87"/>
    <w:rsid w:val="00115902"/>
    <w:rsid w:val="00123AF3"/>
    <w:rsid w:val="00125A93"/>
    <w:rsid w:val="001326EF"/>
    <w:rsid w:val="0013788B"/>
    <w:rsid w:val="00140541"/>
    <w:rsid w:val="00140B50"/>
    <w:rsid w:val="00143DA4"/>
    <w:rsid w:val="00147619"/>
    <w:rsid w:val="00154956"/>
    <w:rsid w:val="00156194"/>
    <w:rsid w:val="00164F64"/>
    <w:rsid w:val="0016582E"/>
    <w:rsid w:val="0017007E"/>
    <w:rsid w:val="00172588"/>
    <w:rsid w:val="00172A4C"/>
    <w:rsid w:val="00177F99"/>
    <w:rsid w:val="001A1AF9"/>
    <w:rsid w:val="001A29C8"/>
    <w:rsid w:val="001B054F"/>
    <w:rsid w:val="001B070C"/>
    <w:rsid w:val="001B097A"/>
    <w:rsid w:val="001B0B08"/>
    <w:rsid w:val="001B11C7"/>
    <w:rsid w:val="001B3FF9"/>
    <w:rsid w:val="001B43D2"/>
    <w:rsid w:val="001C6D12"/>
    <w:rsid w:val="001D1662"/>
    <w:rsid w:val="001D2CF8"/>
    <w:rsid w:val="001D4B5C"/>
    <w:rsid w:val="001D4E1B"/>
    <w:rsid w:val="001D6BA0"/>
    <w:rsid w:val="001D7E47"/>
    <w:rsid w:val="001E015C"/>
    <w:rsid w:val="001E583C"/>
    <w:rsid w:val="001E5B8A"/>
    <w:rsid w:val="001E609D"/>
    <w:rsid w:val="001E7002"/>
    <w:rsid w:val="001E71E6"/>
    <w:rsid w:val="001F0596"/>
    <w:rsid w:val="001F6322"/>
    <w:rsid w:val="00201069"/>
    <w:rsid w:val="002010A0"/>
    <w:rsid w:val="0020186E"/>
    <w:rsid w:val="00202A0B"/>
    <w:rsid w:val="002037E8"/>
    <w:rsid w:val="002053BF"/>
    <w:rsid w:val="00205B3C"/>
    <w:rsid w:val="00212556"/>
    <w:rsid w:val="00212915"/>
    <w:rsid w:val="002174BC"/>
    <w:rsid w:val="002202AB"/>
    <w:rsid w:val="00223104"/>
    <w:rsid w:val="00225C2C"/>
    <w:rsid w:val="002315FF"/>
    <w:rsid w:val="00231E38"/>
    <w:rsid w:val="002377D0"/>
    <w:rsid w:val="0024000B"/>
    <w:rsid w:val="00242B79"/>
    <w:rsid w:val="00247A1C"/>
    <w:rsid w:val="00247F09"/>
    <w:rsid w:val="00250C87"/>
    <w:rsid w:val="00255A4F"/>
    <w:rsid w:val="00264645"/>
    <w:rsid w:val="00273561"/>
    <w:rsid w:val="0027699F"/>
    <w:rsid w:val="0027790E"/>
    <w:rsid w:val="00290476"/>
    <w:rsid w:val="00291588"/>
    <w:rsid w:val="00291807"/>
    <w:rsid w:val="002919F7"/>
    <w:rsid w:val="002926C1"/>
    <w:rsid w:val="002944F4"/>
    <w:rsid w:val="00295534"/>
    <w:rsid w:val="00295944"/>
    <w:rsid w:val="00297AB8"/>
    <w:rsid w:val="002A3D65"/>
    <w:rsid w:val="002A6087"/>
    <w:rsid w:val="002A7000"/>
    <w:rsid w:val="002B2254"/>
    <w:rsid w:val="002B4521"/>
    <w:rsid w:val="002B555B"/>
    <w:rsid w:val="002B5988"/>
    <w:rsid w:val="002C7B01"/>
    <w:rsid w:val="002E444F"/>
    <w:rsid w:val="002E51AD"/>
    <w:rsid w:val="002E53AE"/>
    <w:rsid w:val="002E6C83"/>
    <w:rsid w:val="002F01F5"/>
    <w:rsid w:val="002F2BD9"/>
    <w:rsid w:val="00300579"/>
    <w:rsid w:val="0030178E"/>
    <w:rsid w:val="0030526F"/>
    <w:rsid w:val="003059D8"/>
    <w:rsid w:val="00310ED7"/>
    <w:rsid w:val="003139E9"/>
    <w:rsid w:val="00316819"/>
    <w:rsid w:val="00317B1C"/>
    <w:rsid w:val="003212BC"/>
    <w:rsid w:val="00322803"/>
    <w:rsid w:val="003229EB"/>
    <w:rsid w:val="00323613"/>
    <w:rsid w:val="00330F31"/>
    <w:rsid w:val="00334B44"/>
    <w:rsid w:val="00336C7D"/>
    <w:rsid w:val="00340E3E"/>
    <w:rsid w:val="003432BC"/>
    <w:rsid w:val="0035164A"/>
    <w:rsid w:val="00351F95"/>
    <w:rsid w:val="00354407"/>
    <w:rsid w:val="00355FA8"/>
    <w:rsid w:val="00357DA6"/>
    <w:rsid w:val="00360054"/>
    <w:rsid w:val="00360060"/>
    <w:rsid w:val="0036321E"/>
    <w:rsid w:val="00365393"/>
    <w:rsid w:val="0036579A"/>
    <w:rsid w:val="00367C74"/>
    <w:rsid w:val="003706EE"/>
    <w:rsid w:val="00373A33"/>
    <w:rsid w:val="00375FDC"/>
    <w:rsid w:val="00381B4E"/>
    <w:rsid w:val="00382205"/>
    <w:rsid w:val="00384F84"/>
    <w:rsid w:val="00385DC6"/>
    <w:rsid w:val="00386BAE"/>
    <w:rsid w:val="00391EB5"/>
    <w:rsid w:val="0039559A"/>
    <w:rsid w:val="003979EB"/>
    <w:rsid w:val="00397CAF"/>
    <w:rsid w:val="003A3377"/>
    <w:rsid w:val="003A4C25"/>
    <w:rsid w:val="003A6075"/>
    <w:rsid w:val="003A7359"/>
    <w:rsid w:val="003B0031"/>
    <w:rsid w:val="003B7E0A"/>
    <w:rsid w:val="003C6ED4"/>
    <w:rsid w:val="003C7A2B"/>
    <w:rsid w:val="003D033F"/>
    <w:rsid w:val="003D0C46"/>
    <w:rsid w:val="003E1258"/>
    <w:rsid w:val="003E1726"/>
    <w:rsid w:val="003E5A70"/>
    <w:rsid w:val="003F0435"/>
    <w:rsid w:val="003F08B0"/>
    <w:rsid w:val="003F55DC"/>
    <w:rsid w:val="00401A8D"/>
    <w:rsid w:val="004031E6"/>
    <w:rsid w:val="00404D25"/>
    <w:rsid w:val="00404F00"/>
    <w:rsid w:val="004103B5"/>
    <w:rsid w:val="00412983"/>
    <w:rsid w:val="004236F0"/>
    <w:rsid w:val="004255F7"/>
    <w:rsid w:val="00430155"/>
    <w:rsid w:val="00431485"/>
    <w:rsid w:val="00432DD6"/>
    <w:rsid w:val="00440F02"/>
    <w:rsid w:val="00441251"/>
    <w:rsid w:val="00441FCE"/>
    <w:rsid w:val="004434D9"/>
    <w:rsid w:val="004469F8"/>
    <w:rsid w:val="00446FF8"/>
    <w:rsid w:val="00454B4C"/>
    <w:rsid w:val="004577D1"/>
    <w:rsid w:val="0046068D"/>
    <w:rsid w:val="00464019"/>
    <w:rsid w:val="00466875"/>
    <w:rsid w:val="00470E21"/>
    <w:rsid w:val="00472184"/>
    <w:rsid w:val="00473A63"/>
    <w:rsid w:val="0047547E"/>
    <w:rsid w:val="004762FF"/>
    <w:rsid w:val="00485D3C"/>
    <w:rsid w:val="00494B28"/>
    <w:rsid w:val="0049522A"/>
    <w:rsid w:val="00495EF9"/>
    <w:rsid w:val="004A1B42"/>
    <w:rsid w:val="004B5991"/>
    <w:rsid w:val="004C2421"/>
    <w:rsid w:val="004C5B9B"/>
    <w:rsid w:val="004C6B24"/>
    <w:rsid w:val="004C786A"/>
    <w:rsid w:val="004D0821"/>
    <w:rsid w:val="004D1252"/>
    <w:rsid w:val="004D36FA"/>
    <w:rsid w:val="004D3BE7"/>
    <w:rsid w:val="004E4334"/>
    <w:rsid w:val="004E5366"/>
    <w:rsid w:val="004F0D08"/>
    <w:rsid w:val="004F2F6C"/>
    <w:rsid w:val="0050404D"/>
    <w:rsid w:val="0051088C"/>
    <w:rsid w:val="00515F73"/>
    <w:rsid w:val="0052660A"/>
    <w:rsid w:val="00531103"/>
    <w:rsid w:val="00533844"/>
    <w:rsid w:val="00542023"/>
    <w:rsid w:val="00543A69"/>
    <w:rsid w:val="00547AC6"/>
    <w:rsid w:val="005503AD"/>
    <w:rsid w:val="0055080B"/>
    <w:rsid w:val="00550D27"/>
    <w:rsid w:val="00550D97"/>
    <w:rsid w:val="00556259"/>
    <w:rsid w:val="00560B10"/>
    <w:rsid w:val="00561AC6"/>
    <w:rsid w:val="00563669"/>
    <w:rsid w:val="0057187D"/>
    <w:rsid w:val="00572D9B"/>
    <w:rsid w:val="00575977"/>
    <w:rsid w:val="00577985"/>
    <w:rsid w:val="00580968"/>
    <w:rsid w:val="00583E33"/>
    <w:rsid w:val="0058728A"/>
    <w:rsid w:val="00592CB1"/>
    <w:rsid w:val="0059654D"/>
    <w:rsid w:val="00596661"/>
    <w:rsid w:val="005A0D97"/>
    <w:rsid w:val="005A3240"/>
    <w:rsid w:val="005A711B"/>
    <w:rsid w:val="005A7D61"/>
    <w:rsid w:val="005B1208"/>
    <w:rsid w:val="005B1758"/>
    <w:rsid w:val="005B67EE"/>
    <w:rsid w:val="005B6F67"/>
    <w:rsid w:val="005C0096"/>
    <w:rsid w:val="005C1417"/>
    <w:rsid w:val="005C3BC4"/>
    <w:rsid w:val="005D35E9"/>
    <w:rsid w:val="005D5237"/>
    <w:rsid w:val="005E0306"/>
    <w:rsid w:val="005E376D"/>
    <w:rsid w:val="005E481E"/>
    <w:rsid w:val="005E6D6E"/>
    <w:rsid w:val="005F03D5"/>
    <w:rsid w:val="005F260B"/>
    <w:rsid w:val="005F34B1"/>
    <w:rsid w:val="005F49A2"/>
    <w:rsid w:val="005F5385"/>
    <w:rsid w:val="005F760F"/>
    <w:rsid w:val="006005D5"/>
    <w:rsid w:val="00605CF5"/>
    <w:rsid w:val="00607731"/>
    <w:rsid w:val="00607CE6"/>
    <w:rsid w:val="00620558"/>
    <w:rsid w:val="006221D4"/>
    <w:rsid w:val="00622383"/>
    <w:rsid w:val="00625E90"/>
    <w:rsid w:val="006301AF"/>
    <w:rsid w:val="006333A3"/>
    <w:rsid w:val="006377B9"/>
    <w:rsid w:val="00640A92"/>
    <w:rsid w:val="006432E2"/>
    <w:rsid w:val="006508A7"/>
    <w:rsid w:val="00650B49"/>
    <w:rsid w:val="00651C5A"/>
    <w:rsid w:val="00652AE8"/>
    <w:rsid w:val="00653DF0"/>
    <w:rsid w:val="00660BE8"/>
    <w:rsid w:val="00667719"/>
    <w:rsid w:val="00671A58"/>
    <w:rsid w:val="00673146"/>
    <w:rsid w:val="00673A5B"/>
    <w:rsid w:val="0067498C"/>
    <w:rsid w:val="006749D7"/>
    <w:rsid w:val="006759DA"/>
    <w:rsid w:val="006773D7"/>
    <w:rsid w:val="00677BED"/>
    <w:rsid w:val="00684192"/>
    <w:rsid w:val="00685BFA"/>
    <w:rsid w:val="00691F13"/>
    <w:rsid w:val="0069439E"/>
    <w:rsid w:val="006961A7"/>
    <w:rsid w:val="006A7A3F"/>
    <w:rsid w:val="006B009A"/>
    <w:rsid w:val="006B04C3"/>
    <w:rsid w:val="006B16F1"/>
    <w:rsid w:val="006B7031"/>
    <w:rsid w:val="006C0483"/>
    <w:rsid w:val="006C1D92"/>
    <w:rsid w:val="006C6F08"/>
    <w:rsid w:val="006C7BC5"/>
    <w:rsid w:val="006D090D"/>
    <w:rsid w:val="006D0A0F"/>
    <w:rsid w:val="006D0D63"/>
    <w:rsid w:val="006D128C"/>
    <w:rsid w:val="006D133A"/>
    <w:rsid w:val="006D1DF9"/>
    <w:rsid w:val="006D45D8"/>
    <w:rsid w:val="006D4876"/>
    <w:rsid w:val="006D6473"/>
    <w:rsid w:val="006D6BFE"/>
    <w:rsid w:val="006E074A"/>
    <w:rsid w:val="006E3871"/>
    <w:rsid w:val="006E51F4"/>
    <w:rsid w:val="006F1B61"/>
    <w:rsid w:val="006F4183"/>
    <w:rsid w:val="006F62BC"/>
    <w:rsid w:val="006F653F"/>
    <w:rsid w:val="006F6C40"/>
    <w:rsid w:val="00700492"/>
    <w:rsid w:val="0070362E"/>
    <w:rsid w:val="00703675"/>
    <w:rsid w:val="00704256"/>
    <w:rsid w:val="00707E2F"/>
    <w:rsid w:val="007103F9"/>
    <w:rsid w:val="007117A6"/>
    <w:rsid w:val="007134B7"/>
    <w:rsid w:val="00713FE1"/>
    <w:rsid w:val="0071625E"/>
    <w:rsid w:val="00724D7B"/>
    <w:rsid w:val="00727359"/>
    <w:rsid w:val="0073007C"/>
    <w:rsid w:val="00735383"/>
    <w:rsid w:val="007358CC"/>
    <w:rsid w:val="007378D9"/>
    <w:rsid w:val="00740A1C"/>
    <w:rsid w:val="007412B3"/>
    <w:rsid w:val="007450E6"/>
    <w:rsid w:val="0074767C"/>
    <w:rsid w:val="00751C8C"/>
    <w:rsid w:val="00752A48"/>
    <w:rsid w:val="00754746"/>
    <w:rsid w:val="007561FF"/>
    <w:rsid w:val="00761C88"/>
    <w:rsid w:val="00763C2E"/>
    <w:rsid w:val="00766EE5"/>
    <w:rsid w:val="00780786"/>
    <w:rsid w:val="007842BB"/>
    <w:rsid w:val="00787EA3"/>
    <w:rsid w:val="007922D0"/>
    <w:rsid w:val="0079594C"/>
    <w:rsid w:val="00796644"/>
    <w:rsid w:val="00797638"/>
    <w:rsid w:val="007A0CB6"/>
    <w:rsid w:val="007A2AB4"/>
    <w:rsid w:val="007A3678"/>
    <w:rsid w:val="007A3C57"/>
    <w:rsid w:val="007A7863"/>
    <w:rsid w:val="007B1650"/>
    <w:rsid w:val="007B5A50"/>
    <w:rsid w:val="007B7793"/>
    <w:rsid w:val="007C50FA"/>
    <w:rsid w:val="007C6195"/>
    <w:rsid w:val="007C703D"/>
    <w:rsid w:val="007D1B68"/>
    <w:rsid w:val="007D5B8D"/>
    <w:rsid w:val="007E1C1B"/>
    <w:rsid w:val="007E48AA"/>
    <w:rsid w:val="007F364D"/>
    <w:rsid w:val="007F393D"/>
    <w:rsid w:val="007F4F29"/>
    <w:rsid w:val="007F53FB"/>
    <w:rsid w:val="007F5FFB"/>
    <w:rsid w:val="00800C09"/>
    <w:rsid w:val="008015D5"/>
    <w:rsid w:val="00803F91"/>
    <w:rsid w:val="00804646"/>
    <w:rsid w:val="00806E5D"/>
    <w:rsid w:val="008121E9"/>
    <w:rsid w:val="00812260"/>
    <w:rsid w:val="008131A7"/>
    <w:rsid w:val="008165AA"/>
    <w:rsid w:val="00821BE3"/>
    <w:rsid w:val="00830614"/>
    <w:rsid w:val="00832489"/>
    <w:rsid w:val="00834B90"/>
    <w:rsid w:val="008376CD"/>
    <w:rsid w:val="008412F2"/>
    <w:rsid w:val="008471CA"/>
    <w:rsid w:val="00850B5D"/>
    <w:rsid w:val="00851C8F"/>
    <w:rsid w:val="00853F95"/>
    <w:rsid w:val="0086148A"/>
    <w:rsid w:val="00862EF4"/>
    <w:rsid w:val="0086325A"/>
    <w:rsid w:val="0086466C"/>
    <w:rsid w:val="008663BC"/>
    <w:rsid w:val="0087198F"/>
    <w:rsid w:val="008807E4"/>
    <w:rsid w:val="0088170B"/>
    <w:rsid w:val="0088365C"/>
    <w:rsid w:val="008876D1"/>
    <w:rsid w:val="008902AC"/>
    <w:rsid w:val="008907F1"/>
    <w:rsid w:val="008937F1"/>
    <w:rsid w:val="00894D8A"/>
    <w:rsid w:val="008A0E91"/>
    <w:rsid w:val="008A1EA3"/>
    <w:rsid w:val="008A38ED"/>
    <w:rsid w:val="008A687F"/>
    <w:rsid w:val="008A68A1"/>
    <w:rsid w:val="008A6D29"/>
    <w:rsid w:val="008A758D"/>
    <w:rsid w:val="008A7B65"/>
    <w:rsid w:val="008B1FEB"/>
    <w:rsid w:val="008B27D4"/>
    <w:rsid w:val="008B4364"/>
    <w:rsid w:val="008B67E9"/>
    <w:rsid w:val="008C6C1E"/>
    <w:rsid w:val="008C70AC"/>
    <w:rsid w:val="008D3192"/>
    <w:rsid w:val="008D3E9E"/>
    <w:rsid w:val="008D4008"/>
    <w:rsid w:val="008D623C"/>
    <w:rsid w:val="008E0841"/>
    <w:rsid w:val="008E28A7"/>
    <w:rsid w:val="008E2938"/>
    <w:rsid w:val="008E3846"/>
    <w:rsid w:val="008F1E41"/>
    <w:rsid w:val="008F37CB"/>
    <w:rsid w:val="008F42A1"/>
    <w:rsid w:val="008F4F39"/>
    <w:rsid w:val="008F5C3B"/>
    <w:rsid w:val="00902474"/>
    <w:rsid w:val="0090480E"/>
    <w:rsid w:val="00904D38"/>
    <w:rsid w:val="0091312B"/>
    <w:rsid w:val="009253C9"/>
    <w:rsid w:val="00926FEF"/>
    <w:rsid w:val="00927F47"/>
    <w:rsid w:val="009330B2"/>
    <w:rsid w:val="00936969"/>
    <w:rsid w:val="00942A7B"/>
    <w:rsid w:val="009455EB"/>
    <w:rsid w:val="00946266"/>
    <w:rsid w:val="00951145"/>
    <w:rsid w:val="00954096"/>
    <w:rsid w:val="00960390"/>
    <w:rsid w:val="0096626A"/>
    <w:rsid w:val="00966B3F"/>
    <w:rsid w:val="009723EE"/>
    <w:rsid w:val="0098294E"/>
    <w:rsid w:val="0098459D"/>
    <w:rsid w:val="00985788"/>
    <w:rsid w:val="00986298"/>
    <w:rsid w:val="00990862"/>
    <w:rsid w:val="00991248"/>
    <w:rsid w:val="00992C40"/>
    <w:rsid w:val="00994676"/>
    <w:rsid w:val="00996D99"/>
    <w:rsid w:val="009A0B43"/>
    <w:rsid w:val="009A529B"/>
    <w:rsid w:val="009A7C00"/>
    <w:rsid w:val="009A7CE5"/>
    <w:rsid w:val="009B64A5"/>
    <w:rsid w:val="009C09F8"/>
    <w:rsid w:val="009C386A"/>
    <w:rsid w:val="009C5909"/>
    <w:rsid w:val="009C7C2D"/>
    <w:rsid w:val="009C7D83"/>
    <w:rsid w:val="009D144F"/>
    <w:rsid w:val="009D276C"/>
    <w:rsid w:val="009D2A1A"/>
    <w:rsid w:val="009D47C3"/>
    <w:rsid w:val="009D5060"/>
    <w:rsid w:val="009D5FC5"/>
    <w:rsid w:val="009E3F0A"/>
    <w:rsid w:val="009E4EB6"/>
    <w:rsid w:val="009E659B"/>
    <w:rsid w:val="009F052E"/>
    <w:rsid w:val="009F65FF"/>
    <w:rsid w:val="00A02084"/>
    <w:rsid w:val="00A02625"/>
    <w:rsid w:val="00A026AF"/>
    <w:rsid w:val="00A1282A"/>
    <w:rsid w:val="00A12A8C"/>
    <w:rsid w:val="00A16185"/>
    <w:rsid w:val="00A224E3"/>
    <w:rsid w:val="00A31867"/>
    <w:rsid w:val="00A33509"/>
    <w:rsid w:val="00A35C5C"/>
    <w:rsid w:val="00A434CF"/>
    <w:rsid w:val="00A453B1"/>
    <w:rsid w:val="00A45F8C"/>
    <w:rsid w:val="00A5340F"/>
    <w:rsid w:val="00A53D05"/>
    <w:rsid w:val="00A55031"/>
    <w:rsid w:val="00A560B6"/>
    <w:rsid w:val="00A578C6"/>
    <w:rsid w:val="00A654E6"/>
    <w:rsid w:val="00A67D63"/>
    <w:rsid w:val="00A703E8"/>
    <w:rsid w:val="00A72276"/>
    <w:rsid w:val="00A73BE2"/>
    <w:rsid w:val="00A7580B"/>
    <w:rsid w:val="00A7768D"/>
    <w:rsid w:val="00A77806"/>
    <w:rsid w:val="00A77CBE"/>
    <w:rsid w:val="00A806CD"/>
    <w:rsid w:val="00A81219"/>
    <w:rsid w:val="00A821BB"/>
    <w:rsid w:val="00A86D3C"/>
    <w:rsid w:val="00A90A00"/>
    <w:rsid w:val="00A92C17"/>
    <w:rsid w:val="00A9673C"/>
    <w:rsid w:val="00A979C0"/>
    <w:rsid w:val="00AA1627"/>
    <w:rsid w:val="00AA31A4"/>
    <w:rsid w:val="00AA3781"/>
    <w:rsid w:val="00AA5C54"/>
    <w:rsid w:val="00AA6218"/>
    <w:rsid w:val="00AB020F"/>
    <w:rsid w:val="00AB3C3F"/>
    <w:rsid w:val="00AB469F"/>
    <w:rsid w:val="00AB5588"/>
    <w:rsid w:val="00AB5E80"/>
    <w:rsid w:val="00AB70C7"/>
    <w:rsid w:val="00AC0245"/>
    <w:rsid w:val="00AD09F1"/>
    <w:rsid w:val="00AD0B99"/>
    <w:rsid w:val="00AD34BF"/>
    <w:rsid w:val="00AD7113"/>
    <w:rsid w:val="00AD7217"/>
    <w:rsid w:val="00AE4C15"/>
    <w:rsid w:val="00AF4E5D"/>
    <w:rsid w:val="00AF7678"/>
    <w:rsid w:val="00B018E9"/>
    <w:rsid w:val="00B06E15"/>
    <w:rsid w:val="00B12864"/>
    <w:rsid w:val="00B14E09"/>
    <w:rsid w:val="00B24D58"/>
    <w:rsid w:val="00B27F9D"/>
    <w:rsid w:val="00B31043"/>
    <w:rsid w:val="00B37546"/>
    <w:rsid w:val="00B40CDF"/>
    <w:rsid w:val="00B453C2"/>
    <w:rsid w:val="00B51D92"/>
    <w:rsid w:val="00B527AF"/>
    <w:rsid w:val="00B53808"/>
    <w:rsid w:val="00B5555D"/>
    <w:rsid w:val="00B55ACE"/>
    <w:rsid w:val="00B55D4C"/>
    <w:rsid w:val="00B60220"/>
    <w:rsid w:val="00B6046B"/>
    <w:rsid w:val="00B61F85"/>
    <w:rsid w:val="00B7326F"/>
    <w:rsid w:val="00B77C55"/>
    <w:rsid w:val="00B80729"/>
    <w:rsid w:val="00B82C8C"/>
    <w:rsid w:val="00B83A08"/>
    <w:rsid w:val="00B85E0E"/>
    <w:rsid w:val="00B85F1C"/>
    <w:rsid w:val="00B8704C"/>
    <w:rsid w:val="00BA0CA6"/>
    <w:rsid w:val="00BA2FA5"/>
    <w:rsid w:val="00BA4295"/>
    <w:rsid w:val="00BA469C"/>
    <w:rsid w:val="00BA4783"/>
    <w:rsid w:val="00BB62DE"/>
    <w:rsid w:val="00BB6722"/>
    <w:rsid w:val="00BB78CA"/>
    <w:rsid w:val="00BC5A9A"/>
    <w:rsid w:val="00BC7436"/>
    <w:rsid w:val="00BD0956"/>
    <w:rsid w:val="00BF0145"/>
    <w:rsid w:val="00BF1386"/>
    <w:rsid w:val="00BF14C3"/>
    <w:rsid w:val="00BF221D"/>
    <w:rsid w:val="00BF295D"/>
    <w:rsid w:val="00BF3199"/>
    <w:rsid w:val="00BF56C4"/>
    <w:rsid w:val="00BF6021"/>
    <w:rsid w:val="00BF7C9B"/>
    <w:rsid w:val="00C04051"/>
    <w:rsid w:val="00C14C17"/>
    <w:rsid w:val="00C21761"/>
    <w:rsid w:val="00C21F9D"/>
    <w:rsid w:val="00C22558"/>
    <w:rsid w:val="00C23DF1"/>
    <w:rsid w:val="00C23E7E"/>
    <w:rsid w:val="00C2427E"/>
    <w:rsid w:val="00C25A1D"/>
    <w:rsid w:val="00C26776"/>
    <w:rsid w:val="00C33B29"/>
    <w:rsid w:val="00C43F79"/>
    <w:rsid w:val="00C442E5"/>
    <w:rsid w:val="00C44E1C"/>
    <w:rsid w:val="00C45F62"/>
    <w:rsid w:val="00C53BC8"/>
    <w:rsid w:val="00C55118"/>
    <w:rsid w:val="00C5669E"/>
    <w:rsid w:val="00C60871"/>
    <w:rsid w:val="00C6105E"/>
    <w:rsid w:val="00C6195D"/>
    <w:rsid w:val="00C620C0"/>
    <w:rsid w:val="00C64475"/>
    <w:rsid w:val="00C71D86"/>
    <w:rsid w:val="00C74B34"/>
    <w:rsid w:val="00C77291"/>
    <w:rsid w:val="00C81C4A"/>
    <w:rsid w:val="00C82246"/>
    <w:rsid w:val="00C850C4"/>
    <w:rsid w:val="00C91860"/>
    <w:rsid w:val="00C942AB"/>
    <w:rsid w:val="00CA0DE3"/>
    <w:rsid w:val="00CA1189"/>
    <w:rsid w:val="00CA665C"/>
    <w:rsid w:val="00CB203A"/>
    <w:rsid w:val="00CB2A69"/>
    <w:rsid w:val="00CB4B8E"/>
    <w:rsid w:val="00CC12F5"/>
    <w:rsid w:val="00CC4452"/>
    <w:rsid w:val="00CC7497"/>
    <w:rsid w:val="00CD043F"/>
    <w:rsid w:val="00CD1BEE"/>
    <w:rsid w:val="00CD26C7"/>
    <w:rsid w:val="00CD4AC5"/>
    <w:rsid w:val="00CD5AE3"/>
    <w:rsid w:val="00CD7569"/>
    <w:rsid w:val="00CF0B2D"/>
    <w:rsid w:val="00CF35A3"/>
    <w:rsid w:val="00D00B7E"/>
    <w:rsid w:val="00D02AF5"/>
    <w:rsid w:val="00D03798"/>
    <w:rsid w:val="00D05009"/>
    <w:rsid w:val="00D12DF2"/>
    <w:rsid w:val="00D12E9C"/>
    <w:rsid w:val="00D17804"/>
    <w:rsid w:val="00D17E33"/>
    <w:rsid w:val="00D240C7"/>
    <w:rsid w:val="00D2495D"/>
    <w:rsid w:val="00D314B2"/>
    <w:rsid w:val="00D349CD"/>
    <w:rsid w:val="00D37340"/>
    <w:rsid w:val="00D37CFE"/>
    <w:rsid w:val="00D43B76"/>
    <w:rsid w:val="00D474D3"/>
    <w:rsid w:val="00D63962"/>
    <w:rsid w:val="00D65A1C"/>
    <w:rsid w:val="00D73F47"/>
    <w:rsid w:val="00D831A2"/>
    <w:rsid w:val="00D86039"/>
    <w:rsid w:val="00D8782E"/>
    <w:rsid w:val="00D9150C"/>
    <w:rsid w:val="00D9541F"/>
    <w:rsid w:val="00D96AA9"/>
    <w:rsid w:val="00DA40D3"/>
    <w:rsid w:val="00DA6191"/>
    <w:rsid w:val="00DB2812"/>
    <w:rsid w:val="00DB29EF"/>
    <w:rsid w:val="00DB42F5"/>
    <w:rsid w:val="00DB4CD0"/>
    <w:rsid w:val="00DC077C"/>
    <w:rsid w:val="00DC2107"/>
    <w:rsid w:val="00DC28A9"/>
    <w:rsid w:val="00DC3FA8"/>
    <w:rsid w:val="00DD1004"/>
    <w:rsid w:val="00DD7B6B"/>
    <w:rsid w:val="00DE00DC"/>
    <w:rsid w:val="00DE2B1F"/>
    <w:rsid w:val="00DE36D8"/>
    <w:rsid w:val="00DE7508"/>
    <w:rsid w:val="00DF28BF"/>
    <w:rsid w:val="00DF39B0"/>
    <w:rsid w:val="00DF424E"/>
    <w:rsid w:val="00DF4C09"/>
    <w:rsid w:val="00DF776C"/>
    <w:rsid w:val="00E02F41"/>
    <w:rsid w:val="00E04C0D"/>
    <w:rsid w:val="00E146DA"/>
    <w:rsid w:val="00E20FB7"/>
    <w:rsid w:val="00E23BB9"/>
    <w:rsid w:val="00E273D9"/>
    <w:rsid w:val="00E27751"/>
    <w:rsid w:val="00E27FF2"/>
    <w:rsid w:val="00E30225"/>
    <w:rsid w:val="00E329D4"/>
    <w:rsid w:val="00E32A8C"/>
    <w:rsid w:val="00E37E1B"/>
    <w:rsid w:val="00E41358"/>
    <w:rsid w:val="00E419C0"/>
    <w:rsid w:val="00E41CB3"/>
    <w:rsid w:val="00E433AA"/>
    <w:rsid w:val="00E47C2F"/>
    <w:rsid w:val="00E50AB5"/>
    <w:rsid w:val="00E53D1B"/>
    <w:rsid w:val="00E54442"/>
    <w:rsid w:val="00E55157"/>
    <w:rsid w:val="00E55F4A"/>
    <w:rsid w:val="00E569B3"/>
    <w:rsid w:val="00E608AA"/>
    <w:rsid w:val="00E60913"/>
    <w:rsid w:val="00E62922"/>
    <w:rsid w:val="00E7025E"/>
    <w:rsid w:val="00E7055F"/>
    <w:rsid w:val="00E7149B"/>
    <w:rsid w:val="00E74BAF"/>
    <w:rsid w:val="00E74CA2"/>
    <w:rsid w:val="00E75385"/>
    <w:rsid w:val="00E77545"/>
    <w:rsid w:val="00E77AF5"/>
    <w:rsid w:val="00E82B5D"/>
    <w:rsid w:val="00E835DA"/>
    <w:rsid w:val="00E85A58"/>
    <w:rsid w:val="00E86A8D"/>
    <w:rsid w:val="00E9358F"/>
    <w:rsid w:val="00E93CA7"/>
    <w:rsid w:val="00E96ED6"/>
    <w:rsid w:val="00EA0570"/>
    <w:rsid w:val="00EA0F1D"/>
    <w:rsid w:val="00EA2185"/>
    <w:rsid w:val="00EA4E9D"/>
    <w:rsid w:val="00EA63B1"/>
    <w:rsid w:val="00EB1C45"/>
    <w:rsid w:val="00EB4B8D"/>
    <w:rsid w:val="00EC39A4"/>
    <w:rsid w:val="00EC6FA6"/>
    <w:rsid w:val="00EC7A1D"/>
    <w:rsid w:val="00ED1B6C"/>
    <w:rsid w:val="00ED2D51"/>
    <w:rsid w:val="00ED3B7D"/>
    <w:rsid w:val="00ED756D"/>
    <w:rsid w:val="00EF00BA"/>
    <w:rsid w:val="00EF2055"/>
    <w:rsid w:val="00EF6FEB"/>
    <w:rsid w:val="00F01D3F"/>
    <w:rsid w:val="00F05555"/>
    <w:rsid w:val="00F1130D"/>
    <w:rsid w:val="00F117A1"/>
    <w:rsid w:val="00F12AB3"/>
    <w:rsid w:val="00F13B3F"/>
    <w:rsid w:val="00F17B1A"/>
    <w:rsid w:val="00F21512"/>
    <w:rsid w:val="00F21B89"/>
    <w:rsid w:val="00F26860"/>
    <w:rsid w:val="00F3007F"/>
    <w:rsid w:val="00F322C9"/>
    <w:rsid w:val="00F32B63"/>
    <w:rsid w:val="00F35840"/>
    <w:rsid w:val="00F36412"/>
    <w:rsid w:val="00F37B3B"/>
    <w:rsid w:val="00F417B8"/>
    <w:rsid w:val="00F44445"/>
    <w:rsid w:val="00F44FEF"/>
    <w:rsid w:val="00F515E5"/>
    <w:rsid w:val="00F516E9"/>
    <w:rsid w:val="00F51F92"/>
    <w:rsid w:val="00F53073"/>
    <w:rsid w:val="00F55A48"/>
    <w:rsid w:val="00F56857"/>
    <w:rsid w:val="00F57029"/>
    <w:rsid w:val="00F570F8"/>
    <w:rsid w:val="00F60D20"/>
    <w:rsid w:val="00F6572C"/>
    <w:rsid w:val="00F70B68"/>
    <w:rsid w:val="00F713B6"/>
    <w:rsid w:val="00F724FA"/>
    <w:rsid w:val="00F751A1"/>
    <w:rsid w:val="00F7602F"/>
    <w:rsid w:val="00F83DE3"/>
    <w:rsid w:val="00F8726F"/>
    <w:rsid w:val="00F900DC"/>
    <w:rsid w:val="00F92FDB"/>
    <w:rsid w:val="00F96967"/>
    <w:rsid w:val="00F97017"/>
    <w:rsid w:val="00F9708F"/>
    <w:rsid w:val="00FA02EF"/>
    <w:rsid w:val="00FA08A8"/>
    <w:rsid w:val="00FA73E3"/>
    <w:rsid w:val="00FA79C9"/>
    <w:rsid w:val="00FB02C3"/>
    <w:rsid w:val="00FB370C"/>
    <w:rsid w:val="00FB4212"/>
    <w:rsid w:val="00FB4EDB"/>
    <w:rsid w:val="00FB5B47"/>
    <w:rsid w:val="00FB5E74"/>
    <w:rsid w:val="00FC17D2"/>
    <w:rsid w:val="00FC2D99"/>
    <w:rsid w:val="00FC5633"/>
    <w:rsid w:val="00FC6DF7"/>
    <w:rsid w:val="00FD25BC"/>
    <w:rsid w:val="00FD39F5"/>
    <w:rsid w:val="00FD6197"/>
    <w:rsid w:val="00FD697A"/>
    <w:rsid w:val="00FD73CD"/>
    <w:rsid w:val="00FE39C1"/>
    <w:rsid w:val="00FF17AB"/>
    <w:rsid w:val="00FF370E"/>
    <w:rsid w:val="00FF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AE8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F322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F322C9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F322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F322C9"/>
    <w:rPr>
      <w:rFonts w:cs="Times New Roman"/>
      <w:sz w:val="22"/>
      <w:szCs w:val="22"/>
    </w:rPr>
  </w:style>
  <w:style w:type="character" w:styleId="Hyperlink">
    <w:name w:val="Hyperlink"/>
    <w:basedOn w:val="Absatz-Standardschriftart"/>
    <w:uiPriority w:val="99"/>
    <w:rsid w:val="00A1282A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rsid w:val="009D5FC5"/>
    <w:rPr>
      <w:sz w:val="20"/>
      <w:szCs w:val="20"/>
    </w:rPr>
  </w:style>
  <w:style w:type="character" w:customStyle="1" w:styleId="FootnoteTextChar">
    <w:name w:val="Footnote Text Char"/>
    <w:basedOn w:val="Absatz-Standardschriftart"/>
    <w:link w:val="Funotentext"/>
    <w:uiPriority w:val="99"/>
    <w:semiHidden/>
    <w:rsid w:val="00B93D5A"/>
    <w:rPr>
      <w:sz w:val="20"/>
      <w:szCs w:val="20"/>
      <w:lang w:val="de-DE" w:eastAsia="ja-JP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9D5FC5"/>
    <w:rPr>
      <w:rFonts w:cs="Times New Roman"/>
    </w:rPr>
  </w:style>
  <w:style w:type="character" w:styleId="Funotenzeichen">
    <w:name w:val="footnote reference"/>
    <w:aliases w:val="footnote number"/>
    <w:basedOn w:val="Absatz-Standardschriftart"/>
    <w:uiPriority w:val="99"/>
    <w:semiHidden/>
    <w:rsid w:val="009D5FC5"/>
    <w:rPr>
      <w:rFonts w:cs="Times New Roman"/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rsid w:val="00C91860"/>
    <w:rPr>
      <w:rFonts w:cs="Times New Roman"/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CA665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A665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A665C"/>
    <w:rPr>
      <w:rFonts w:cs="Times New Roman"/>
      <w:lang w:val="de-DE" w:eastAsia="ja-JP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CA66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CA665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CA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A665C"/>
    <w:rPr>
      <w:rFonts w:ascii="Tahoma" w:hAnsi="Tahoma" w:cs="Tahoma"/>
      <w:sz w:val="16"/>
      <w:szCs w:val="16"/>
      <w:lang w:val="de-DE" w:eastAsia="ja-JP"/>
    </w:rPr>
  </w:style>
  <w:style w:type="paragraph" w:styleId="Listenabsatz">
    <w:name w:val="List Paragraph"/>
    <w:basedOn w:val="Standard"/>
    <w:uiPriority w:val="34"/>
    <w:qFormat/>
    <w:rsid w:val="00EC39A4"/>
    <w:pPr>
      <w:ind w:left="720"/>
      <w:contextualSpacing/>
    </w:pPr>
    <w:rPr>
      <w:lang w:val="de-AT" w:eastAsia="en-US"/>
    </w:rPr>
  </w:style>
  <w:style w:type="table" w:styleId="Tabellengitternetz">
    <w:name w:val="Table Grid"/>
    <w:basedOn w:val="NormaleTabelle"/>
    <w:uiPriority w:val="99"/>
    <w:rsid w:val="00AB5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Standard"/>
    <w:link w:val="EndNoteBibliographyTitleZchn"/>
    <w:rsid w:val="008131A7"/>
    <w:pPr>
      <w:spacing w:after="0"/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131A7"/>
    <w:rPr>
      <w:noProof/>
      <w:sz w:val="22"/>
      <w:szCs w:val="22"/>
    </w:rPr>
  </w:style>
  <w:style w:type="paragraph" w:customStyle="1" w:styleId="EndNoteBibliography">
    <w:name w:val="EndNote Bibliography"/>
    <w:basedOn w:val="Standard"/>
    <w:link w:val="EndNoteBibliographyZchn"/>
    <w:rsid w:val="008131A7"/>
    <w:pPr>
      <w:spacing w:line="240" w:lineRule="auto"/>
    </w:pPr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8131A7"/>
    <w:rPr>
      <w:noProof/>
      <w:sz w:val="22"/>
      <w:szCs w:val="22"/>
    </w:rPr>
  </w:style>
  <w:style w:type="character" w:styleId="Zeilennummer">
    <w:name w:val="line number"/>
    <w:basedOn w:val="Absatz-Standardschriftart"/>
    <w:uiPriority w:val="99"/>
    <w:semiHidden/>
    <w:unhideWhenUsed/>
    <w:rsid w:val="00B55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.0.28\public\Projekte\Gesundheitsoekonomie\KleinProjekteGHOE\AM-Analyse\WasteAnalysis_new_used_for_articl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AT"/>
  <c:style val="1"/>
  <c:chart>
    <c:plotArea>
      <c:layout/>
      <c:barChart>
        <c:barDir val="bar"/>
        <c:grouping val="percentStacked"/>
        <c:ser>
          <c:idx val="0"/>
          <c:order val="0"/>
          <c:tx>
            <c:strRef>
              <c:f>'Figure 2 new'!$D$3</c:f>
              <c:strCache>
                <c:ptCount val="1"/>
                <c:pt idx="0">
                  <c:v>Pack without contents (in %)</c:v>
                </c:pt>
              </c:strCache>
            </c:strRef>
          </c:tx>
          <c:cat>
            <c:strRef>
              <c:f>'Figure 2 new'!$B$4:$B$29</c:f>
              <c:strCache>
                <c:ptCount val="26"/>
                <c:pt idx="0">
                  <c:v>Expired medicines (n=7)</c:v>
                </c:pt>
                <c:pt idx="1">
                  <c:v>Non expired medicines (n=129)</c:v>
                </c:pt>
                <c:pt idx="2">
                  <c:v>Dental medicines (n=1)</c:v>
                </c:pt>
                <c:pt idx="3">
                  <c:v>Medicines for the eye (n=1)</c:v>
                </c:pt>
                <c:pt idx="4">
                  <c:v>Dermal medicines (n=10)</c:v>
                </c:pt>
                <c:pt idx="5">
                  <c:v>Pulmonal medicines (n=1)</c:v>
                </c:pt>
                <c:pt idx="6">
                  <c:v>Nasal medicines (n=1)</c:v>
                </c:pt>
                <c:pt idx="7">
                  <c:v>Parental medicines (n=6)</c:v>
                </c:pt>
                <c:pt idx="8">
                  <c:v>Oral medicines (n=132)</c:v>
                </c:pt>
                <c:pt idx="9">
                  <c:v>Medicines of any other ATC code or not attributable (n=45)</c:v>
                </c:pt>
                <c:pt idx="10">
                  <c:v>ATC code R: Respiratory system (n=10)</c:v>
                </c:pt>
                <c:pt idx="11">
                  <c:v>ATC code N: Nervous system (n=16)</c:v>
                </c:pt>
                <c:pt idx="12">
                  <c:v>ATC code M: Muscolo-skeletal system (n=17)</c:v>
                </c:pt>
                <c:pt idx="13">
                  <c:v>ATC code J: Anti-infectives for systemic use (n=5)</c:v>
                </c:pt>
                <c:pt idx="14">
                  <c:v>ATC code G: Genito urinary system &amp; sex hormones (n=2)</c:v>
                </c:pt>
                <c:pt idx="15">
                  <c:v>ATC code D: Dermatologicals (n=2)</c:v>
                </c:pt>
                <c:pt idx="16">
                  <c:v>ATC code C: Cardiovascular system (n=36)</c:v>
                </c:pt>
                <c:pt idx="17">
                  <c:v>ATC code B: Blood and blood forming organs (n=4)</c:v>
                </c:pt>
                <c:pt idx="18">
                  <c:v>ATC code A: Alimentary tract and metabolism (n =15)</c:v>
                </c:pt>
                <c:pt idx="19">
                  <c:v>Medicines from China (n=1)</c:v>
                </c:pt>
                <c:pt idx="20">
                  <c:v>Medicines from Greece (n=1) </c:v>
                </c:pt>
                <c:pt idx="21">
                  <c:v>Medicines from France (n=1)</c:v>
                </c:pt>
                <c:pt idx="22">
                  <c:v>Medicines from Germany (n=6)</c:v>
                </c:pt>
                <c:pt idx="23">
                  <c:v>Medicines from Austria (n=139)</c:v>
                </c:pt>
                <c:pt idx="24">
                  <c:v>Over-the-counter medicines (n=39)</c:v>
                </c:pt>
                <c:pt idx="25">
                  <c:v>Prescription-only medicines (n=113)</c:v>
                </c:pt>
              </c:strCache>
            </c:strRef>
          </c:cat>
          <c:val>
            <c:numRef>
              <c:f>'Figure 2 new'!$D$4:$D$29</c:f>
              <c:numCache>
                <c:formatCode>General</c:formatCode>
                <c:ptCount val="26"/>
                <c:pt idx="0">
                  <c:v>42.9</c:v>
                </c:pt>
                <c:pt idx="1">
                  <c:v>86.8</c:v>
                </c:pt>
                <c:pt idx="2">
                  <c:v>0</c:v>
                </c:pt>
                <c:pt idx="3">
                  <c:v>0</c:v>
                </c:pt>
                <c:pt idx="4">
                  <c:v>50</c:v>
                </c:pt>
                <c:pt idx="5">
                  <c:v>100</c:v>
                </c:pt>
                <c:pt idx="6">
                  <c:v>0</c:v>
                </c:pt>
                <c:pt idx="7">
                  <c:v>83.3</c:v>
                </c:pt>
                <c:pt idx="8">
                  <c:v>90.6</c:v>
                </c:pt>
                <c:pt idx="9">
                  <c:v>86.7</c:v>
                </c:pt>
                <c:pt idx="10">
                  <c:v>60</c:v>
                </c:pt>
                <c:pt idx="11">
                  <c:v>93.7</c:v>
                </c:pt>
                <c:pt idx="12">
                  <c:v>76.5</c:v>
                </c:pt>
                <c:pt idx="13">
                  <c:v>80</c:v>
                </c:pt>
                <c:pt idx="14">
                  <c:v>100</c:v>
                </c:pt>
                <c:pt idx="15">
                  <c:v>100</c:v>
                </c:pt>
                <c:pt idx="16">
                  <c:v>86.1</c:v>
                </c:pt>
                <c:pt idx="17">
                  <c:v>100</c:v>
                </c:pt>
                <c:pt idx="18">
                  <c:v>93.3</c:v>
                </c:pt>
                <c:pt idx="19">
                  <c:v>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84.9</c:v>
                </c:pt>
                <c:pt idx="24">
                  <c:v>79.5</c:v>
                </c:pt>
                <c:pt idx="25">
                  <c:v>87.6</c:v>
                </c:pt>
              </c:numCache>
            </c:numRef>
          </c:val>
        </c:ser>
        <c:ser>
          <c:idx val="1"/>
          <c:order val="1"/>
          <c:tx>
            <c:strRef>
              <c:f>'Figure 2 new'!$C$3</c:f>
              <c:strCache>
                <c:ptCount val="1"/>
                <c:pt idx="0">
                  <c:v>Packs with contents (in %)</c:v>
                </c:pt>
              </c:strCache>
            </c:strRef>
          </c:tx>
          <c:cat>
            <c:strRef>
              <c:f>'Figure 2 new'!$B$4:$B$29</c:f>
              <c:strCache>
                <c:ptCount val="26"/>
                <c:pt idx="0">
                  <c:v>Expired medicines (n=7)</c:v>
                </c:pt>
                <c:pt idx="1">
                  <c:v>Non expired medicines (n=129)</c:v>
                </c:pt>
                <c:pt idx="2">
                  <c:v>Dental medicines (n=1)</c:v>
                </c:pt>
                <c:pt idx="3">
                  <c:v>Medicines for the eye (n=1)</c:v>
                </c:pt>
                <c:pt idx="4">
                  <c:v>Dermal medicines (n=10)</c:v>
                </c:pt>
                <c:pt idx="5">
                  <c:v>Pulmonal medicines (n=1)</c:v>
                </c:pt>
                <c:pt idx="6">
                  <c:v>Nasal medicines (n=1)</c:v>
                </c:pt>
                <c:pt idx="7">
                  <c:v>Parental medicines (n=6)</c:v>
                </c:pt>
                <c:pt idx="8">
                  <c:v>Oral medicines (n=132)</c:v>
                </c:pt>
                <c:pt idx="9">
                  <c:v>Medicines of any other ATC code or not attributable (n=45)</c:v>
                </c:pt>
                <c:pt idx="10">
                  <c:v>ATC code R: Respiratory system (n=10)</c:v>
                </c:pt>
                <c:pt idx="11">
                  <c:v>ATC code N: Nervous system (n=16)</c:v>
                </c:pt>
                <c:pt idx="12">
                  <c:v>ATC code M: Muscolo-skeletal system (n=17)</c:v>
                </c:pt>
                <c:pt idx="13">
                  <c:v>ATC code J: Anti-infectives for systemic use (n=5)</c:v>
                </c:pt>
                <c:pt idx="14">
                  <c:v>ATC code G: Genito urinary system &amp; sex hormones (n=2)</c:v>
                </c:pt>
                <c:pt idx="15">
                  <c:v>ATC code D: Dermatologicals (n=2)</c:v>
                </c:pt>
                <c:pt idx="16">
                  <c:v>ATC code C: Cardiovascular system (n=36)</c:v>
                </c:pt>
                <c:pt idx="17">
                  <c:v>ATC code B: Blood and blood forming organs (n=4)</c:v>
                </c:pt>
                <c:pt idx="18">
                  <c:v>ATC code A: Alimentary tract and metabolism (n =15)</c:v>
                </c:pt>
                <c:pt idx="19">
                  <c:v>Medicines from China (n=1)</c:v>
                </c:pt>
                <c:pt idx="20">
                  <c:v>Medicines from Greece (n=1) </c:v>
                </c:pt>
                <c:pt idx="21">
                  <c:v>Medicines from France (n=1)</c:v>
                </c:pt>
                <c:pt idx="22">
                  <c:v>Medicines from Germany (n=6)</c:v>
                </c:pt>
                <c:pt idx="23">
                  <c:v>Medicines from Austria (n=139)</c:v>
                </c:pt>
                <c:pt idx="24">
                  <c:v>Over-the-counter medicines (n=39)</c:v>
                </c:pt>
                <c:pt idx="25">
                  <c:v>Prescription-only medicines (n=113)</c:v>
                </c:pt>
              </c:strCache>
            </c:strRef>
          </c:cat>
          <c:val>
            <c:numRef>
              <c:f>'Figure 2 new'!$C$4:$C$29</c:f>
              <c:numCache>
                <c:formatCode>General</c:formatCode>
                <c:ptCount val="26"/>
                <c:pt idx="0">
                  <c:v>57.1</c:v>
                </c:pt>
                <c:pt idx="1">
                  <c:v>13.2</c:v>
                </c:pt>
                <c:pt idx="2">
                  <c:v>100</c:v>
                </c:pt>
                <c:pt idx="3">
                  <c:v>100</c:v>
                </c:pt>
                <c:pt idx="4">
                  <c:v>50</c:v>
                </c:pt>
                <c:pt idx="5">
                  <c:v>0</c:v>
                </c:pt>
                <c:pt idx="6">
                  <c:v>100</c:v>
                </c:pt>
                <c:pt idx="7">
                  <c:v>16.7</c:v>
                </c:pt>
                <c:pt idx="8">
                  <c:v>9.9</c:v>
                </c:pt>
                <c:pt idx="9">
                  <c:v>13.3</c:v>
                </c:pt>
                <c:pt idx="10">
                  <c:v>40</c:v>
                </c:pt>
                <c:pt idx="11">
                  <c:v>6.3</c:v>
                </c:pt>
                <c:pt idx="12">
                  <c:v>23.5</c:v>
                </c:pt>
                <c:pt idx="13">
                  <c:v>20</c:v>
                </c:pt>
                <c:pt idx="14">
                  <c:v>0</c:v>
                </c:pt>
                <c:pt idx="15">
                  <c:v>0</c:v>
                </c:pt>
                <c:pt idx="16">
                  <c:v>13.9</c:v>
                </c:pt>
                <c:pt idx="17">
                  <c:v>0</c:v>
                </c:pt>
                <c:pt idx="18">
                  <c:v>6.7</c:v>
                </c:pt>
                <c:pt idx="19">
                  <c:v>100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15.1</c:v>
                </c:pt>
                <c:pt idx="24">
                  <c:v>20.5</c:v>
                </c:pt>
                <c:pt idx="25">
                  <c:v>12.4</c:v>
                </c:pt>
              </c:numCache>
            </c:numRef>
          </c:val>
        </c:ser>
        <c:overlap val="100"/>
        <c:axId val="97494144"/>
        <c:axId val="97509376"/>
      </c:barChart>
      <c:catAx>
        <c:axId val="97494144"/>
        <c:scaling>
          <c:orientation val="minMax"/>
        </c:scaling>
        <c:axPos val="l"/>
        <c:tickLblPos val="nextTo"/>
        <c:txPr>
          <a:bodyPr/>
          <a:lstStyle/>
          <a:p>
            <a:pPr>
              <a:defRPr sz="900"/>
            </a:pPr>
            <a:endParaRPr lang="de-DE"/>
          </a:p>
        </c:txPr>
        <c:crossAx val="97509376"/>
        <c:crosses val="autoZero"/>
        <c:auto val="1"/>
        <c:lblAlgn val="ctr"/>
        <c:lblOffset val="100"/>
      </c:catAx>
      <c:valAx>
        <c:axId val="97509376"/>
        <c:scaling>
          <c:orientation val="minMax"/>
        </c:scaling>
        <c:axPos val="b"/>
        <c:majorGridlines/>
        <c:numFmt formatCode="0%" sourceLinked="1"/>
        <c:tickLblPos val="nextTo"/>
        <c:crossAx val="97494144"/>
        <c:crosses val="autoZero"/>
        <c:crossBetween val="between"/>
      </c:valAx>
    </c:plotArea>
    <c:legend>
      <c:legendPos val="b"/>
      <c:layout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F8061-2445-4EE8-99B2-92264939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Medicines discarded in household garbage</vt:lpstr>
    </vt:vector>
  </TitlesOfParts>
  <Company>Gesundheit Oesterreich GmbH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Medicines discarded in household garbage</dc:title>
  <dc:creator>cleared</dc:creator>
  <cp:lastModifiedBy>Sabine.Vogler</cp:lastModifiedBy>
  <cp:revision>6</cp:revision>
  <cp:lastPrinted>2013-07-24T11:58:00Z</cp:lastPrinted>
  <dcterms:created xsi:type="dcterms:W3CDTF">2013-07-27T10:17:00Z</dcterms:created>
  <dcterms:modified xsi:type="dcterms:W3CDTF">2014-03-06T07:38:00Z</dcterms:modified>
  <cp:contentStatus>Manuscript</cp:contentStatus>
</cp:coreProperties>
</file>