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4E6" w:rsidRDefault="00FB0B3A" w:rsidP="009124E6">
      <w:pPr>
        <w:pStyle w:val="float"/>
        <w:spacing w:after="0" w:afterAutospacing="0"/>
        <w:jc w:val="both"/>
      </w:pPr>
      <w:r>
        <w:rPr>
          <w:rStyle w:val="Caption1"/>
          <w:b/>
          <w:bCs/>
        </w:rPr>
        <w:t>Additional file 1:</w:t>
      </w:r>
      <w:r w:rsidR="009124E6">
        <w:rPr>
          <w:rStyle w:val="Caption1"/>
        </w:rPr>
        <w:t xml:space="preserve"> </w:t>
      </w:r>
      <w:r w:rsidR="009124E6">
        <w:rPr>
          <w:rStyle w:val="bold"/>
        </w:rPr>
        <w:t xml:space="preserve">Data generated due to REACH registration duties </w:t>
      </w:r>
    </w:p>
    <w:tbl>
      <w:tblPr>
        <w:tblW w:w="5005" w:type="pct"/>
        <w:jc w:val="center"/>
        <w:tblLook w:val="04A0" w:firstRow="1" w:lastRow="0" w:firstColumn="1" w:lastColumn="0" w:noHBand="0" w:noVBand="1"/>
      </w:tblPr>
      <w:tblGrid>
        <w:gridCol w:w="3099"/>
        <w:gridCol w:w="7839"/>
        <w:gridCol w:w="3060"/>
      </w:tblGrid>
      <w:tr w:rsidR="003647ED" w:rsidRPr="00FB0B3A" w:rsidTr="003647ED">
        <w:trPr>
          <w:trHeight w:val="735"/>
          <w:tblHeader/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99CC0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4E6" w:rsidRPr="00FB0B3A" w:rsidRDefault="009124E6" w:rsidP="003647ED">
            <w:pPr>
              <w:ind w:left="111" w:hanging="111"/>
              <w:rPr>
                <w:rStyle w:val="bold"/>
                <w:sz w:val="22"/>
                <w:szCs w:val="22"/>
              </w:rPr>
            </w:pPr>
            <w:r w:rsidRPr="00FB0B3A">
              <w:rPr>
                <w:rStyle w:val="bold"/>
                <w:sz w:val="22"/>
                <w:szCs w:val="22"/>
              </w:rPr>
              <w:t>‘The ideal REACH world’ at the workplace</w:t>
            </w:r>
          </w:p>
        </w:tc>
        <w:tc>
          <w:tcPr>
            <w:tcW w:w="280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CC0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4E6" w:rsidRPr="00FB0B3A" w:rsidRDefault="009124E6" w:rsidP="003647ED">
            <w:pPr>
              <w:ind w:left="111" w:hanging="111"/>
              <w:rPr>
                <w:rStyle w:val="bold"/>
                <w:sz w:val="22"/>
                <w:szCs w:val="22"/>
              </w:rPr>
            </w:pPr>
            <w:r w:rsidRPr="00FB0B3A">
              <w:rPr>
                <w:rStyle w:val="bold"/>
                <w:sz w:val="22"/>
                <w:szCs w:val="22"/>
              </w:rPr>
              <w:t xml:space="preserve">System inherent drawbacks that hinder </w:t>
            </w:r>
            <w:proofErr w:type="spellStart"/>
            <w:r w:rsidRPr="00FB0B3A">
              <w:rPr>
                <w:rStyle w:val="bold"/>
                <w:sz w:val="22"/>
                <w:szCs w:val="22"/>
              </w:rPr>
              <w:t>REACHing</w:t>
            </w:r>
            <w:proofErr w:type="spellEnd"/>
            <w:r w:rsidRPr="00FB0B3A">
              <w:rPr>
                <w:rStyle w:val="bold"/>
                <w:sz w:val="22"/>
                <w:szCs w:val="22"/>
              </w:rPr>
              <w:t xml:space="preserve"> these ideals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660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4E6" w:rsidRPr="00FB0B3A" w:rsidRDefault="009124E6" w:rsidP="00D637AE">
            <w:pPr>
              <w:spacing w:after="0" w:afterAutospacing="0"/>
              <w:ind w:left="-16"/>
              <w:rPr>
                <w:rStyle w:val="bold"/>
                <w:sz w:val="22"/>
                <w:szCs w:val="22"/>
              </w:rPr>
            </w:pPr>
            <w:r w:rsidRPr="00FB0B3A">
              <w:rPr>
                <w:rStyle w:val="bold"/>
                <w:sz w:val="22"/>
                <w:szCs w:val="22"/>
              </w:rPr>
              <w:t xml:space="preserve">Contravention against legal framework that hinder </w:t>
            </w:r>
            <w:proofErr w:type="spellStart"/>
            <w:r w:rsidRPr="00FB0B3A">
              <w:rPr>
                <w:rStyle w:val="bold"/>
                <w:sz w:val="22"/>
                <w:szCs w:val="22"/>
              </w:rPr>
              <w:t>REACHing</w:t>
            </w:r>
            <w:proofErr w:type="spellEnd"/>
            <w:r w:rsidRPr="00FB0B3A">
              <w:rPr>
                <w:rStyle w:val="bold"/>
                <w:sz w:val="22"/>
                <w:szCs w:val="22"/>
              </w:rPr>
              <w:t xml:space="preserve"> these ideals</w:t>
            </w:r>
          </w:p>
        </w:tc>
      </w:tr>
      <w:tr w:rsidR="003647ED" w:rsidRPr="00FB0B3A" w:rsidTr="00FB0B3A">
        <w:trPr>
          <w:trHeight w:val="567"/>
          <w:tblHeader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</w:tcBorders>
            <w:shd w:val="clear" w:color="auto" w:fill="99CC0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4E6" w:rsidRPr="00FB0B3A" w:rsidRDefault="009124E6" w:rsidP="00B1062F">
            <w:pPr>
              <w:rPr>
                <w:sz w:val="22"/>
                <w:szCs w:val="22"/>
              </w:rPr>
            </w:pPr>
            <w:r w:rsidRPr="00FB0B3A">
              <w:rPr>
                <w:rStyle w:val="simple"/>
                <w:sz w:val="22"/>
                <w:szCs w:val="22"/>
              </w:rPr>
              <w:t>REACH covers all substances on their own or in mixtures</w:t>
            </w:r>
          </w:p>
        </w:tc>
        <w:tc>
          <w:tcPr>
            <w:tcW w:w="2800" w:type="pct"/>
            <w:tcBorders>
              <w:top w:val="single" w:sz="12" w:space="0" w:color="auto"/>
            </w:tcBorders>
            <w:shd w:val="clear" w:color="auto" w:fill="FFCC0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4E6" w:rsidRPr="00FB0B3A" w:rsidRDefault="003647ED" w:rsidP="003647ED">
            <w:pPr>
              <w:ind w:left="169" w:hanging="169"/>
              <w:rPr>
                <w:sz w:val="22"/>
                <w:szCs w:val="22"/>
              </w:rPr>
            </w:pPr>
            <w:r w:rsidRPr="00FB0B3A">
              <w:rPr>
                <w:rStyle w:val="simple"/>
                <w:sz w:val="22"/>
                <w:szCs w:val="22"/>
              </w:rPr>
              <w:t>-</w:t>
            </w:r>
            <w:r w:rsidRPr="00FB0B3A">
              <w:rPr>
                <w:rStyle w:val="simple"/>
                <w:sz w:val="22"/>
                <w:szCs w:val="22"/>
              </w:rPr>
              <w:tab/>
            </w:r>
            <w:r w:rsidR="009124E6" w:rsidRPr="00FB0B3A">
              <w:rPr>
                <w:rStyle w:val="simple"/>
                <w:sz w:val="22"/>
                <w:szCs w:val="22"/>
              </w:rPr>
              <w:t>General exemptions according to articles 2 (e.g. waste, non-isolated intermediates) and 15 (e.g. biocides)</w:t>
            </w:r>
          </w:p>
        </w:tc>
        <w:tc>
          <w:tcPr>
            <w:tcW w:w="1093" w:type="pct"/>
            <w:vMerge w:val="restart"/>
            <w:tcBorders>
              <w:top w:val="single" w:sz="12" w:space="0" w:color="auto"/>
            </w:tcBorders>
            <w:shd w:val="clear" w:color="auto" w:fill="FF660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4E6" w:rsidRPr="00FB0B3A" w:rsidRDefault="003647ED" w:rsidP="00AE556B">
            <w:pPr>
              <w:ind w:left="170" w:hanging="170"/>
              <w:rPr>
                <w:sz w:val="22"/>
                <w:szCs w:val="22"/>
              </w:rPr>
            </w:pPr>
            <w:r w:rsidRPr="00FB0B3A">
              <w:rPr>
                <w:rStyle w:val="simple"/>
                <w:sz w:val="22"/>
                <w:szCs w:val="22"/>
              </w:rPr>
              <w:t>-</w:t>
            </w:r>
            <w:r w:rsidRPr="00FB0B3A">
              <w:rPr>
                <w:rStyle w:val="simple"/>
                <w:sz w:val="22"/>
                <w:szCs w:val="22"/>
              </w:rPr>
              <w:tab/>
            </w:r>
            <w:r w:rsidR="009124E6" w:rsidRPr="00FB0B3A">
              <w:rPr>
                <w:rStyle w:val="simple"/>
                <w:sz w:val="22"/>
                <w:szCs w:val="22"/>
              </w:rPr>
              <w:t>Wrong interpretation of exemptions</w:t>
            </w:r>
          </w:p>
        </w:tc>
      </w:tr>
      <w:tr w:rsidR="003647ED" w:rsidRPr="00FB0B3A" w:rsidTr="00FB0B3A">
        <w:trPr>
          <w:trHeight w:val="337"/>
          <w:tblHeader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99CC00"/>
            <w:vAlign w:val="center"/>
            <w:hideMark/>
          </w:tcPr>
          <w:p w:rsidR="009124E6" w:rsidRPr="00FB0B3A" w:rsidRDefault="009124E6" w:rsidP="00B1062F">
            <w:pPr>
              <w:spacing w:after="0" w:afterAutospacing="0"/>
              <w:rPr>
                <w:sz w:val="22"/>
                <w:szCs w:val="22"/>
              </w:rPr>
            </w:pPr>
          </w:p>
        </w:tc>
        <w:tc>
          <w:tcPr>
            <w:tcW w:w="2800" w:type="pct"/>
            <w:tcBorders>
              <w:bottom w:val="single" w:sz="4" w:space="0" w:color="auto"/>
            </w:tcBorders>
            <w:shd w:val="clear" w:color="auto" w:fill="FFCC0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4E6" w:rsidRPr="00FB0B3A" w:rsidRDefault="003647ED" w:rsidP="00FB0B3A">
            <w:pPr>
              <w:spacing w:after="0" w:afterAutospacing="0"/>
              <w:ind w:left="170" w:hanging="170"/>
              <w:rPr>
                <w:sz w:val="22"/>
                <w:szCs w:val="22"/>
              </w:rPr>
            </w:pPr>
            <w:r w:rsidRPr="00FB0B3A">
              <w:rPr>
                <w:rStyle w:val="simple"/>
                <w:sz w:val="22"/>
                <w:szCs w:val="22"/>
              </w:rPr>
              <w:t>-</w:t>
            </w:r>
            <w:r w:rsidRPr="00FB0B3A">
              <w:rPr>
                <w:rStyle w:val="simple"/>
                <w:sz w:val="22"/>
                <w:szCs w:val="22"/>
              </w:rPr>
              <w:tab/>
            </w:r>
            <w:r w:rsidR="009124E6" w:rsidRPr="00FB0B3A">
              <w:rPr>
                <w:rStyle w:val="simple"/>
                <w:sz w:val="22"/>
                <w:szCs w:val="22"/>
              </w:rPr>
              <w:t>Substances manufactured or imported ≤</w:t>
            </w:r>
            <w:r w:rsidR="009124E6" w:rsidRPr="00FB0B3A">
              <w:rPr>
                <w:rStyle w:val="simple"/>
                <w:rFonts w:ascii="MS Mincho" w:eastAsia="MS Mincho" w:hAnsi="MS Mincho" w:cs="MS Mincho" w:hint="eastAsia"/>
                <w:sz w:val="22"/>
                <w:szCs w:val="22"/>
              </w:rPr>
              <w:t> </w:t>
            </w:r>
            <w:r w:rsidR="009124E6" w:rsidRPr="00FB0B3A">
              <w:rPr>
                <w:rStyle w:val="simple"/>
                <w:sz w:val="22"/>
                <w:szCs w:val="22"/>
              </w:rPr>
              <w:t>1 t/a (article 6)</w:t>
            </w:r>
          </w:p>
        </w:tc>
        <w:tc>
          <w:tcPr>
            <w:tcW w:w="1093" w:type="pct"/>
            <w:vMerge/>
            <w:tcBorders>
              <w:bottom w:val="single" w:sz="4" w:space="0" w:color="auto"/>
            </w:tcBorders>
            <w:shd w:val="clear" w:color="auto" w:fill="FF6600"/>
            <w:vAlign w:val="center"/>
            <w:hideMark/>
          </w:tcPr>
          <w:p w:rsidR="009124E6" w:rsidRPr="00FB0B3A" w:rsidRDefault="009124E6" w:rsidP="003647ED">
            <w:pPr>
              <w:spacing w:after="0" w:afterAutospacing="0"/>
              <w:ind w:left="126" w:hanging="126"/>
              <w:rPr>
                <w:sz w:val="22"/>
                <w:szCs w:val="22"/>
              </w:rPr>
            </w:pPr>
          </w:p>
        </w:tc>
      </w:tr>
      <w:tr w:rsidR="003647ED" w:rsidRPr="00FB0B3A" w:rsidTr="00FB0B3A">
        <w:trPr>
          <w:trHeight w:val="586"/>
          <w:tblHeader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99CC0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4E6" w:rsidRPr="00FB0B3A" w:rsidRDefault="009124E6" w:rsidP="00B1062F">
            <w:pPr>
              <w:rPr>
                <w:sz w:val="22"/>
                <w:szCs w:val="22"/>
              </w:rPr>
            </w:pPr>
            <w:r w:rsidRPr="00FB0B3A">
              <w:rPr>
                <w:rStyle w:val="simple"/>
                <w:sz w:val="22"/>
                <w:szCs w:val="22"/>
              </w:rPr>
              <w:t>All substances have a full registration</w:t>
            </w:r>
          </w:p>
        </w:tc>
        <w:tc>
          <w:tcPr>
            <w:tcW w:w="2800" w:type="pct"/>
            <w:tcBorders>
              <w:top w:val="single" w:sz="4" w:space="0" w:color="auto"/>
            </w:tcBorders>
            <w:shd w:val="clear" w:color="auto" w:fill="FFCC0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4E6" w:rsidRPr="00FB0B3A" w:rsidRDefault="003647ED" w:rsidP="00FB0B3A">
            <w:pPr>
              <w:spacing w:after="0" w:afterAutospacing="0"/>
              <w:ind w:left="170" w:hanging="170"/>
              <w:rPr>
                <w:sz w:val="22"/>
                <w:szCs w:val="22"/>
              </w:rPr>
            </w:pPr>
            <w:r w:rsidRPr="00FB0B3A">
              <w:rPr>
                <w:rStyle w:val="simple"/>
                <w:sz w:val="22"/>
                <w:szCs w:val="22"/>
              </w:rPr>
              <w:t>-</w:t>
            </w:r>
            <w:r w:rsidRPr="00FB0B3A">
              <w:rPr>
                <w:rStyle w:val="simple"/>
                <w:sz w:val="22"/>
                <w:szCs w:val="22"/>
              </w:rPr>
              <w:tab/>
            </w:r>
            <w:r w:rsidR="009124E6" w:rsidRPr="00FB0B3A">
              <w:rPr>
                <w:rStyle w:val="simple"/>
                <w:sz w:val="22"/>
                <w:szCs w:val="22"/>
              </w:rPr>
              <w:t>Exemptions according to article 2 (e.g. polymers, medical products, food or feeding stuff)</w:t>
            </w:r>
          </w:p>
        </w:tc>
        <w:tc>
          <w:tcPr>
            <w:tcW w:w="1093" w:type="pct"/>
            <w:vMerge w:val="restart"/>
            <w:tcBorders>
              <w:top w:val="single" w:sz="4" w:space="0" w:color="auto"/>
            </w:tcBorders>
            <w:shd w:val="clear" w:color="auto" w:fill="FF660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4E6" w:rsidRPr="00FB0B3A" w:rsidRDefault="003647ED" w:rsidP="00AE556B">
            <w:pPr>
              <w:ind w:left="170" w:hanging="170"/>
              <w:rPr>
                <w:rStyle w:val="simple"/>
                <w:sz w:val="22"/>
                <w:szCs w:val="22"/>
              </w:rPr>
            </w:pPr>
            <w:r w:rsidRPr="00FB0B3A">
              <w:rPr>
                <w:rStyle w:val="simple"/>
                <w:sz w:val="22"/>
                <w:szCs w:val="22"/>
              </w:rPr>
              <w:t>-</w:t>
            </w:r>
            <w:r w:rsidRPr="00FB0B3A">
              <w:rPr>
                <w:rStyle w:val="simple"/>
                <w:sz w:val="22"/>
                <w:szCs w:val="22"/>
              </w:rPr>
              <w:tab/>
            </w:r>
            <w:r w:rsidR="009124E6" w:rsidRPr="00FB0B3A">
              <w:rPr>
                <w:rStyle w:val="simple"/>
                <w:sz w:val="22"/>
                <w:szCs w:val="22"/>
              </w:rPr>
              <w:t>Wrong interpretation of exemptions</w:t>
            </w:r>
          </w:p>
        </w:tc>
      </w:tr>
      <w:tr w:rsidR="003647ED" w:rsidRPr="00FB0B3A" w:rsidTr="00FB0B3A">
        <w:trPr>
          <w:trHeight w:val="604"/>
          <w:tblHeader/>
          <w:jc w:val="center"/>
        </w:trPr>
        <w:tc>
          <w:tcPr>
            <w:tcW w:w="0" w:type="auto"/>
            <w:vMerge/>
            <w:shd w:val="clear" w:color="auto" w:fill="99CC00"/>
            <w:vAlign w:val="center"/>
            <w:hideMark/>
          </w:tcPr>
          <w:p w:rsidR="009124E6" w:rsidRPr="00FB0B3A" w:rsidRDefault="009124E6" w:rsidP="00B1062F">
            <w:pPr>
              <w:spacing w:after="0" w:afterAutospacing="0"/>
              <w:rPr>
                <w:sz w:val="22"/>
                <w:szCs w:val="22"/>
              </w:rPr>
            </w:pPr>
          </w:p>
        </w:tc>
        <w:tc>
          <w:tcPr>
            <w:tcW w:w="2800" w:type="pct"/>
            <w:shd w:val="clear" w:color="auto" w:fill="FFCC0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4E6" w:rsidRPr="00FB0B3A" w:rsidRDefault="003647ED" w:rsidP="003647ED">
            <w:pPr>
              <w:ind w:left="169" w:hanging="169"/>
              <w:rPr>
                <w:sz w:val="22"/>
                <w:szCs w:val="22"/>
              </w:rPr>
            </w:pPr>
            <w:r w:rsidRPr="00FB0B3A">
              <w:rPr>
                <w:rStyle w:val="simple"/>
                <w:sz w:val="22"/>
                <w:szCs w:val="22"/>
              </w:rPr>
              <w:t>-</w:t>
            </w:r>
            <w:r w:rsidRPr="00FB0B3A">
              <w:rPr>
                <w:rStyle w:val="simple"/>
                <w:sz w:val="22"/>
                <w:szCs w:val="22"/>
              </w:rPr>
              <w:tab/>
            </w:r>
            <w:r w:rsidR="009124E6" w:rsidRPr="00FB0B3A">
              <w:rPr>
                <w:rStyle w:val="simple"/>
                <w:sz w:val="22"/>
                <w:szCs w:val="22"/>
              </w:rPr>
              <w:t>Exemptions listed in Annexes IV and V (e.g. substances that occur in nature, reaction products)</w:t>
            </w:r>
          </w:p>
        </w:tc>
        <w:tc>
          <w:tcPr>
            <w:tcW w:w="1093" w:type="pct"/>
            <w:vMerge/>
            <w:shd w:val="clear" w:color="auto" w:fill="FF6600"/>
            <w:vAlign w:val="center"/>
            <w:hideMark/>
          </w:tcPr>
          <w:p w:rsidR="009124E6" w:rsidRPr="00FB0B3A" w:rsidRDefault="009124E6" w:rsidP="00AE556B">
            <w:pPr>
              <w:ind w:left="170" w:hanging="170"/>
              <w:rPr>
                <w:rStyle w:val="simple"/>
                <w:sz w:val="22"/>
                <w:szCs w:val="22"/>
              </w:rPr>
            </w:pPr>
          </w:p>
        </w:tc>
      </w:tr>
      <w:tr w:rsidR="003647ED" w:rsidRPr="00FB0B3A" w:rsidTr="003647ED">
        <w:trPr>
          <w:trHeight w:val="305"/>
          <w:tblHeader/>
          <w:jc w:val="center"/>
        </w:trPr>
        <w:tc>
          <w:tcPr>
            <w:tcW w:w="0" w:type="auto"/>
            <w:vMerge/>
            <w:shd w:val="clear" w:color="auto" w:fill="99CC00"/>
            <w:vAlign w:val="center"/>
            <w:hideMark/>
          </w:tcPr>
          <w:p w:rsidR="009124E6" w:rsidRPr="00FB0B3A" w:rsidRDefault="009124E6" w:rsidP="00B1062F">
            <w:pPr>
              <w:spacing w:after="0" w:afterAutospacing="0"/>
              <w:rPr>
                <w:sz w:val="22"/>
                <w:szCs w:val="22"/>
              </w:rPr>
            </w:pPr>
          </w:p>
        </w:tc>
        <w:tc>
          <w:tcPr>
            <w:tcW w:w="2800" w:type="pct"/>
            <w:shd w:val="clear" w:color="auto" w:fill="FFCC0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4E6" w:rsidRPr="00FB0B3A" w:rsidRDefault="003647ED" w:rsidP="00FB0B3A">
            <w:pPr>
              <w:spacing w:after="0" w:afterAutospacing="0"/>
              <w:ind w:left="170" w:hanging="170"/>
              <w:rPr>
                <w:sz w:val="22"/>
                <w:szCs w:val="22"/>
              </w:rPr>
            </w:pPr>
            <w:r w:rsidRPr="00FB0B3A">
              <w:rPr>
                <w:rStyle w:val="simple"/>
                <w:sz w:val="22"/>
                <w:szCs w:val="22"/>
              </w:rPr>
              <w:t>-</w:t>
            </w:r>
            <w:r w:rsidRPr="00FB0B3A">
              <w:rPr>
                <w:rStyle w:val="simple"/>
                <w:sz w:val="22"/>
                <w:szCs w:val="22"/>
              </w:rPr>
              <w:tab/>
            </w:r>
            <w:r w:rsidR="009124E6" w:rsidRPr="00FB0B3A">
              <w:rPr>
                <w:rStyle w:val="simple"/>
                <w:sz w:val="22"/>
                <w:szCs w:val="22"/>
              </w:rPr>
              <w:t>Reduced registration duties for OSII (article 17) and TII (article 18)</w:t>
            </w:r>
          </w:p>
        </w:tc>
        <w:tc>
          <w:tcPr>
            <w:tcW w:w="1093" w:type="pct"/>
            <w:vMerge/>
            <w:shd w:val="clear" w:color="auto" w:fill="FF6600"/>
            <w:vAlign w:val="center"/>
            <w:hideMark/>
          </w:tcPr>
          <w:p w:rsidR="009124E6" w:rsidRPr="00FB0B3A" w:rsidRDefault="009124E6" w:rsidP="00AE556B">
            <w:pPr>
              <w:ind w:left="170" w:hanging="170"/>
              <w:rPr>
                <w:rStyle w:val="simple"/>
                <w:sz w:val="22"/>
                <w:szCs w:val="22"/>
              </w:rPr>
            </w:pPr>
          </w:p>
        </w:tc>
      </w:tr>
      <w:tr w:rsidR="009124E6" w:rsidRPr="00FB0B3A" w:rsidTr="00FB0B3A">
        <w:trPr>
          <w:trHeight w:val="305"/>
          <w:tblHeader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99CC0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4E6" w:rsidRPr="00FB0B3A" w:rsidRDefault="009124E6" w:rsidP="00B1062F">
            <w:pPr>
              <w:rPr>
                <w:sz w:val="22"/>
                <w:szCs w:val="22"/>
              </w:rPr>
            </w:pPr>
            <w:r w:rsidRPr="00FB0B3A">
              <w:rPr>
                <w:rStyle w:val="simple"/>
                <w:sz w:val="22"/>
                <w:szCs w:val="22"/>
              </w:rPr>
              <w:t>Full and conclusive physicochemical and toxicological tests for all substances</w:t>
            </w:r>
          </w:p>
        </w:tc>
        <w:tc>
          <w:tcPr>
            <w:tcW w:w="2800" w:type="pct"/>
            <w:tcBorders>
              <w:top w:val="single" w:sz="4" w:space="0" w:color="auto"/>
            </w:tcBorders>
            <w:shd w:val="clear" w:color="auto" w:fill="FFCC0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4E6" w:rsidRPr="00FB0B3A" w:rsidRDefault="009124E6" w:rsidP="003647ED">
            <w:pPr>
              <w:ind w:left="169" w:hanging="142"/>
              <w:rPr>
                <w:sz w:val="22"/>
                <w:szCs w:val="22"/>
              </w:rPr>
            </w:pPr>
            <w:r w:rsidRPr="00FB0B3A">
              <w:rPr>
                <w:rStyle w:val="simple"/>
                <w:sz w:val="22"/>
                <w:szCs w:val="22"/>
              </w:rPr>
              <w:t>-</w:t>
            </w:r>
            <w:r w:rsidR="003647ED" w:rsidRPr="00FB0B3A">
              <w:rPr>
                <w:rStyle w:val="simple"/>
                <w:sz w:val="22"/>
                <w:szCs w:val="22"/>
              </w:rPr>
              <w:tab/>
            </w:r>
            <w:r w:rsidRPr="00FB0B3A">
              <w:rPr>
                <w:rStyle w:val="simple"/>
                <w:sz w:val="22"/>
                <w:szCs w:val="22"/>
              </w:rPr>
              <w:t>Only for registered substances</w:t>
            </w:r>
          </w:p>
        </w:tc>
        <w:tc>
          <w:tcPr>
            <w:tcW w:w="1093" w:type="pct"/>
            <w:vMerge w:val="restart"/>
            <w:tcBorders>
              <w:top w:val="single" w:sz="4" w:space="0" w:color="auto"/>
            </w:tcBorders>
            <w:shd w:val="clear" w:color="auto" w:fill="FF660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4E6" w:rsidRPr="00FB0B3A" w:rsidRDefault="003647ED" w:rsidP="00AE556B">
            <w:pPr>
              <w:ind w:left="170" w:hanging="170"/>
              <w:rPr>
                <w:rStyle w:val="simple"/>
                <w:sz w:val="22"/>
                <w:szCs w:val="22"/>
              </w:rPr>
            </w:pPr>
            <w:r w:rsidRPr="00FB0B3A">
              <w:rPr>
                <w:rStyle w:val="simple"/>
                <w:sz w:val="22"/>
                <w:szCs w:val="22"/>
              </w:rPr>
              <w:t>-</w:t>
            </w:r>
            <w:r w:rsidRPr="00FB0B3A">
              <w:rPr>
                <w:rStyle w:val="simple"/>
                <w:sz w:val="22"/>
                <w:szCs w:val="22"/>
              </w:rPr>
              <w:tab/>
            </w:r>
            <w:r w:rsidR="009124E6" w:rsidRPr="00FB0B3A">
              <w:rPr>
                <w:rStyle w:val="simple"/>
                <w:sz w:val="22"/>
                <w:szCs w:val="22"/>
              </w:rPr>
              <w:t>Unjustified read-across to avoid mandatory toxicological tests</w:t>
            </w:r>
          </w:p>
        </w:tc>
      </w:tr>
      <w:tr w:rsidR="009124E6" w:rsidRPr="00FB0B3A" w:rsidTr="00FB0B3A">
        <w:trPr>
          <w:trHeight w:val="352"/>
          <w:tblHeader/>
          <w:jc w:val="center"/>
        </w:trPr>
        <w:tc>
          <w:tcPr>
            <w:tcW w:w="0" w:type="auto"/>
            <w:vMerge/>
            <w:shd w:val="clear" w:color="auto" w:fill="99CC00"/>
            <w:vAlign w:val="center"/>
            <w:hideMark/>
          </w:tcPr>
          <w:p w:rsidR="009124E6" w:rsidRPr="00FB0B3A" w:rsidRDefault="009124E6" w:rsidP="00B1062F">
            <w:pPr>
              <w:spacing w:after="0" w:afterAutospacing="0"/>
              <w:rPr>
                <w:sz w:val="22"/>
                <w:szCs w:val="22"/>
              </w:rPr>
            </w:pPr>
          </w:p>
        </w:tc>
        <w:tc>
          <w:tcPr>
            <w:tcW w:w="2800" w:type="pct"/>
            <w:shd w:val="clear" w:color="auto" w:fill="FFCC0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4E6" w:rsidRPr="00FB0B3A" w:rsidRDefault="003647ED" w:rsidP="003647ED">
            <w:pPr>
              <w:spacing w:after="0" w:afterAutospacing="0"/>
              <w:ind w:left="169" w:hanging="142"/>
              <w:rPr>
                <w:sz w:val="22"/>
                <w:szCs w:val="22"/>
              </w:rPr>
            </w:pPr>
            <w:r w:rsidRPr="00FB0B3A">
              <w:rPr>
                <w:rStyle w:val="simple"/>
                <w:sz w:val="22"/>
                <w:szCs w:val="22"/>
              </w:rPr>
              <w:t>-</w:t>
            </w:r>
            <w:r w:rsidRPr="00FB0B3A">
              <w:rPr>
                <w:rStyle w:val="simple"/>
                <w:sz w:val="22"/>
                <w:szCs w:val="22"/>
              </w:rPr>
              <w:tab/>
            </w:r>
            <w:r w:rsidR="009124E6" w:rsidRPr="00FB0B3A">
              <w:rPr>
                <w:rStyle w:val="simple"/>
                <w:sz w:val="22"/>
                <w:szCs w:val="22"/>
              </w:rPr>
              <w:t xml:space="preserve">No requirements for substances manufactured/imported &lt;1 </w:t>
            </w:r>
            <w:r w:rsidR="009124E6" w:rsidRPr="00FB0B3A">
              <w:rPr>
                <w:rStyle w:val="simple"/>
                <w:rFonts w:ascii="MS Mincho" w:eastAsia="MS Mincho" w:hAnsi="MS Mincho" w:cs="MS Mincho" w:hint="eastAsia"/>
                <w:sz w:val="22"/>
                <w:szCs w:val="22"/>
              </w:rPr>
              <w:t> </w:t>
            </w:r>
            <w:r w:rsidR="009124E6" w:rsidRPr="00FB0B3A">
              <w:rPr>
                <w:rStyle w:val="simple"/>
                <w:sz w:val="22"/>
                <w:szCs w:val="22"/>
              </w:rPr>
              <w:t>t/a</w:t>
            </w:r>
          </w:p>
        </w:tc>
        <w:tc>
          <w:tcPr>
            <w:tcW w:w="1093" w:type="pct"/>
            <w:vMerge/>
            <w:shd w:val="clear" w:color="auto" w:fill="FF6600"/>
            <w:vAlign w:val="center"/>
            <w:hideMark/>
          </w:tcPr>
          <w:p w:rsidR="009124E6" w:rsidRPr="00FB0B3A" w:rsidRDefault="009124E6" w:rsidP="00AE556B">
            <w:pPr>
              <w:ind w:left="170" w:hanging="170"/>
              <w:rPr>
                <w:rStyle w:val="simple"/>
                <w:sz w:val="22"/>
                <w:szCs w:val="22"/>
              </w:rPr>
            </w:pPr>
          </w:p>
        </w:tc>
      </w:tr>
      <w:tr w:rsidR="009124E6" w:rsidRPr="00FB0B3A" w:rsidTr="00FB0B3A">
        <w:trPr>
          <w:trHeight w:val="369"/>
          <w:tblHeader/>
          <w:jc w:val="center"/>
        </w:trPr>
        <w:tc>
          <w:tcPr>
            <w:tcW w:w="0" w:type="auto"/>
            <w:vMerge/>
            <w:shd w:val="clear" w:color="auto" w:fill="99CC00"/>
            <w:vAlign w:val="center"/>
            <w:hideMark/>
          </w:tcPr>
          <w:p w:rsidR="009124E6" w:rsidRPr="00FB0B3A" w:rsidRDefault="009124E6" w:rsidP="00B1062F">
            <w:pPr>
              <w:spacing w:after="0" w:afterAutospacing="0"/>
              <w:rPr>
                <w:sz w:val="22"/>
                <w:szCs w:val="22"/>
              </w:rPr>
            </w:pPr>
          </w:p>
        </w:tc>
        <w:tc>
          <w:tcPr>
            <w:tcW w:w="2800" w:type="pct"/>
            <w:shd w:val="clear" w:color="auto" w:fill="FFCC0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4E6" w:rsidRPr="00FB0B3A" w:rsidRDefault="003647ED" w:rsidP="003647ED">
            <w:pPr>
              <w:spacing w:after="0" w:afterAutospacing="0"/>
              <w:ind w:left="169" w:hanging="142"/>
              <w:rPr>
                <w:rStyle w:val="simple"/>
                <w:sz w:val="22"/>
                <w:szCs w:val="22"/>
              </w:rPr>
            </w:pPr>
            <w:r w:rsidRPr="00FB0B3A">
              <w:rPr>
                <w:rStyle w:val="simple"/>
                <w:sz w:val="22"/>
                <w:szCs w:val="22"/>
              </w:rPr>
              <w:t>-</w:t>
            </w:r>
            <w:r w:rsidRPr="00FB0B3A">
              <w:rPr>
                <w:rStyle w:val="simple"/>
                <w:sz w:val="22"/>
                <w:szCs w:val="22"/>
              </w:rPr>
              <w:tab/>
            </w:r>
            <w:r w:rsidR="009124E6" w:rsidRPr="00FB0B3A">
              <w:rPr>
                <w:rStyle w:val="simple"/>
                <w:sz w:val="22"/>
                <w:szCs w:val="22"/>
              </w:rPr>
              <w:t>Tonnage- and not hazard-driven requirements (article 12)</w:t>
            </w:r>
          </w:p>
        </w:tc>
        <w:tc>
          <w:tcPr>
            <w:tcW w:w="1093" w:type="pct"/>
            <w:vMerge/>
            <w:shd w:val="clear" w:color="auto" w:fill="FF6600"/>
            <w:vAlign w:val="center"/>
            <w:hideMark/>
          </w:tcPr>
          <w:p w:rsidR="009124E6" w:rsidRPr="00FB0B3A" w:rsidRDefault="009124E6" w:rsidP="00AE556B">
            <w:pPr>
              <w:ind w:left="170" w:hanging="170"/>
              <w:rPr>
                <w:rStyle w:val="simple"/>
                <w:sz w:val="22"/>
                <w:szCs w:val="22"/>
              </w:rPr>
            </w:pPr>
          </w:p>
        </w:tc>
      </w:tr>
      <w:tr w:rsidR="009124E6" w:rsidRPr="00FB0B3A" w:rsidTr="003647ED">
        <w:trPr>
          <w:trHeight w:val="631"/>
          <w:tblHeader/>
          <w:jc w:val="center"/>
        </w:trPr>
        <w:tc>
          <w:tcPr>
            <w:tcW w:w="0" w:type="auto"/>
            <w:vMerge/>
            <w:shd w:val="clear" w:color="auto" w:fill="99CC00"/>
            <w:vAlign w:val="center"/>
            <w:hideMark/>
          </w:tcPr>
          <w:p w:rsidR="009124E6" w:rsidRPr="00FB0B3A" w:rsidRDefault="009124E6" w:rsidP="00B1062F">
            <w:pPr>
              <w:spacing w:after="0" w:afterAutospacing="0"/>
              <w:rPr>
                <w:sz w:val="22"/>
                <w:szCs w:val="22"/>
              </w:rPr>
            </w:pPr>
          </w:p>
        </w:tc>
        <w:tc>
          <w:tcPr>
            <w:tcW w:w="2800" w:type="pct"/>
            <w:vMerge w:val="restart"/>
            <w:shd w:val="clear" w:color="auto" w:fill="FFCC0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4E6" w:rsidRPr="00FB0B3A" w:rsidRDefault="009124E6" w:rsidP="00D637AE">
            <w:pPr>
              <w:spacing w:after="0" w:afterAutospacing="0"/>
              <w:ind w:left="169" w:hanging="142"/>
              <w:rPr>
                <w:sz w:val="22"/>
                <w:szCs w:val="22"/>
              </w:rPr>
            </w:pPr>
            <w:r w:rsidRPr="00FB0B3A">
              <w:rPr>
                <w:rStyle w:val="simple"/>
                <w:sz w:val="22"/>
                <w:szCs w:val="22"/>
              </w:rPr>
              <w:t>-</w:t>
            </w:r>
            <w:r w:rsidR="00D91B0C" w:rsidRPr="00FB0B3A">
              <w:rPr>
                <w:rStyle w:val="simple"/>
                <w:sz w:val="22"/>
                <w:szCs w:val="22"/>
              </w:rPr>
              <w:tab/>
            </w:r>
            <w:r w:rsidRPr="00FB0B3A">
              <w:rPr>
                <w:rStyle w:val="simple"/>
                <w:sz w:val="22"/>
                <w:szCs w:val="22"/>
              </w:rPr>
              <w:t xml:space="preserve">Justified adaptations: (1) scientifically not necessary (sufficient data, qualitative or quantitative structure-activity relationship, read-across approach, </w:t>
            </w:r>
            <w:r w:rsidRPr="00FB0B3A">
              <w:rPr>
                <w:rStyle w:val="simple"/>
                <w:i/>
                <w:sz w:val="22"/>
                <w:szCs w:val="22"/>
              </w:rPr>
              <w:t>in-vitro</w:t>
            </w:r>
            <w:r w:rsidRPr="00FB0B3A">
              <w:rPr>
                <w:rStyle w:val="simple"/>
                <w:sz w:val="22"/>
                <w:szCs w:val="22"/>
              </w:rPr>
              <w:t xml:space="preserve"> method sufficient); (2) </w:t>
            </w:r>
            <w:r w:rsidR="00D637AE" w:rsidRPr="00FB0B3A">
              <w:rPr>
                <w:rStyle w:val="simple"/>
                <w:sz w:val="22"/>
                <w:szCs w:val="22"/>
              </w:rPr>
              <w:t>T</w:t>
            </w:r>
            <w:r w:rsidRPr="00FB0B3A">
              <w:rPr>
                <w:rStyle w:val="simple"/>
                <w:sz w:val="22"/>
                <w:szCs w:val="22"/>
              </w:rPr>
              <w:t>esting technically not possible; (3) Exposure-based adaptation (Annex XI)</w:t>
            </w:r>
          </w:p>
        </w:tc>
        <w:tc>
          <w:tcPr>
            <w:tcW w:w="1093" w:type="pct"/>
            <w:shd w:val="clear" w:color="auto" w:fill="FF660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4E6" w:rsidRPr="00FB0B3A" w:rsidRDefault="003647ED" w:rsidP="00AE556B">
            <w:pPr>
              <w:ind w:left="170" w:hanging="170"/>
              <w:rPr>
                <w:rStyle w:val="simple"/>
                <w:sz w:val="22"/>
                <w:szCs w:val="22"/>
              </w:rPr>
            </w:pPr>
            <w:r w:rsidRPr="00FB0B3A">
              <w:rPr>
                <w:rStyle w:val="simple"/>
                <w:sz w:val="22"/>
                <w:szCs w:val="22"/>
              </w:rPr>
              <w:t>-</w:t>
            </w:r>
            <w:r w:rsidRPr="00FB0B3A">
              <w:rPr>
                <w:rStyle w:val="simple"/>
                <w:sz w:val="22"/>
                <w:szCs w:val="22"/>
              </w:rPr>
              <w:tab/>
            </w:r>
            <w:r w:rsidR="009124E6" w:rsidRPr="00FB0B3A">
              <w:rPr>
                <w:rStyle w:val="simple"/>
                <w:sz w:val="22"/>
                <w:szCs w:val="22"/>
              </w:rPr>
              <w:t>Unjustified waiving of mandatory toxicological tests</w:t>
            </w:r>
          </w:p>
        </w:tc>
      </w:tr>
      <w:tr w:rsidR="009124E6" w:rsidRPr="00FB0B3A" w:rsidTr="00FB0B3A">
        <w:trPr>
          <w:trHeight w:val="441"/>
          <w:tblHeader/>
          <w:jc w:val="center"/>
        </w:trPr>
        <w:tc>
          <w:tcPr>
            <w:tcW w:w="0" w:type="auto"/>
            <w:vMerge/>
            <w:shd w:val="clear" w:color="auto" w:fill="99CC00"/>
            <w:vAlign w:val="center"/>
            <w:hideMark/>
          </w:tcPr>
          <w:p w:rsidR="009124E6" w:rsidRPr="00FB0B3A" w:rsidRDefault="009124E6" w:rsidP="00B1062F">
            <w:pPr>
              <w:spacing w:after="0" w:afterAutospacing="0"/>
              <w:rPr>
                <w:sz w:val="22"/>
                <w:szCs w:val="22"/>
              </w:rPr>
            </w:pPr>
          </w:p>
        </w:tc>
        <w:tc>
          <w:tcPr>
            <w:tcW w:w="2800" w:type="pct"/>
            <w:vMerge/>
            <w:shd w:val="clear" w:color="auto" w:fill="FFCC00"/>
            <w:vAlign w:val="center"/>
            <w:hideMark/>
          </w:tcPr>
          <w:p w:rsidR="009124E6" w:rsidRPr="00FB0B3A" w:rsidRDefault="009124E6" w:rsidP="003647ED">
            <w:pPr>
              <w:spacing w:after="0" w:afterAutospacing="0"/>
              <w:ind w:left="169" w:hanging="142"/>
              <w:rPr>
                <w:sz w:val="22"/>
                <w:szCs w:val="22"/>
              </w:rPr>
            </w:pPr>
          </w:p>
        </w:tc>
        <w:tc>
          <w:tcPr>
            <w:tcW w:w="1093" w:type="pct"/>
            <w:vMerge w:val="restart"/>
            <w:shd w:val="clear" w:color="auto" w:fill="FF660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4E6" w:rsidRPr="00FB0B3A" w:rsidRDefault="003647ED" w:rsidP="00AE556B">
            <w:pPr>
              <w:ind w:left="170" w:hanging="170"/>
              <w:rPr>
                <w:rStyle w:val="simple"/>
                <w:sz w:val="22"/>
                <w:szCs w:val="22"/>
              </w:rPr>
            </w:pPr>
            <w:r w:rsidRPr="00FB0B3A">
              <w:rPr>
                <w:rStyle w:val="simple"/>
                <w:sz w:val="22"/>
                <w:szCs w:val="22"/>
              </w:rPr>
              <w:t>-</w:t>
            </w:r>
            <w:r w:rsidRPr="00FB0B3A">
              <w:rPr>
                <w:rStyle w:val="simple"/>
                <w:sz w:val="22"/>
                <w:szCs w:val="22"/>
              </w:rPr>
              <w:tab/>
            </w:r>
            <w:r w:rsidR="009124E6" w:rsidRPr="00FB0B3A">
              <w:rPr>
                <w:rStyle w:val="simple"/>
                <w:sz w:val="22"/>
                <w:szCs w:val="22"/>
              </w:rPr>
              <w:t>Unjustified assumption of strictly controlled conditions in the supply chain</w:t>
            </w:r>
          </w:p>
        </w:tc>
      </w:tr>
      <w:tr w:rsidR="009124E6" w:rsidRPr="00FB0B3A" w:rsidTr="003647ED">
        <w:trPr>
          <w:trHeight w:val="255"/>
          <w:tblHeader/>
          <w:jc w:val="center"/>
        </w:trPr>
        <w:tc>
          <w:tcPr>
            <w:tcW w:w="0" w:type="auto"/>
            <w:vMerge/>
            <w:shd w:val="clear" w:color="auto" w:fill="99CC00"/>
            <w:vAlign w:val="center"/>
            <w:hideMark/>
          </w:tcPr>
          <w:p w:rsidR="009124E6" w:rsidRPr="00FB0B3A" w:rsidRDefault="009124E6" w:rsidP="00B1062F">
            <w:pPr>
              <w:spacing w:after="0" w:afterAutospacing="0"/>
              <w:rPr>
                <w:sz w:val="22"/>
                <w:szCs w:val="22"/>
              </w:rPr>
            </w:pPr>
          </w:p>
        </w:tc>
        <w:tc>
          <w:tcPr>
            <w:tcW w:w="2800" w:type="pct"/>
            <w:shd w:val="clear" w:color="auto" w:fill="FFCC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4E6" w:rsidRPr="00FB0B3A" w:rsidRDefault="009124E6" w:rsidP="003647ED">
            <w:pPr>
              <w:spacing w:after="0" w:afterAutospacing="0"/>
              <w:ind w:left="169" w:hanging="142"/>
              <w:rPr>
                <w:sz w:val="22"/>
                <w:szCs w:val="22"/>
              </w:rPr>
            </w:pPr>
            <w:r w:rsidRPr="00FB0B3A">
              <w:rPr>
                <w:rStyle w:val="simple"/>
                <w:sz w:val="22"/>
                <w:szCs w:val="22"/>
              </w:rPr>
              <w:t>-</w:t>
            </w:r>
            <w:r w:rsidR="003647ED" w:rsidRPr="00FB0B3A">
              <w:rPr>
                <w:rStyle w:val="simple"/>
                <w:sz w:val="22"/>
                <w:szCs w:val="22"/>
              </w:rPr>
              <w:tab/>
            </w:r>
            <w:r w:rsidRPr="00FB0B3A">
              <w:rPr>
                <w:rStyle w:val="simple"/>
                <w:sz w:val="22"/>
                <w:szCs w:val="22"/>
              </w:rPr>
              <w:t>Inconclusive test results</w:t>
            </w:r>
          </w:p>
        </w:tc>
        <w:tc>
          <w:tcPr>
            <w:tcW w:w="1093" w:type="pct"/>
            <w:vMerge/>
            <w:shd w:val="clear" w:color="auto" w:fill="FF6600"/>
            <w:vAlign w:val="center"/>
            <w:hideMark/>
          </w:tcPr>
          <w:p w:rsidR="009124E6" w:rsidRPr="00FB0B3A" w:rsidRDefault="009124E6" w:rsidP="00AE556B">
            <w:pPr>
              <w:ind w:left="170" w:hanging="170"/>
              <w:rPr>
                <w:rStyle w:val="simple"/>
                <w:sz w:val="22"/>
                <w:szCs w:val="22"/>
              </w:rPr>
            </w:pPr>
          </w:p>
        </w:tc>
      </w:tr>
      <w:tr w:rsidR="009124E6" w:rsidRPr="00FB0B3A" w:rsidTr="003647ED">
        <w:trPr>
          <w:trHeight w:val="612"/>
          <w:tblHeader/>
          <w:jc w:val="center"/>
        </w:trPr>
        <w:tc>
          <w:tcPr>
            <w:tcW w:w="0" w:type="auto"/>
            <w:vMerge/>
            <w:shd w:val="clear" w:color="auto" w:fill="99CC00"/>
            <w:vAlign w:val="center"/>
            <w:hideMark/>
          </w:tcPr>
          <w:p w:rsidR="009124E6" w:rsidRPr="00FB0B3A" w:rsidRDefault="009124E6" w:rsidP="00B1062F">
            <w:pPr>
              <w:spacing w:after="0" w:afterAutospacing="0"/>
              <w:rPr>
                <w:sz w:val="22"/>
                <w:szCs w:val="22"/>
              </w:rPr>
            </w:pPr>
          </w:p>
        </w:tc>
        <w:tc>
          <w:tcPr>
            <w:tcW w:w="2800" w:type="pct"/>
            <w:shd w:val="clear" w:color="auto" w:fill="FFCC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4E6" w:rsidRPr="00FB0B3A" w:rsidRDefault="003647ED" w:rsidP="00FB0B3A">
            <w:pPr>
              <w:spacing w:after="0" w:afterAutospacing="0"/>
              <w:ind w:left="170" w:hanging="142"/>
              <w:rPr>
                <w:sz w:val="22"/>
                <w:szCs w:val="22"/>
              </w:rPr>
            </w:pPr>
            <w:r w:rsidRPr="00FB0B3A">
              <w:rPr>
                <w:rStyle w:val="simple"/>
                <w:sz w:val="22"/>
                <w:szCs w:val="22"/>
              </w:rPr>
              <w:t>-</w:t>
            </w:r>
            <w:r w:rsidRPr="00FB0B3A">
              <w:rPr>
                <w:rStyle w:val="simple"/>
                <w:sz w:val="22"/>
                <w:szCs w:val="22"/>
              </w:rPr>
              <w:tab/>
            </w:r>
            <w:r w:rsidR="009124E6" w:rsidRPr="00FB0B3A">
              <w:rPr>
                <w:rStyle w:val="simple"/>
                <w:sz w:val="22"/>
                <w:szCs w:val="22"/>
              </w:rPr>
              <w:t>Standard toxicological tests do not address all toxicological endpoints (e.g. inhalation sensitizer)</w:t>
            </w:r>
          </w:p>
        </w:tc>
        <w:tc>
          <w:tcPr>
            <w:tcW w:w="1093" w:type="pct"/>
            <w:vMerge/>
            <w:shd w:val="clear" w:color="auto" w:fill="FF6600"/>
            <w:vAlign w:val="center"/>
            <w:hideMark/>
          </w:tcPr>
          <w:p w:rsidR="009124E6" w:rsidRPr="00FB0B3A" w:rsidRDefault="009124E6" w:rsidP="00AE556B">
            <w:pPr>
              <w:ind w:left="170" w:hanging="170"/>
              <w:rPr>
                <w:rStyle w:val="simple"/>
                <w:sz w:val="22"/>
                <w:szCs w:val="22"/>
              </w:rPr>
            </w:pPr>
          </w:p>
        </w:tc>
      </w:tr>
      <w:tr w:rsidR="009124E6" w:rsidRPr="00FB0B3A" w:rsidTr="00FB0B3A">
        <w:trPr>
          <w:trHeight w:val="559"/>
          <w:tblHeader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99CC0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4E6" w:rsidRPr="00FB0B3A" w:rsidRDefault="009124E6" w:rsidP="00B1062F">
            <w:pPr>
              <w:rPr>
                <w:sz w:val="22"/>
                <w:szCs w:val="22"/>
              </w:rPr>
            </w:pPr>
            <w:r w:rsidRPr="00FB0B3A">
              <w:rPr>
                <w:rStyle w:val="simple"/>
                <w:sz w:val="22"/>
                <w:szCs w:val="22"/>
              </w:rPr>
              <w:t>Registration data are complete, valid and conclusive</w:t>
            </w:r>
          </w:p>
        </w:tc>
        <w:tc>
          <w:tcPr>
            <w:tcW w:w="2800" w:type="pct"/>
            <w:tcBorders>
              <w:top w:val="single" w:sz="4" w:space="0" w:color="auto"/>
            </w:tcBorders>
            <w:shd w:val="clear" w:color="auto" w:fill="FFCC0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4E6" w:rsidRPr="00FB0B3A" w:rsidRDefault="003647ED" w:rsidP="003647ED">
            <w:pPr>
              <w:ind w:left="169" w:hanging="142"/>
              <w:rPr>
                <w:rStyle w:val="simple"/>
                <w:sz w:val="22"/>
                <w:szCs w:val="22"/>
              </w:rPr>
            </w:pPr>
            <w:r w:rsidRPr="00FB0B3A">
              <w:rPr>
                <w:rStyle w:val="simple"/>
                <w:sz w:val="22"/>
                <w:szCs w:val="22"/>
              </w:rPr>
              <w:t>-</w:t>
            </w:r>
            <w:r w:rsidRPr="00FB0B3A">
              <w:rPr>
                <w:rStyle w:val="simple"/>
                <w:sz w:val="22"/>
                <w:szCs w:val="22"/>
              </w:rPr>
              <w:tab/>
            </w:r>
            <w:r w:rsidR="009124E6" w:rsidRPr="00FB0B3A">
              <w:rPr>
                <w:rStyle w:val="simple"/>
                <w:sz w:val="22"/>
                <w:szCs w:val="22"/>
              </w:rPr>
              <w:t>Reduced transparency because different registrants comply differently with obligations</w:t>
            </w:r>
          </w:p>
        </w:tc>
        <w:tc>
          <w:tcPr>
            <w:tcW w:w="1093" w:type="pct"/>
            <w:tcBorders>
              <w:top w:val="single" w:sz="4" w:space="0" w:color="auto"/>
            </w:tcBorders>
            <w:shd w:val="clear" w:color="auto" w:fill="FF660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4E6" w:rsidRPr="00FB0B3A" w:rsidRDefault="009124E6" w:rsidP="00AE556B">
            <w:pPr>
              <w:ind w:left="170" w:hanging="170"/>
              <w:rPr>
                <w:rStyle w:val="simple"/>
                <w:sz w:val="22"/>
                <w:szCs w:val="22"/>
              </w:rPr>
            </w:pPr>
            <w:r w:rsidRPr="00FB0B3A">
              <w:rPr>
                <w:rStyle w:val="simple"/>
                <w:sz w:val="22"/>
                <w:szCs w:val="22"/>
              </w:rPr>
              <w:t>-</w:t>
            </w:r>
            <w:r w:rsidR="003647ED" w:rsidRPr="00FB0B3A">
              <w:rPr>
                <w:rStyle w:val="simple"/>
                <w:sz w:val="22"/>
                <w:szCs w:val="22"/>
              </w:rPr>
              <w:tab/>
            </w:r>
            <w:r w:rsidRPr="00FB0B3A">
              <w:rPr>
                <w:rStyle w:val="simple"/>
                <w:sz w:val="22"/>
                <w:szCs w:val="22"/>
              </w:rPr>
              <w:t>Substance identity unclear or incorrect</w:t>
            </w:r>
          </w:p>
        </w:tc>
      </w:tr>
      <w:tr w:rsidR="009124E6" w:rsidRPr="00FB0B3A" w:rsidTr="00FB0B3A">
        <w:trPr>
          <w:trHeight w:val="291"/>
          <w:tblHeader/>
          <w:jc w:val="center"/>
        </w:trPr>
        <w:tc>
          <w:tcPr>
            <w:tcW w:w="0" w:type="auto"/>
            <w:vMerge w:val="restart"/>
            <w:shd w:val="clear" w:color="auto" w:fill="99CC0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4E6" w:rsidRPr="00FB0B3A" w:rsidRDefault="009124E6" w:rsidP="00B1062F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2800" w:type="pct"/>
            <w:vMerge w:val="restart"/>
            <w:shd w:val="clear" w:color="auto" w:fill="FFCC0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4E6" w:rsidRPr="00FB0B3A" w:rsidRDefault="009124E6" w:rsidP="00B1062F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1093" w:type="pct"/>
            <w:shd w:val="clear" w:color="auto" w:fill="FF660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4E6" w:rsidRPr="00FB0B3A" w:rsidRDefault="003647ED" w:rsidP="003237FE">
            <w:pPr>
              <w:spacing w:after="0" w:afterAutospacing="0"/>
              <w:ind w:left="125" w:hanging="125"/>
              <w:rPr>
                <w:sz w:val="22"/>
                <w:szCs w:val="22"/>
              </w:rPr>
            </w:pPr>
            <w:r w:rsidRPr="00FB0B3A">
              <w:rPr>
                <w:rStyle w:val="simple"/>
                <w:sz w:val="22"/>
                <w:szCs w:val="22"/>
              </w:rPr>
              <w:t>-</w:t>
            </w:r>
            <w:r w:rsidRPr="00FB0B3A">
              <w:rPr>
                <w:rStyle w:val="simple"/>
                <w:sz w:val="22"/>
                <w:szCs w:val="22"/>
              </w:rPr>
              <w:tab/>
            </w:r>
            <w:r w:rsidR="009124E6" w:rsidRPr="00FB0B3A">
              <w:rPr>
                <w:rStyle w:val="simple"/>
                <w:sz w:val="22"/>
                <w:szCs w:val="22"/>
              </w:rPr>
              <w:t>Registration dossiers incomplete</w:t>
            </w:r>
          </w:p>
        </w:tc>
      </w:tr>
      <w:tr w:rsidR="009124E6" w:rsidRPr="00FB0B3A" w:rsidTr="003647ED">
        <w:trPr>
          <w:trHeight w:val="625"/>
          <w:tblHeader/>
          <w:jc w:val="center"/>
        </w:trPr>
        <w:tc>
          <w:tcPr>
            <w:tcW w:w="0" w:type="auto"/>
            <w:vMerge/>
            <w:shd w:val="clear" w:color="auto" w:fill="99CC00"/>
            <w:vAlign w:val="center"/>
            <w:hideMark/>
          </w:tcPr>
          <w:p w:rsidR="009124E6" w:rsidRPr="00FB0B3A" w:rsidRDefault="009124E6" w:rsidP="00B1062F">
            <w:pPr>
              <w:spacing w:after="0" w:afterAutospacing="0"/>
              <w:rPr>
                <w:sz w:val="22"/>
                <w:szCs w:val="22"/>
              </w:rPr>
            </w:pPr>
          </w:p>
        </w:tc>
        <w:tc>
          <w:tcPr>
            <w:tcW w:w="2800" w:type="pct"/>
            <w:vMerge/>
            <w:shd w:val="clear" w:color="auto" w:fill="FFCC00"/>
            <w:vAlign w:val="center"/>
            <w:hideMark/>
          </w:tcPr>
          <w:p w:rsidR="009124E6" w:rsidRPr="00FB0B3A" w:rsidRDefault="009124E6" w:rsidP="00B1062F">
            <w:pPr>
              <w:spacing w:after="0" w:afterAutospacing="0"/>
              <w:rPr>
                <w:sz w:val="22"/>
                <w:szCs w:val="22"/>
              </w:rPr>
            </w:pPr>
          </w:p>
        </w:tc>
        <w:tc>
          <w:tcPr>
            <w:tcW w:w="1093" w:type="pct"/>
            <w:shd w:val="clear" w:color="auto" w:fill="FF660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4E6" w:rsidRPr="00FB0B3A" w:rsidRDefault="003647ED" w:rsidP="003647ED">
            <w:pPr>
              <w:ind w:left="126" w:hanging="126"/>
              <w:rPr>
                <w:sz w:val="22"/>
                <w:szCs w:val="22"/>
              </w:rPr>
            </w:pPr>
            <w:r w:rsidRPr="00FB0B3A">
              <w:rPr>
                <w:rStyle w:val="simple"/>
                <w:sz w:val="22"/>
                <w:szCs w:val="22"/>
              </w:rPr>
              <w:t>-</w:t>
            </w:r>
            <w:r w:rsidRPr="00FB0B3A">
              <w:rPr>
                <w:rStyle w:val="simple"/>
                <w:sz w:val="22"/>
                <w:szCs w:val="22"/>
              </w:rPr>
              <w:tab/>
            </w:r>
            <w:r w:rsidR="009124E6" w:rsidRPr="00FB0B3A">
              <w:rPr>
                <w:rStyle w:val="simple"/>
                <w:sz w:val="22"/>
                <w:szCs w:val="22"/>
              </w:rPr>
              <w:t>Technical dossier and CSR inconsistent</w:t>
            </w:r>
          </w:p>
        </w:tc>
      </w:tr>
      <w:tr w:rsidR="009124E6" w:rsidRPr="00FB0B3A" w:rsidTr="00FB0B3A">
        <w:trPr>
          <w:trHeight w:val="525"/>
          <w:tblHeader/>
          <w:jc w:val="center"/>
        </w:trPr>
        <w:tc>
          <w:tcPr>
            <w:tcW w:w="0" w:type="auto"/>
            <w:vMerge/>
            <w:tcBorders>
              <w:bottom w:val="single" w:sz="12" w:space="0" w:color="auto"/>
            </w:tcBorders>
            <w:shd w:val="clear" w:color="auto" w:fill="99CC00"/>
            <w:vAlign w:val="center"/>
            <w:hideMark/>
          </w:tcPr>
          <w:p w:rsidR="009124E6" w:rsidRPr="00FB0B3A" w:rsidRDefault="009124E6" w:rsidP="00B1062F">
            <w:pPr>
              <w:spacing w:after="0" w:afterAutospacing="0"/>
              <w:rPr>
                <w:sz w:val="22"/>
                <w:szCs w:val="22"/>
              </w:rPr>
            </w:pPr>
          </w:p>
        </w:tc>
        <w:tc>
          <w:tcPr>
            <w:tcW w:w="2800" w:type="pct"/>
            <w:vMerge/>
            <w:tcBorders>
              <w:bottom w:val="single" w:sz="12" w:space="0" w:color="auto"/>
            </w:tcBorders>
            <w:shd w:val="clear" w:color="auto" w:fill="FFCC00"/>
            <w:vAlign w:val="center"/>
            <w:hideMark/>
          </w:tcPr>
          <w:p w:rsidR="009124E6" w:rsidRPr="00FB0B3A" w:rsidRDefault="009124E6" w:rsidP="00B1062F">
            <w:pPr>
              <w:spacing w:after="0" w:afterAutospacing="0"/>
              <w:rPr>
                <w:sz w:val="22"/>
                <w:szCs w:val="22"/>
              </w:rPr>
            </w:pPr>
          </w:p>
        </w:tc>
        <w:tc>
          <w:tcPr>
            <w:tcW w:w="1093" w:type="pct"/>
            <w:tcBorders>
              <w:bottom w:val="single" w:sz="12" w:space="0" w:color="auto"/>
            </w:tcBorders>
            <w:shd w:val="clear" w:color="auto" w:fill="FF660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4E6" w:rsidRPr="00FB0B3A" w:rsidRDefault="003647ED" w:rsidP="00FB0B3A">
            <w:pPr>
              <w:spacing w:after="0" w:afterAutospacing="0"/>
              <w:ind w:left="125" w:hanging="125"/>
              <w:rPr>
                <w:sz w:val="22"/>
                <w:szCs w:val="22"/>
              </w:rPr>
            </w:pPr>
            <w:r w:rsidRPr="00FB0B3A">
              <w:rPr>
                <w:rStyle w:val="simple"/>
                <w:sz w:val="22"/>
                <w:szCs w:val="22"/>
              </w:rPr>
              <w:t>-</w:t>
            </w:r>
            <w:r w:rsidRPr="00FB0B3A">
              <w:rPr>
                <w:rStyle w:val="simple"/>
                <w:sz w:val="22"/>
                <w:szCs w:val="22"/>
              </w:rPr>
              <w:tab/>
            </w:r>
            <w:r w:rsidR="009124E6" w:rsidRPr="00FB0B3A">
              <w:rPr>
                <w:rStyle w:val="simple"/>
                <w:sz w:val="22"/>
                <w:szCs w:val="22"/>
              </w:rPr>
              <w:t xml:space="preserve">Assumptions and estimations are not disclosed and/or </w:t>
            </w:r>
            <w:r w:rsidR="0018491B" w:rsidRPr="00FB0B3A">
              <w:rPr>
                <w:rStyle w:val="simple"/>
                <w:sz w:val="22"/>
                <w:szCs w:val="22"/>
              </w:rPr>
              <w:t xml:space="preserve">not </w:t>
            </w:r>
            <w:r w:rsidR="009124E6" w:rsidRPr="00FB0B3A">
              <w:rPr>
                <w:rStyle w:val="simple"/>
                <w:sz w:val="22"/>
                <w:szCs w:val="22"/>
              </w:rPr>
              <w:t>justified</w:t>
            </w:r>
          </w:p>
        </w:tc>
      </w:tr>
    </w:tbl>
    <w:p w:rsidR="007E2CC0" w:rsidRDefault="007E2CC0" w:rsidP="001D0946">
      <w:bookmarkStart w:id="0" w:name="_GoBack"/>
      <w:bookmarkEnd w:id="0"/>
    </w:p>
    <w:sectPr w:rsidR="007E2CC0" w:rsidSect="001D0946">
      <w:pgSz w:w="16834" w:h="11909" w:orient="landscape"/>
      <w:pgMar w:top="1440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EFA"/>
    <w:rsid w:val="00151233"/>
    <w:rsid w:val="001605C0"/>
    <w:rsid w:val="0018491B"/>
    <w:rsid w:val="001D0946"/>
    <w:rsid w:val="003237FE"/>
    <w:rsid w:val="00326275"/>
    <w:rsid w:val="00336E85"/>
    <w:rsid w:val="003647ED"/>
    <w:rsid w:val="00372D74"/>
    <w:rsid w:val="00521919"/>
    <w:rsid w:val="00541F5F"/>
    <w:rsid w:val="006472F5"/>
    <w:rsid w:val="006944D5"/>
    <w:rsid w:val="00783653"/>
    <w:rsid w:val="00796226"/>
    <w:rsid w:val="007B42A5"/>
    <w:rsid w:val="007E2CC0"/>
    <w:rsid w:val="008667EA"/>
    <w:rsid w:val="009124E6"/>
    <w:rsid w:val="009423FD"/>
    <w:rsid w:val="0094718C"/>
    <w:rsid w:val="00A75AE8"/>
    <w:rsid w:val="00AE556B"/>
    <w:rsid w:val="00B90EFA"/>
    <w:rsid w:val="00BD63C6"/>
    <w:rsid w:val="00C07693"/>
    <w:rsid w:val="00C22507"/>
    <w:rsid w:val="00C40045"/>
    <w:rsid w:val="00C5316C"/>
    <w:rsid w:val="00CF4118"/>
    <w:rsid w:val="00D3247B"/>
    <w:rsid w:val="00D536A5"/>
    <w:rsid w:val="00D637AE"/>
    <w:rsid w:val="00D91B0C"/>
    <w:rsid w:val="00DE0279"/>
    <w:rsid w:val="00E304DA"/>
    <w:rsid w:val="00F23264"/>
    <w:rsid w:val="00FB0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B90EFA"/>
    <w:pPr>
      <w:spacing w:after="100" w:afterAutospacing="1"/>
    </w:pPr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old">
    <w:name w:val="bold"/>
    <w:rsid w:val="00B90EFA"/>
    <w:rPr>
      <w:b/>
      <w:bCs/>
    </w:rPr>
  </w:style>
  <w:style w:type="paragraph" w:customStyle="1" w:styleId="float">
    <w:name w:val="float"/>
    <w:basedOn w:val="Standard"/>
    <w:rsid w:val="00B90EFA"/>
    <w:pPr>
      <w:spacing w:before="100" w:beforeAutospacing="1"/>
    </w:pPr>
  </w:style>
  <w:style w:type="character" w:customStyle="1" w:styleId="Caption1">
    <w:name w:val="Caption1"/>
    <w:rsid w:val="00B90EFA"/>
  </w:style>
  <w:style w:type="character" w:customStyle="1" w:styleId="simple">
    <w:name w:val="simple"/>
    <w:rsid w:val="00B90EFA"/>
  </w:style>
  <w:style w:type="paragraph" w:styleId="StandardWeb">
    <w:name w:val="Normal (Web)"/>
    <w:basedOn w:val="Standard"/>
    <w:uiPriority w:val="99"/>
    <w:unhideWhenUsed/>
    <w:rsid w:val="00BD63C6"/>
    <w:pPr>
      <w:spacing w:before="100" w:beforeAutospacing="1"/>
    </w:pPr>
  </w:style>
  <w:style w:type="paragraph" w:styleId="Listenabsatz">
    <w:name w:val="List Paragraph"/>
    <w:basedOn w:val="Standard"/>
    <w:uiPriority w:val="34"/>
    <w:qFormat/>
    <w:rsid w:val="00D91B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B90EFA"/>
    <w:pPr>
      <w:spacing w:after="100" w:afterAutospacing="1"/>
    </w:pPr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old">
    <w:name w:val="bold"/>
    <w:rsid w:val="00B90EFA"/>
    <w:rPr>
      <w:b/>
      <w:bCs/>
    </w:rPr>
  </w:style>
  <w:style w:type="paragraph" w:customStyle="1" w:styleId="float">
    <w:name w:val="float"/>
    <w:basedOn w:val="Standard"/>
    <w:rsid w:val="00B90EFA"/>
    <w:pPr>
      <w:spacing w:before="100" w:beforeAutospacing="1"/>
    </w:pPr>
  </w:style>
  <w:style w:type="character" w:customStyle="1" w:styleId="Caption1">
    <w:name w:val="Caption1"/>
    <w:rsid w:val="00B90EFA"/>
  </w:style>
  <w:style w:type="character" w:customStyle="1" w:styleId="simple">
    <w:name w:val="simple"/>
    <w:rsid w:val="00B90EFA"/>
  </w:style>
  <w:style w:type="paragraph" w:styleId="StandardWeb">
    <w:name w:val="Normal (Web)"/>
    <w:basedOn w:val="Standard"/>
    <w:uiPriority w:val="99"/>
    <w:unhideWhenUsed/>
    <w:rsid w:val="00BD63C6"/>
    <w:pPr>
      <w:spacing w:before="100" w:beforeAutospacing="1"/>
    </w:pPr>
  </w:style>
  <w:style w:type="paragraph" w:styleId="Listenabsatz">
    <w:name w:val="List Paragraph"/>
    <w:basedOn w:val="Standard"/>
    <w:uiPriority w:val="34"/>
    <w:qFormat/>
    <w:rsid w:val="00D91B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68936-E520-4EC0-8DBB-82D526FB0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BAuA</Company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Hammerschmidt, Thea</dc:creator>
  <cp:lastModifiedBy>Hammerschmidt, Thea</cp:lastModifiedBy>
  <cp:revision>3</cp:revision>
  <dcterms:created xsi:type="dcterms:W3CDTF">2014-03-07T11:58:00Z</dcterms:created>
  <dcterms:modified xsi:type="dcterms:W3CDTF">2014-03-07T12:20:00Z</dcterms:modified>
</cp:coreProperties>
</file>