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C6" w:rsidRPr="003B2DAE" w:rsidRDefault="001F1FEE" w:rsidP="00BD63C6">
      <w:pPr>
        <w:pStyle w:val="float"/>
        <w:spacing w:after="0" w:afterAutospacing="0"/>
      </w:pPr>
      <w:r>
        <w:rPr>
          <w:rStyle w:val="Caption1"/>
          <w:b/>
          <w:bCs/>
        </w:rPr>
        <w:t>Additional file 2</w:t>
      </w:r>
      <w:r w:rsidR="00BD63C6" w:rsidRPr="003B2DAE">
        <w:rPr>
          <w:rStyle w:val="Caption1"/>
        </w:rPr>
        <w:t xml:space="preserve"> </w:t>
      </w:r>
      <w:r w:rsidR="00BD63C6" w:rsidRPr="003B2DAE">
        <w:rPr>
          <w:rStyle w:val="bold"/>
        </w:rPr>
        <w:t>Data generated through the CSR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4"/>
        <w:gridCol w:w="7856"/>
        <w:gridCol w:w="3054"/>
      </w:tblGrid>
      <w:tr w:rsidR="009423FD" w:rsidRPr="00F26708" w:rsidTr="007E2CC0">
        <w:trPr>
          <w:tblHeader/>
          <w:jc w:val="center"/>
        </w:trPr>
        <w:tc>
          <w:tcPr>
            <w:tcW w:w="10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  <w:hideMark/>
          </w:tcPr>
          <w:p w:rsidR="00BD63C6" w:rsidRPr="00F26708" w:rsidRDefault="00BD63C6" w:rsidP="00B1062F">
            <w:pPr>
              <w:rPr>
                <w:sz w:val="22"/>
                <w:szCs w:val="22"/>
              </w:rPr>
            </w:pPr>
            <w:r w:rsidRPr="00F26708">
              <w:rPr>
                <w:rStyle w:val="bold"/>
                <w:sz w:val="22"/>
                <w:szCs w:val="22"/>
              </w:rPr>
              <w:t>‘The ideal REACH world’ at the workplace</w:t>
            </w:r>
          </w:p>
        </w:tc>
        <w:tc>
          <w:tcPr>
            <w:tcW w:w="28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  <w:hideMark/>
          </w:tcPr>
          <w:p w:rsidR="00BD63C6" w:rsidRPr="00F26708" w:rsidRDefault="00BD63C6" w:rsidP="00B1062F">
            <w:pPr>
              <w:rPr>
                <w:sz w:val="22"/>
                <w:szCs w:val="22"/>
              </w:rPr>
            </w:pPr>
            <w:r w:rsidRPr="00F26708">
              <w:rPr>
                <w:rStyle w:val="bold"/>
                <w:sz w:val="22"/>
                <w:szCs w:val="22"/>
              </w:rPr>
              <w:t xml:space="preserve">System inherent drawbacks that hinder </w:t>
            </w:r>
            <w:proofErr w:type="spellStart"/>
            <w:r w:rsidRPr="00F26708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F26708">
              <w:rPr>
                <w:rStyle w:val="bold"/>
                <w:sz w:val="22"/>
                <w:szCs w:val="22"/>
              </w:rPr>
              <w:t xml:space="preserve"> these ideals</w:t>
            </w:r>
          </w:p>
        </w:tc>
        <w:tc>
          <w:tcPr>
            <w:tcW w:w="109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6600"/>
            <w:hideMark/>
          </w:tcPr>
          <w:p w:rsidR="00BD63C6" w:rsidRPr="00F26708" w:rsidRDefault="00BD63C6" w:rsidP="009124E6">
            <w:pPr>
              <w:rPr>
                <w:sz w:val="22"/>
                <w:szCs w:val="22"/>
              </w:rPr>
            </w:pPr>
            <w:r w:rsidRPr="00F26708">
              <w:rPr>
                <w:rStyle w:val="bold"/>
                <w:sz w:val="22"/>
                <w:szCs w:val="22"/>
              </w:rPr>
              <w:t xml:space="preserve">Contravention against legal framework that hinder </w:t>
            </w:r>
            <w:proofErr w:type="spellStart"/>
            <w:r w:rsidRPr="00F26708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F26708">
              <w:rPr>
                <w:rStyle w:val="bold"/>
                <w:sz w:val="22"/>
                <w:szCs w:val="22"/>
              </w:rPr>
              <w:t xml:space="preserve"> these ideals</w:t>
            </w:r>
          </w:p>
        </w:tc>
      </w:tr>
      <w:tr w:rsidR="00D91B0C" w:rsidRPr="004A2700" w:rsidTr="007E2CC0">
        <w:trPr>
          <w:trHeight w:val="619"/>
          <w:tblHeader/>
          <w:jc w:val="center"/>
        </w:trPr>
        <w:tc>
          <w:tcPr>
            <w:tcW w:w="1099" w:type="pct"/>
            <w:vMerge w:val="restart"/>
            <w:tcBorders>
              <w:top w:val="single" w:sz="12" w:space="0" w:color="auto"/>
            </w:tcBorders>
            <w:shd w:val="clear" w:color="auto" w:fill="99CC00"/>
            <w:hideMark/>
          </w:tcPr>
          <w:p w:rsidR="00D91B0C" w:rsidRPr="004A2700" w:rsidRDefault="00D91B0C" w:rsidP="001118DB">
            <w:pPr>
              <w:spacing w:before="60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All hazardous substances have a CSR including ES</w:t>
            </w:r>
          </w:p>
        </w:tc>
        <w:tc>
          <w:tcPr>
            <w:tcW w:w="2809" w:type="pct"/>
            <w:tcBorders>
              <w:top w:val="single" w:sz="12" w:space="0" w:color="auto"/>
            </w:tcBorders>
            <w:shd w:val="clear" w:color="auto" w:fill="FFCC00"/>
            <w:hideMark/>
          </w:tcPr>
          <w:p w:rsidR="00D91B0C" w:rsidRPr="004A2700" w:rsidRDefault="00D91B0C" w:rsidP="001118DB">
            <w:pPr>
              <w:spacing w:before="60"/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  <w:t xml:space="preserve">Only for registered hazardous substances manufactured and/or imported </w:t>
            </w:r>
            <w:r w:rsidRPr="004A2700">
              <w:rPr>
                <w:rStyle w:val="simple"/>
                <w:sz w:val="22"/>
                <w:szCs w:val="22"/>
              </w:rPr>
              <w:br/>
              <w:t xml:space="preserve">&gt;10 </w:t>
            </w:r>
            <w:r w:rsidRPr="004A2700">
              <w:rPr>
                <w:rStyle w:val="simple"/>
                <w:rFonts w:hint="eastAsia"/>
                <w:sz w:val="22"/>
                <w:szCs w:val="22"/>
              </w:rPr>
              <w:t> </w:t>
            </w:r>
            <w:r w:rsidRPr="004A2700">
              <w:rPr>
                <w:rStyle w:val="simple"/>
                <w:sz w:val="22"/>
                <w:szCs w:val="22"/>
              </w:rPr>
              <w:t>t/a per registrant</w:t>
            </w:r>
          </w:p>
        </w:tc>
        <w:tc>
          <w:tcPr>
            <w:tcW w:w="1092" w:type="pct"/>
            <w:tcBorders>
              <w:top w:val="single" w:sz="12" w:space="0" w:color="auto"/>
            </w:tcBorders>
            <w:shd w:val="clear" w:color="auto" w:fill="FF6600"/>
          </w:tcPr>
          <w:p w:rsidR="00D91B0C" w:rsidRPr="004A2700" w:rsidRDefault="00CF4118" w:rsidP="001118DB">
            <w:pPr>
              <w:spacing w:before="60"/>
              <w:ind w:left="171" w:hanging="171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D91B0C" w:rsidRPr="004A2700">
              <w:rPr>
                <w:rStyle w:val="simple"/>
                <w:sz w:val="22"/>
                <w:szCs w:val="22"/>
              </w:rPr>
              <w:t xml:space="preserve">See </w:t>
            </w:r>
            <w:r w:rsidR="00E8035B">
              <w:rPr>
                <w:rStyle w:val="simple"/>
                <w:sz w:val="22"/>
                <w:szCs w:val="22"/>
              </w:rPr>
              <w:t>Additional file 1</w:t>
            </w:r>
          </w:p>
        </w:tc>
      </w:tr>
      <w:tr w:rsidR="00D91B0C" w:rsidRPr="004A2700" w:rsidTr="009B41A3">
        <w:trPr>
          <w:trHeight w:val="1328"/>
          <w:tblHeader/>
          <w:jc w:val="center"/>
        </w:trPr>
        <w:tc>
          <w:tcPr>
            <w:tcW w:w="1099" w:type="pct"/>
            <w:vMerge/>
            <w:tcBorders>
              <w:bottom w:val="single" w:sz="4" w:space="0" w:color="auto"/>
            </w:tcBorders>
            <w:shd w:val="clear" w:color="auto" w:fill="99CC00"/>
          </w:tcPr>
          <w:p w:rsidR="00D91B0C" w:rsidRPr="004A2700" w:rsidRDefault="00D91B0C" w:rsidP="00B1062F">
            <w:pPr>
              <w:rPr>
                <w:rStyle w:val="simple"/>
                <w:sz w:val="22"/>
                <w:szCs w:val="22"/>
              </w:rPr>
            </w:pPr>
          </w:p>
        </w:tc>
        <w:tc>
          <w:tcPr>
            <w:tcW w:w="2809" w:type="pct"/>
            <w:tcBorders>
              <w:bottom w:val="single" w:sz="4" w:space="0" w:color="auto"/>
            </w:tcBorders>
            <w:shd w:val="clear" w:color="auto" w:fill="FFCC00"/>
          </w:tcPr>
          <w:p w:rsidR="00D91B0C" w:rsidRPr="004A2700" w:rsidRDefault="00D91B0C" w:rsidP="00CF4118">
            <w:pPr>
              <w:ind w:left="187" w:hanging="187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  <w:t>No ES for substances that are not classified though they might become hazardous under workplace conditions</w:t>
            </w:r>
          </w:p>
        </w:tc>
        <w:tc>
          <w:tcPr>
            <w:tcW w:w="1092" w:type="pct"/>
            <w:tcBorders>
              <w:bottom w:val="single" w:sz="4" w:space="0" w:color="auto"/>
            </w:tcBorders>
            <w:shd w:val="clear" w:color="auto" w:fill="FF6600"/>
          </w:tcPr>
          <w:p w:rsidR="00D91B0C" w:rsidRPr="004A2700" w:rsidRDefault="00CF4118" w:rsidP="009B41A3">
            <w:pPr>
              <w:spacing w:after="0" w:afterAutospacing="0"/>
              <w:ind w:left="170" w:hanging="170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D91B0C" w:rsidRPr="004A2700">
              <w:rPr>
                <w:rStyle w:val="simple"/>
                <w:sz w:val="22"/>
                <w:szCs w:val="22"/>
              </w:rPr>
              <w:t>Hazardous transformation and/or degradation products are not addressed in the CSR (at least in the so-far screened CSRs)</w:t>
            </w:r>
          </w:p>
        </w:tc>
      </w:tr>
      <w:tr w:rsidR="009423FD" w:rsidRPr="004A2700" w:rsidTr="0044230A">
        <w:trPr>
          <w:trHeight w:val="727"/>
          <w:tblHeader/>
          <w:jc w:val="center"/>
        </w:trPr>
        <w:tc>
          <w:tcPr>
            <w:tcW w:w="1099" w:type="pct"/>
            <w:vMerge w:val="restart"/>
            <w:tcBorders>
              <w:bottom w:val="single" w:sz="12" w:space="0" w:color="auto"/>
            </w:tcBorders>
            <w:shd w:val="clear" w:color="auto" w:fill="99CC00"/>
            <w:hideMark/>
          </w:tcPr>
          <w:p w:rsidR="00BD63C6" w:rsidRPr="004A2700" w:rsidRDefault="00BD63C6" w:rsidP="001118DB">
            <w:pPr>
              <w:spacing w:before="60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ES are adequate and conclusive and describe save uses of the substance and are sufficient for risk assessment in the workplace</w:t>
            </w:r>
          </w:p>
        </w:tc>
        <w:tc>
          <w:tcPr>
            <w:tcW w:w="2809" w:type="pct"/>
            <w:shd w:val="clear" w:color="auto" w:fill="FFCC00"/>
            <w:hideMark/>
          </w:tcPr>
          <w:p w:rsidR="00D91B0C" w:rsidRPr="004A2700" w:rsidRDefault="00CF4118" w:rsidP="001118DB">
            <w:pPr>
              <w:spacing w:before="60" w:after="360" w:afterAutospacing="0"/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Registrant is challenged by compilation of ES for uses not performed by himself</w:t>
            </w:r>
          </w:p>
        </w:tc>
        <w:tc>
          <w:tcPr>
            <w:tcW w:w="1092" w:type="pct"/>
            <w:vMerge w:val="restart"/>
            <w:shd w:val="clear" w:color="auto" w:fill="FF6600"/>
            <w:hideMark/>
          </w:tcPr>
          <w:p w:rsidR="00BD63C6" w:rsidRPr="004A2700" w:rsidRDefault="00CF4118" w:rsidP="001118DB">
            <w:pPr>
              <w:spacing w:before="60" w:after="120" w:afterAutospacing="0"/>
              <w:ind w:left="170" w:hanging="170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Whole life cycle is not covered (e.g. maintenance, cleaning and waste/recycling neglected)</w:t>
            </w:r>
          </w:p>
        </w:tc>
      </w:tr>
      <w:tr w:rsidR="009423FD" w:rsidRPr="004A2700" w:rsidTr="0044230A">
        <w:trPr>
          <w:trHeight w:val="253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 w:val="restart"/>
            <w:shd w:val="clear" w:color="auto" w:fill="FFCC00"/>
            <w:hideMark/>
          </w:tcPr>
          <w:p w:rsidR="00BD63C6" w:rsidRPr="004A2700" w:rsidRDefault="00CF4118" w:rsidP="00CF4118">
            <w:pPr>
              <w:spacing w:after="360" w:afterAutospacing="0"/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Complex supply chain aggravates the communication as prerequisite for development of adequate ES</w:t>
            </w:r>
          </w:p>
        </w:tc>
        <w:tc>
          <w:tcPr>
            <w:tcW w:w="1092" w:type="pct"/>
            <w:vMerge/>
            <w:shd w:val="clear" w:color="auto" w:fill="FF6600"/>
            <w:vAlign w:val="center"/>
            <w:hideMark/>
          </w:tcPr>
          <w:p w:rsidR="00BD63C6" w:rsidRPr="004A2700" w:rsidRDefault="00BD63C6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</w:p>
        </w:tc>
      </w:tr>
      <w:tr w:rsidR="009423FD" w:rsidRPr="004A2700" w:rsidTr="00CF4118">
        <w:trPr>
          <w:trHeight w:val="633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/>
            <w:shd w:val="clear" w:color="auto" w:fill="FFCC00"/>
            <w:vAlign w:val="center"/>
            <w:hideMark/>
          </w:tcPr>
          <w:p w:rsidR="00BD63C6" w:rsidRPr="004A2700" w:rsidRDefault="00BD63C6" w:rsidP="00CF4118">
            <w:pPr>
              <w:ind w:left="187" w:hanging="187"/>
              <w:rPr>
                <w:sz w:val="22"/>
                <w:szCs w:val="22"/>
              </w:rPr>
            </w:pPr>
          </w:p>
        </w:tc>
        <w:tc>
          <w:tcPr>
            <w:tcW w:w="1092" w:type="pct"/>
            <w:vMerge w:val="restart"/>
            <w:shd w:val="clear" w:color="auto" w:fill="FF6600"/>
            <w:hideMark/>
          </w:tcPr>
          <w:p w:rsidR="00BD63C6" w:rsidRPr="004A2700" w:rsidRDefault="00CF4118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Invalid or missing ES because registrant did not consult with downstream user or vice versa</w:t>
            </w:r>
          </w:p>
        </w:tc>
      </w:tr>
      <w:tr w:rsidR="009423FD" w:rsidRPr="004A2700" w:rsidTr="00CF4118">
        <w:trPr>
          <w:trHeight w:val="276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 w:val="restart"/>
            <w:shd w:val="clear" w:color="auto" w:fill="FFCC00"/>
            <w:hideMark/>
          </w:tcPr>
          <w:p w:rsidR="00BD63C6" w:rsidRPr="004A2700" w:rsidRDefault="00CF4118" w:rsidP="00CF4118">
            <w:pPr>
              <w:spacing w:after="360" w:afterAutospacing="0"/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Safe use can be demonstrated by generic and conservative models generating overprotective measures</w:t>
            </w:r>
          </w:p>
        </w:tc>
        <w:tc>
          <w:tcPr>
            <w:tcW w:w="1092" w:type="pct"/>
            <w:vMerge/>
            <w:shd w:val="clear" w:color="auto" w:fill="FF6600"/>
            <w:vAlign w:val="center"/>
            <w:hideMark/>
          </w:tcPr>
          <w:p w:rsidR="00BD63C6" w:rsidRPr="004A2700" w:rsidRDefault="00BD63C6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</w:p>
        </w:tc>
      </w:tr>
      <w:tr w:rsidR="009423FD" w:rsidRPr="004A2700" w:rsidTr="00CF4118">
        <w:trPr>
          <w:trHeight w:val="276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/>
            <w:shd w:val="clear" w:color="auto" w:fill="FFCC00"/>
            <w:vAlign w:val="center"/>
            <w:hideMark/>
          </w:tcPr>
          <w:p w:rsidR="00BD63C6" w:rsidRPr="004A2700" w:rsidRDefault="00BD63C6" w:rsidP="00CF4118">
            <w:pPr>
              <w:ind w:left="187" w:hanging="187"/>
              <w:rPr>
                <w:sz w:val="22"/>
                <w:szCs w:val="22"/>
              </w:rPr>
            </w:pPr>
          </w:p>
        </w:tc>
        <w:tc>
          <w:tcPr>
            <w:tcW w:w="1092" w:type="pct"/>
            <w:vMerge w:val="restart"/>
            <w:shd w:val="clear" w:color="auto" w:fill="FF6600"/>
            <w:hideMark/>
          </w:tcPr>
          <w:p w:rsidR="00BD63C6" w:rsidRPr="004A2700" w:rsidRDefault="00CF4118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Choice of impracticable process parameters, occupational conditions and adequate measures</w:t>
            </w:r>
          </w:p>
        </w:tc>
      </w:tr>
      <w:tr w:rsidR="009423FD" w:rsidRPr="004A2700" w:rsidTr="00CF4118">
        <w:trPr>
          <w:trHeight w:val="276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 w:val="restart"/>
            <w:shd w:val="clear" w:color="auto" w:fill="FFCC00"/>
            <w:hideMark/>
          </w:tcPr>
          <w:p w:rsidR="00BD63C6" w:rsidRPr="004A2700" w:rsidRDefault="00CF4118" w:rsidP="00CF4118">
            <w:pPr>
              <w:spacing w:after="120" w:afterAutospacing="0"/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Models to describe safe use are still under evaluation and development</w:t>
            </w:r>
          </w:p>
        </w:tc>
        <w:tc>
          <w:tcPr>
            <w:tcW w:w="1092" w:type="pct"/>
            <w:vMerge/>
            <w:shd w:val="clear" w:color="auto" w:fill="FF6600"/>
            <w:vAlign w:val="center"/>
            <w:hideMark/>
          </w:tcPr>
          <w:p w:rsidR="00BD63C6" w:rsidRPr="004A2700" w:rsidRDefault="00BD63C6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</w:p>
        </w:tc>
      </w:tr>
      <w:tr w:rsidR="009423FD" w:rsidRPr="004A2700" w:rsidTr="00CF4118">
        <w:trPr>
          <w:trHeight w:val="276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/>
            <w:shd w:val="clear" w:color="auto" w:fill="FFCC00"/>
            <w:vAlign w:val="center"/>
            <w:hideMark/>
          </w:tcPr>
          <w:p w:rsidR="00BD63C6" w:rsidRPr="004A2700" w:rsidRDefault="00BD63C6" w:rsidP="00CF4118">
            <w:pPr>
              <w:ind w:left="187" w:hanging="187"/>
              <w:rPr>
                <w:sz w:val="22"/>
                <w:szCs w:val="22"/>
              </w:rPr>
            </w:pPr>
          </w:p>
        </w:tc>
        <w:tc>
          <w:tcPr>
            <w:tcW w:w="1092" w:type="pct"/>
            <w:vMerge w:val="restart"/>
            <w:shd w:val="clear" w:color="auto" w:fill="FF6600"/>
            <w:hideMark/>
          </w:tcPr>
          <w:p w:rsidR="00BD63C6" w:rsidRPr="004A2700" w:rsidRDefault="00BD63C6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="00CF4118" w:rsidRPr="004A2700">
              <w:rPr>
                <w:rStyle w:val="simple"/>
                <w:sz w:val="22"/>
                <w:szCs w:val="22"/>
              </w:rPr>
              <w:tab/>
            </w:r>
            <w:r w:rsidRPr="004A2700">
              <w:rPr>
                <w:rStyle w:val="simple"/>
                <w:sz w:val="22"/>
                <w:szCs w:val="22"/>
              </w:rPr>
              <w:t>Invalid parameters for exposure models</w:t>
            </w:r>
          </w:p>
        </w:tc>
      </w:tr>
      <w:tr w:rsidR="009423FD" w:rsidRPr="004A2700" w:rsidTr="001118DB">
        <w:trPr>
          <w:trHeight w:val="253"/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 w:val="restart"/>
            <w:shd w:val="clear" w:color="auto" w:fill="FFCC00"/>
            <w:hideMark/>
          </w:tcPr>
          <w:p w:rsidR="00BD63C6" w:rsidRPr="004A2700" w:rsidRDefault="00CF4118" w:rsidP="00CF4118">
            <w:pPr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Combination of process parameters, working conditions and RMM for derivation of exposure level subject to registrant's discretion</w:t>
            </w:r>
          </w:p>
        </w:tc>
        <w:tc>
          <w:tcPr>
            <w:tcW w:w="1092" w:type="pct"/>
            <w:vMerge/>
            <w:shd w:val="clear" w:color="auto" w:fill="FF6600"/>
            <w:vAlign w:val="center"/>
            <w:hideMark/>
          </w:tcPr>
          <w:p w:rsidR="00BD63C6" w:rsidRPr="004A2700" w:rsidRDefault="00BD63C6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</w:p>
        </w:tc>
      </w:tr>
      <w:tr w:rsidR="009423FD" w:rsidRPr="004A2700" w:rsidTr="00CF4118">
        <w:trPr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vMerge/>
            <w:shd w:val="clear" w:color="auto" w:fill="FFCC00"/>
            <w:vAlign w:val="center"/>
            <w:hideMark/>
          </w:tcPr>
          <w:p w:rsidR="00BD63C6" w:rsidRPr="004A2700" w:rsidRDefault="00BD63C6" w:rsidP="00CF4118">
            <w:pPr>
              <w:ind w:left="187" w:hanging="187"/>
              <w:rPr>
                <w:sz w:val="22"/>
                <w:szCs w:val="22"/>
              </w:rPr>
            </w:pPr>
          </w:p>
        </w:tc>
        <w:tc>
          <w:tcPr>
            <w:tcW w:w="1092" w:type="pct"/>
            <w:shd w:val="clear" w:color="auto" w:fill="FF6600"/>
            <w:hideMark/>
          </w:tcPr>
          <w:p w:rsidR="00BD63C6" w:rsidRPr="004A2700" w:rsidRDefault="00CF4118" w:rsidP="00751E9F">
            <w:pPr>
              <w:ind w:left="171" w:hanging="171"/>
              <w:rPr>
                <w:rStyle w:val="simple"/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Lack of justification for non-standard parameters</w:t>
            </w:r>
          </w:p>
        </w:tc>
      </w:tr>
      <w:tr w:rsidR="009423FD" w:rsidRPr="004A2700" w:rsidTr="00CF4118">
        <w:trPr>
          <w:tblHeader/>
          <w:jc w:val="center"/>
        </w:trPr>
        <w:tc>
          <w:tcPr>
            <w:tcW w:w="1099" w:type="pct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BD63C6" w:rsidRPr="004A2700" w:rsidRDefault="00BD63C6" w:rsidP="00B1062F">
            <w:pPr>
              <w:rPr>
                <w:sz w:val="22"/>
                <w:szCs w:val="22"/>
              </w:rPr>
            </w:pPr>
          </w:p>
        </w:tc>
        <w:tc>
          <w:tcPr>
            <w:tcW w:w="2809" w:type="pct"/>
            <w:tcBorders>
              <w:bottom w:val="single" w:sz="12" w:space="0" w:color="auto"/>
            </w:tcBorders>
            <w:shd w:val="clear" w:color="auto" w:fill="FFCC00"/>
            <w:hideMark/>
          </w:tcPr>
          <w:p w:rsidR="00BD63C6" w:rsidRPr="004A2700" w:rsidRDefault="00BD63C6" w:rsidP="00CF4118">
            <w:pPr>
              <w:ind w:left="187" w:hanging="18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="00CF4118" w:rsidRPr="004A2700">
              <w:rPr>
                <w:rStyle w:val="simple"/>
                <w:sz w:val="22"/>
                <w:szCs w:val="22"/>
              </w:rPr>
              <w:tab/>
            </w:r>
            <w:r w:rsidRPr="004A2700">
              <w:rPr>
                <w:rStyle w:val="simple"/>
                <w:sz w:val="22"/>
                <w:szCs w:val="22"/>
              </w:rPr>
              <w:t>REACH assesses the risks of a single registered substance; worker legislation assesses the risks resulting from all substances at the workplace</w:t>
            </w:r>
          </w:p>
        </w:tc>
        <w:tc>
          <w:tcPr>
            <w:tcW w:w="1092" w:type="pct"/>
            <w:tcBorders>
              <w:bottom w:val="single" w:sz="12" w:space="0" w:color="auto"/>
            </w:tcBorders>
            <w:shd w:val="clear" w:color="auto" w:fill="FF6600"/>
            <w:hideMark/>
          </w:tcPr>
          <w:p w:rsidR="00BD63C6" w:rsidRPr="004A2700" w:rsidRDefault="00CF4118" w:rsidP="00CF4118">
            <w:pPr>
              <w:ind w:left="127" w:hanging="127"/>
              <w:rPr>
                <w:sz w:val="22"/>
                <w:szCs w:val="22"/>
              </w:rPr>
            </w:pPr>
            <w:r w:rsidRPr="004A2700">
              <w:rPr>
                <w:rStyle w:val="simple"/>
                <w:sz w:val="22"/>
                <w:szCs w:val="22"/>
              </w:rPr>
              <w:t>-</w:t>
            </w:r>
            <w:r w:rsidRPr="004A2700">
              <w:rPr>
                <w:rStyle w:val="simple"/>
                <w:sz w:val="22"/>
                <w:szCs w:val="22"/>
              </w:rPr>
              <w:tab/>
            </w:r>
            <w:r w:rsidR="00BD63C6" w:rsidRPr="004A2700">
              <w:rPr>
                <w:rStyle w:val="simple"/>
                <w:sz w:val="22"/>
                <w:szCs w:val="22"/>
              </w:rPr>
              <w:t>Worker legislation is not regarded when applying REACH duties (e.g. priority of RMM not applied)</w:t>
            </w:r>
          </w:p>
        </w:tc>
      </w:tr>
    </w:tbl>
    <w:p w:rsidR="00CF4118" w:rsidRPr="004A2700" w:rsidRDefault="00CF4118" w:rsidP="006B18EB">
      <w:pPr>
        <w:pStyle w:val="float"/>
        <w:spacing w:after="0" w:afterAutospacing="0"/>
        <w:rPr>
          <w:rStyle w:val="Caption1"/>
          <w:b/>
          <w:bCs/>
          <w:sz w:val="22"/>
          <w:szCs w:val="22"/>
        </w:rPr>
      </w:pPr>
      <w:bookmarkStart w:id="0" w:name="_GoBack"/>
      <w:bookmarkEnd w:id="0"/>
    </w:p>
    <w:sectPr w:rsidR="00CF4118" w:rsidRPr="004A2700" w:rsidSect="006B18EB">
      <w:pgSz w:w="16834" w:h="11909" w:orient="landscape"/>
      <w:pgMar w:top="1440" w:right="1440" w:bottom="12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10A" w:rsidRDefault="0002710A" w:rsidP="0002710A">
      <w:pPr>
        <w:spacing w:after="0"/>
      </w:pPr>
      <w:r>
        <w:separator/>
      </w:r>
    </w:p>
  </w:endnote>
  <w:endnote w:type="continuationSeparator" w:id="0">
    <w:p w:rsidR="0002710A" w:rsidRDefault="0002710A" w:rsidP="000271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10A" w:rsidRDefault="0002710A" w:rsidP="0002710A">
      <w:pPr>
        <w:spacing w:after="0"/>
      </w:pPr>
      <w:r>
        <w:separator/>
      </w:r>
    </w:p>
  </w:footnote>
  <w:footnote w:type="continuationSeparator" w:id="0">
    <w:p w:rsidR="0002710A" w:rsidRDefault="0002710A" w:rsidP="000271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FA"/>
    <w:rsid w:val="0002710A"/>
    <w:rsid w:val="001118DB"/>
    <w:rsid w:val="00151233"/>
    <w:rsid w:val="001605C0"/>
    <w:rsid w:val="0018491B"/>
    <w:rsid w:val="001F1FEE"/>
    <w:rsid w:val="002F3214"/>
    <w:rsid w:val="003237FE"/>
    <w:rsid w:val="00326275"/>
    <w:rsid w:val="00336E85"/>
    <w:rsid w:val="003647ED"/>
    <w:rsid w:val="00372D74"/>
    <w:rsid w:val="0044230A"/>
    <w:rsid w:val="004A2700"/>
    <w:rsid w:val="00521919"/>
    <w:rsid w:val="00541F5F"/>
    <w:rsid w:val="006472F5"/>
    <w:rsid w:val="006944D5"/>
    <w:rsid w:val="006B18EB"/>
    <w:rsid w:val="00751E9F"/>
    <w:rsid w:val="00783653"/>
    <w:rsid w:val="00796226"/>
    <w:rsid w:val="007B42A5"/>
    <w:rsid w:val="007E2CC0"/>
    <w:rsid w:val="009124E6"/>
    <w:rsid w:val="009423FD"/>
    <w:rsid w:val="0094718C"/>
    <w:rsid w:val="009B41A3"/>
    <w:rsid w:val="00A75AE8"/>
    <w:rsid w:val="00B90EFA"/>
    <w:rsid w:val="00BD63C6"/>
    <w:rsid w:val="00C07693"/>
    <w:rsid w:val="00C22507"/>
    <w:rsid w:val="00C5316C"/>
    <w:rsid w:val="00CF4118"/>
    <w:rsid w:val="00D3247B"/>
    <w:rsid w:val="00D637AE"/>
    <w:rsid w:val="00D91B0C"/>
    <w:rsid w:val="00DE0279"/>
    <w:rsid w:val="00E304DA"/>
    <w:rsid w:val="00E8035B"/>
    <w:rsid w:val="00F23264"/>
    <w:rsid w:val="00F2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  <w:style w:type="paragraph" w:styleId="Kopfzeile">
    <w:name w:val="header"/>
    <w:basedOn w:val="Standard"/>
    <w:link w:val="KopfzeileZchn"/>
    <w:rsid w:val="0002710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02710A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02710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02710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  <w:style w:type="paragraph" w:styleId="Kopfzeile">
    <w:name w:val="header"/>
    <w:basedOn w:val="Standard"/>
    <w:link w:val="KopfzeileZchn"/>
    <w:rsid w:val="0002710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02710A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02710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02710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F5440-4C88-4DF2-8F3C-0E112741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Hammerschmidt, Thea</dc:creator>
  <cp:lastModifiedBy>Hammerschmidt, Thea</cp:lastModifiedBy>
  <cp:revision>10</cp:revision>
  <dcterms:created xsi:type="dcterms:W3CDTF">2014-03-07T11:48:00Z</dcterms:created>
  <dcterms:modified xsi:type="dcterms:W3CDTF">2014-03-07T12:21:00Z</dcterms:modified>
</cp:coreProperties>
</file>