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2F34" w:rsidRPr="003B2DAE" w:rsidRDefault="00F20BAB" w:rsidP="00302F34">
      <w:pPr>
        <w:pStyle w:val="float"/>
        <w:spacing w:after="0" w:afterAutospacing="0"/>
      </w:pPr>
      <w:r>
        <w:rPr>
          <w:rStyle w:val="Caption1"/>
          <w:b/>
          <w:bCs/>
        </w:rPr>
        <w:t>Additional file 4:</w:t>
      </w:r>
      <w:r w:rsidR="00302F34" w:rsidRPr="003B2DAE">
        <w:rPr>
          <w:rStyle w:val="Caption1"/>
        </w:rPr>
        <w:t xml:space="preserve"> </w:t>
      </w:r>
      <w:r w:rsidR="00302F34" w:rsidRPr="003B2DAE">
        <w:rPr>
          <w:rStyle w:val="bold"/>
        </w:rPr>
        <w:t>Communication of exposure scenario information via (extended) safety data sheets</w:t>
      </w:r>
    </w:p>
    <w:tbl>
      <w:tblPr>
        <w:tblW w:w="5039" w:type="pct"/>
        <w:jc w:val="center"/>
        <w:tblBorders>
          <w:top w:val="single" w:sz="12" w:space="0" w:color="000000"/>
          <w:bottom w:val="single" w:sz="1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3"/>
        <w:gridCol w:w="7895"/>
        <w:gridCol w:w="3075"/>
      </w:tblGrid>
      <w:tr w:rsidR="00302F34" w:rsidRPr="00C325EA" w:rsidTr="00C45706">
        <w:trPr>
          <w:tblHeader/>
          <w:jc w:val="center"/>
        </w:trPr>
        <w:tc>
          <w:tcPr>
            <w:tcW w:w="1108" w:type="pct"/>
            <w:tcBorders>
              <w:bottom w:val="single" w:sz="6" w:space="0" w:color="000000"/>
            </w:tcBorders>
            <w:shd w:val="clear" w:color="auto" w:fill="99CC00"/>
            <w:hideMark/>
          </w:tcPr>
          <w:p w:rsidR="00302F34" w:rsidRPr="00C325EA" w:rsidRDefault="00302F34" w:rsidP="00C45706">
            <w:pPr>
              <w:rPr>
                <w:sz w:val="22"/>
                <w:szCs w:val="22"/>
              </w:rPr>
            </w:pPr>
            <w:r w:rsidRPr="00C325EA">
              <w:rPr>
                <w:rStyle w:val="bold"/>
                <w:sz w:val="22"/>
                <w:szCs w:val="22"/>
              </w:rPr>
              <w:t>‘The ideal REACH world’ at the workplace</w:t>
            </w:r>
          </w:p>
        </w:tc>
        <w:tc>
          <w:tcPr>
            <w:tcW w:w="2801" w:type="pct"/>
            <w:tcBorders>
              <w:bottom w:val="single" w:sz="6" w:space="0" w:color="000000"/>
            </w:tcBorders>
            <w:shd w:val="clear" w:color="auto" w:fill="FFCC00"/>
            <w:hideMark/>
          </w:tcPr>
          <w:p w:rsidR="00302F34" w:rsidRPr="00C325EA" w:rsidRDefault="00302F34" w:rsidP="00C45706">
            <w:pPr>
              <w:rPr>
                <w:sz w:val="22"/>
                <w:szCs w:val="22"/>
              </w:rPr>
            </w:pPr>
            <w:r w:rsidRPr="00C325EA">
              <w:rPr>
                <w:rStyle w:val="bold"/>
                <w:sz w:val="22"/>
                <w:szCs w:val="22"/>
              </w:rPr>
              <w:t xml:space="preserve">System-inherent drawbacks that hinder </w:t>
            </w:r>
            <w:proofErr w:type="spellStart"/>
            <w:r w:rsidRPr="00C325EA">
              <w:rPr>
                <w:rStyle w:val="bold"/>
                <w:sz w:val="22"/>
                <w:szCs w:val="22"/>
              </w:rPr>
              <w:t>REACHing</w:t>
            </w:r>
            <w:proofErr w:type="spellEnd"/>
            <w:r w:rsidRPr="00C325EA">
              <w:rPr>
                <w:rStyle w:val="bold"/>
                <w:sz w:val="22"/>
                <w:szCs w:val="22"/>
              </w:rPr>
              <w:t xml:space="preserve"> these ideals</w:t>
            </w:r>
          </w:p>
        </w:tc>
        <w:tc>
          <w:tcPr>
            <w:tcW w:w="1091" w:type="pct"/>
            <w:tcBorders>
              <w:bottom w:val="single" w:sz="6" w:space="0" w:color="000000"/>
            </w:tcBorders>
            <w:shd w:val="clear" w:color="auto" w:fill="FF6600"/>
            <w:hideMark/>
          </w:tcPr>
          <w:p w:rsidR="00302F34" w:rsidRPr="00C325EA" w:rsidRDefault="00302F34" w:rsidP="00C45706">
            <w:pPr>
              <w:rPr>
                <w:sz w:val="22"/>
                <w:szCs w:val="22"/>
              </w:rPr>
            </w:pPr>
            <w:r w:rsidRPr="00C325EA">
              <w:rPr>
                <w:rStyle w:val="bold"/>
                <w:sz w:val="22"/>
                <w:szCs w:val="22"/>
              </w:rPr>
              <w:t xml:space="preserve">Contravention against legal framework that hinder </w:t>
            </w:r>
            <w:proofErr w:type="spellStart"/>
            <w:r w:rsidRPr="00C325EA">
              <w:rPr>
                <w:rStyle w:val="bold"/>
                <w:sz w:val="22"/>
                <w:szCs w:val="22"/>
              </w:rPr>
              <w:t>REACHing</w:t>
            </w:r>
            <w:proofErr w:type="spellEnd"/>
            <w:r w:rsidRPr="00C325EA">
              <w:rPr>
                <w:rStyle w:val="bold"/>
                <w:sz w:val="22"/>
                <w:szCs w:val="22"/>
              </w:rPr>
              <w:t xml:space="preserve"> these ideals</w:t>
            </w:r>
          </w:p>
        </w:tc>
      </w:tr>
      <w:tr w:rsidR="00302F34" w:rsidRPr="00C325EA" w:rsidTr="00C45706">
        <w:trPr>
          <w:tblHeader/>
          <w:jc w:val="center"/>
        </w:trPr>
        <w:tc>
          <w:tcPr>
            <w:tcW w:w="1108" w:type="pct"/>
            <w:vMerge w:val="restart"/>
            <w:tcBorders>
              <w:top w:val="single" w:sz="12" w:space="0" w:color="000000"/>
            </w:tcBorders>
            <w:shd w:val="clear" w:color="auto" w:fill="99CC00"/>
            <w:hideMark/>
          </w:tcPr>
          <w:p w:rsidR="00302F34" w:rsidRPr="00C325EA" w:rsidRDefault="00302F34" w:rsidP="00C325EA">
            <w:pPr>
              <w:spacing w:before="60"/>
              <w:rPr>
                <w:sz w:val="22"/>
                <w:szCs w:val="22"/>
              </w:rPr>
            </w:pPr>
            <w:r w:rsidRPr="00C325EA">
              <w:rPr>
                <w:rStyle w:val="simple"/>
                <w:sz w:val="22"/>
                <w:szCs w:val="22"/>
              </w:rPr>
              <w:t>Information from ES improve information in supply chain</w:t>
            </w:r>
          </w:p>
        </w:tc>
        <w:tc>
          <w:tcPr>
            <w:tcW w:w="2801" w:type="pct"/>
            <w:tcBorders>
              <w:top w:val="single" w:sz="12" w:space="0" w:color="000000"/>
            </w:tcBorders>
            <w:shd w:val="clear" w:color="auto" w:fill="FFCC00"/>
            <w:hideMark/>
          </w:tcPr>
          <w:p w:rsidR="00302F34" w:rsidRPr="00C325EA" w:rsidRDefault="00335918" w:rsidP="00C325EA">
            <w:pPr>
              <w:spacing w:before="60"/>
              <w:ind w:left="152" w:hanging="152"/>
              <w:rPr>
                <w:sz w:val="22"/>
                <w:szCs w:val="22"/>
              </w:rPr>
            </w:pPr>
            <w:r w:rsidRPr="00C325EA">
              <w:rPr>
                <w:rStyle w:val="simple"/>
                <w:sz w:val="22"/>
                <w:szCs w:val="22"/>
              </w:rPr>
              <w:t>-</w:t>
            </w:r>
            <w:r w:rsidRPr="00C325EA">
              <w:rPr>
                <w:rStyle w:val="simple"/>
                <w:sz w:val="22"/>
                <w:szCs w:val="22"/>
              </w:rPr>
              <w:tab/>
            </w:r>
            <w:r w:rsidR="00302F34" w:rsidRPr="00C325EA">
              <w:rPr>
                <w:rStyle w:val="simple"/>
                <w:sz w:val="22"/>
                <w:szCs w:val="22"/>
              </w:rPr>
              <w:t>ES can be provided by generic Tier 1 models whereas specific branch solutions were more appropriate at the workplace</w:t>
            </w:r>
          </w:p>
        </w:tc>
        <w:tc>
          <w:tcPr>
            <w:tcW w:w="1091" w:type="pct"/>
            <w:tcBorders>
              <w:top w:val="single" w:sz="12" w:space="0" w:color="000000"/>
            </w:tcBorders>
            <w:shd w:val="clear" w:color="auto" w:fill="FF6600"/>
            <w:hideMark/>
          </w:tcPr>
          <w:p w:rsidR="00302F34" w:rsidRPr="00C325EA" w:rsidRDefault="00302F34" w:rsidP="00C325EA">
            <w:pPr>
              <w:tabs>
                <w:tab w:val="left" w:pos="287"/>
              </w:tabs>
              <w:spacing w:before="60"/>
              <w:ind w:left="208" w:hanging="208"/>
              <w:rPr>
                <w:sz w:val="22"/>
                <w:szCs w:val="22"/>
              </w:rPr>
            </w:pPr>
            <w:r w:rsidRPr="00C325EA">
              <w:rPr>
                <w:rStyle w:val="simple"/>
                <w:sz w:val="22"/>
                <w:szCs w:val="22"/>
              </w:rPr>
              <w:t>-</w:t>
            </w:r>
            <w:r w:rsidR="00335918" w:rsidRPr="00C325EA">
              <w:rPr>
                <w:rStyle w:val="simple"/>
                <w:sz w:val="22"/>
                <w:szCs w:val="22"/>
              </w:rPr>
              <w:tab/>
            </w:r>
            <w:r w:rsidRPr="00C325EA">
              <w:rPr>
                <w:rStyle w:val="simple"/>
                <w:sz w:val="22"/>
                <w:szCs w:val="22"/>
              </w:rPr>
              <w:t>Relevant ES not attached to SDS although supplier prepared CSR</w:t>
            </w:r>
          </w:p>
        </w:tc>
      </w:tr>
      <w:tr w:rsidR="00302F34" w:rsidRPr="00C325EA" w:rsidTr="00C45706">
        <w:trPr>
          <w:tblHeader/>
          <w:jc w:val="center"/>
        </w:trPr>
        <w:tc>
          <w:tcPr>
            <w:tcW w:w="1108" w:type="pct"/>
            <w:vMerge/>
            <w:tcBorders>
              <w:top w:val="single" w:sz="12" w:space="0" w:color="000000"/>
            </w:tcBorders>
            <w:shd w:val="clear" w:color="auto" w:fill="99CC00"/>
            <w:vAlign w:val="center"/>
            <w:hideMark/>
          </w:tcPr>
          <w:p w:rsidR="00302F34" w:rsidRPr="00C325EA" w:rsidRDefault="00302F34" w:rsidP="00C45706">
            <w:pPr>
              <w:rPr>
                <w:sz w:val="22"/>
                <w:szCs w:val="22"/>
              </w:rPr>
            </w:pPr>
          </w:p>
        </w:tc>
        <w:tc>
          <w:tcPr>
            <w:tcW w:w="2801" w:type="pct"/>
            <w:vMerge w:val="restart"/>
            <w:shd w:val="clear" w:color="auto" w:fill="FFCC00"/>
            <w:hideMark/>
          </w:tcPr>
          <w:p w:rsidR="00302F34" w:rsidRPr="00C325EA" w:rsidRDefault="00335918" w:rsidP="00335918">
            <w:pPr>
              <w:ind w:left="193" w:hanging="193"/>
              <w:rPr>
                <w:sz w:val="22"/>
                <w:szCs w:val="22"/>
              </w:rPr>
            </w:pPr>
            <w:r w:rsidRPr="00C325EA">
              <w:rPr>
                <w:rStyle w:val="simple"/>
                <w:sz w:val="22"/>
                <w:szCs w:val="22"/>
              </w:rPr>
              <w:t>-</w:t>
            </w:r>
            <w:r w:rsidRPr="00C325EA">
              <w:rPr>
                <w:rStyle w:val="simple"/>
                <w:sz w:val="22"/>
                <w:szCs w:val="22"/>
              </w:rPr>
              <w:tab/>
            </w:r>
            <w:r w:rsidR="00302F34" w:rsidRPr="00C325EA">
              <w:rPr>
                <w:rStyle w:val="simple"/>
                <w:sz w:val="22"/>
                <w:szCs w:val="22"/>
              </w:rPr>
              <w:t>It is not mandatory to attach only the relevant ES to SDS of substances</w:t>
            </w:r>
          </w:p>
        </w:tc>
        <w:tc>
          <w:tcPr>
            <w:tcW w:w="1091" w:type="pct"/>
            <w:shd w:val="clear" w:color="auto" w:fill="FF6600"/>
            <w:hideMark/>
          </w:tcPr>
          <w:p w:rsidR="00302F34" w:rsidRPr="00C325EA" w:rsidRDefault="00335918" w:rsidP="00335918">
            <w:pPr>
              <w:ind w:left="194" w:hanging="194"/>
              <w:rPr>
                <w:sz w:val="22"/>
                <w:szCs w:val="22"/>
              </w:rPr>
            </w:pPr>
            <w:r w:rsidRPr="00C325EA">
              <w:rPr>
                <w:rStyle w:val="simple"/>
                <w:sz w:val="22"/>
                <w:szCs w:val="22"/>
              </w:rPr>
              <w:t>-</w:t>
            </w:r>
            <w:r w:rsidRPr="00C325EA">
              <w:rPr>
                <w:rStyle w:val="simple"/>
                <w:sz w:val="22"/>
                <w:szCs w:val="22"/>
              </w:rPr>
              <w:tab/>
            </w:r>
            <w:r w:rsidR="00302F34" w:rsidRPr="00C325EA">
              <w:rPr>
                <w:rStyle w:val="simple"/>
                <w:sz w:val="22"/>
                <w:szCs w:val="22"/>
              </w:rPr>
              <w:t>Relevant information (e.g. RMM, DNELs) not properly consolidated in main part of SDS</w:t>
            </w:r>
          </w:p>
        </w:tc>
      </w:tr>
      <w:tr w:rsidR="00302F34" w:rsidRPr="00C325EA" w:rsidTr="00C325EA">
        <w:trPr>
          <w:trHeight w:val="593"/>
          <w:tblHeader/>
          <w:jc w:val="center"/>
        </w:trPr>
        <w:tc>
          <w:tcPr>
            <w:tcW w:w="1108" w:type="pct"/>
            <w:vMerge/>
            <w:tcBorders>
              <w:top w:val="single" w:sz="12" w:space="0" w:color="000000"/>
              <w:bottom w:val="single" w:sz="4" w:space="0" w:color="auto"/>
            </w:tcBorders>
            <w:shd w:val="clear" w:color="auto" w:fill="99CC00"/>
            <w:vAlign w:val="center"/>
            <w:hideMark/>
          </w:tcPr>
          <w:p w:rsidR="00302F34" w:rsidRPr="00C325EA" w:rsidRDefault="00302F34" w:rsidP="00C45706">
            <w:pPr>
              <w:rPr>
                <w:sz w:val="22"/>
                <w:szCs w:val="22"/>
              </w:rPr>
            </w:pPr>
          </w:p>
        </w:tc>
        <w:tc>
          <w:tcPr>
            <w:tcW w:w="2801" w:type="pct"/>
            <w:vMerge/>
            <w:tcBorders>
              <w:bottom w:val="single" w:sz="4" w:space="0" w:color="auto"/>
            </w:tcBorders>
            <w:shd w:val="clear" w:color="auto" w:fill="FFCC00"/>
            <w:vAlign w:val="center"/>
            <w:hideMark/>
          </w:tcPr>
          <w:p w:rsidR="00302F34" w:rsidRPr="00C325EA" w:rsidRDefault="00302F34" w:rsidP="00C45706">
            <w:pPr>
              <w:rPr>
                <w:sz w:val="22"/>
                <w:szCs w:val="22"/>
              </w:rPr>
            </w:pPr>
          </w:p>
        </w:tc>
        <w:tc>
          <w:tcPr>
            <w:tcW w:w="1091" w:type="pct"/>
            <w:tcBorders>
              <w:bottom w:val="single" w:sz="4" w:space="0" w:color="auto"/>
            </w:tcBorders>
            <w:shd w:val="clear" w:color="auto" w:fill="FF6600"/>
            <w:hideMark/>
          </w:tcPr>
          <w:p w:rsidR="00302F34" w:rsidRPr="00C325EA" w:rsidRDefault="00D97A35" w:rsidP="00F20BAB">
            <w:pPr>
              <w:spacing w:after="0" w:afterAutospacing="0"/>
              <w:ind w:left="210" w:hanging="210"/>
              <w:rPr>
                <w:sz w:val="22"/>
                <w:szCs w:val="22"/>
              </w:rPr>
            </w:pPr>
            <w:r w:rsidRPr="00C325EA">
              <w:rPr>
                <w:rStyle w:val="simple"/>
                <w:sz w:val="22"/>
                <w:szCs w:val="22"/>
              </w:rPr>
              <w:t>-</w:t>
            </w:r>
            <w:r w:rsidRPr="00C325EA">
              <w:rPr>
                <w:rStyle w:val="simple"/>
                <w:sz w:val="22"/>
                <w:szCs w:val="22"/>
              </w:rPr>
              <w:tab/>
            </w:r>
            <w:r w:rsidR="00302F34" w:rsidRPr="00C325EA">
              <w:rPr>
                <w:rStyle w:val="simple"/>
                <w:sz w:val="22"/>
                <w:szCs w:val="22"/>
              </w:rPr>
              <w:t>Recipient overwhelmed by scenarios not relevant for him</w:t>
            </w:r>
          </w:p>
        </w:tc>
      </w:tr>
      <w:tr w:rsidR="00302F34" w:rsidRPr="00C325EA" w:rsidTr="00F20BAB">
        <w:trPr>
          <w:tblHeader/>
          <w:jc w:val="center"/>
        </w:trPr>
        <w:tc>
          <w:tcPr>
            <w:tcW w:w="1108" w:type="pct"/>
            <w:tcBorders>
              <w:top w:val="single" w:sz="4" w:space="0" w:color="auto"/>
              <w:bottom w:val="single" w:sz="4" w:space="0" w:color="auto"/>
            </w:tcBorders>
            <w:shd w:val="clear" w:color="auto" w:fill="99CC00"/>
            <w:hideMark/>
          </w:tcPr>
          <w:p w:rsidR="00302F34" w:rsidRPr="00C325EA" w:rsidRDefault="00302F34" w:rsidP="00C325EA">
            <w:pPr>
              <w:spacing w:before="60"/>
              <w:rPr>
                <w:sz w:val="22"/>
                <w:szCs w:val="22"/>
              </w:rPr>
            </w:pPr>
            <w:r w:rsidRPr="00C325EA">
              <w:rPr>
                <w:rStyle w:val="simple"/>
                <w:sz w:val="22"/>
                <w:szCs w:val="22"/>
              </w:rPr>
              <w:t xml:space="preserve">ES from </w:t>
            </w:r>
            <w:proofErr w:type="spellStart"/>
            <w:r w:rsidRPr="00C325EA">
              <w:rPr>
                <w:rStyle w:val="simple"/>
                <w:sz w:val="22"/>
                <w:szCs w:val="22"/>
              </w:rPr>
              <w:t>eSDS</w:t>
            </w:r>
            <w:proofErr w:type="spellEnd"/>
            <w:r w:rsidRPr="00C325EA">
              <w:rPr>
                <w:rStyle w:val="simple"/>
                <w:sz w:val="22"/>
                <w:szCs w:val="22"/>
              </w:rPr>
              <w:t xml:space="preserve"> are readable and relevant for workplaces</w:t>
            </w:r>
          </w:p>
        </w:tc>
        <w:tc>
          <w:tcPr>
            <w:tcW w:w="280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CC00"/>
            <w:hideMark/>
          </w:tcPr>
          <w:p w:rsidR="00302F34" w:rsidRPr="00C325EA" w:rsidRDefault="00D97A35" w:rsidP="00C325EA">
            <w:pPr>
              <w:spacing w:before="60"/>
              <w:ind w:left="194" w:hanging="194"/>
              <w:rPr>
                <w:sz w:val="22"/>
                <w:szCs w:val="22"/>
              </w:rPr>
            </w:pPr>
            <w:r w:rsidRPr="00C325EA">
              <w:rPr>
                <w:rStyle w:val="simple"/>
                <w:sz w:val="22"/>
                <w:szCs w:val="22"/>
              </w:rPr>
              <w:t>-</w:t>
            </w:r>
            <w:r w:rsidRPr="00C325EA">
              <w:rPr>
                <w:rStyle w:val="simple"/>
                <w:sz w:val="22"/>
                <w:szCs w:val="22"/>
              </w:rPr>
              <w:tab/>
            </w:r>
            <w:r w:rsidR="00302F34" w:rsidRPr="00C325EA">
              <w:rPr>
                <w:rStyle w:val="simple"/>
                <w:sz w:val="22"/>
                <w:szCs w:val="22"/>
              </w:rPr>
              <w:t>ES may be copied from CSR without changing format and reducing to relevant information which can limit understanding to experts</w:t>
            </w:r>
          </w:p>
        </w:tc>
        <w:tc>
          <w:tcPr>
            <w:tcW w:w="1091" w:type="pct"/>
            <w:tcBorders>
              <w:top w:val="single" w:sz="4" w:space="0" w:color="auto"/>
              <w:bottom w:val="single" w:sz="4" w:space="0" w:color="auto"/>
            </w:tcBorders>
            <w:shd w:val="clear" w:color="auto" w:fill="FF6600"/>
            <w:hideMark/>
          </w:tcPr>
          <w:p w:rsidR="00302F34" w:rsidRPr="00C325EA" w:rsidRDefault="00D97A35" w:rsidP="00C325EA">
            <w:pPr>
              <w:spacing w:before="60" w:after="0" w:afterAutospacing="0"/>
              <w:ind w:left="210" w:hanging="210"/>
              <w:rPr>
                <w:sz w:val="22"/>
                <w:szCs w:val="22"/>
              </w:rPr>
            </w:pPr>
            <w:r w:rsidRPr="00C325EA">
              <w:rPr>
                <w:rStyle w:val="simple"/>
                <w:sz w:val="22"/>
                <w:szCs w:val="22"/>
              </w:rPr>
              <w:t>-</w:t>
            </w:r>
            <w:r w:rsidRPr="00C325EA">
              <w:rPr>
                <w:rStyle w:val="simple"/>
                <w:sz w:val="22"/>
                <w:szCs w:val="22"/>
              </w:rPr>
              <w:tab/>
            </w:r>
            <w:r w:rsidR="00302F34" w:rsidRPr="00C325EA">
              <w:rPr>
                <w:rStyle w:val="simple"/>
                <w:sz w:val="22"/>
                <w:szCs w:val="22"/>
              </w:rPr>
              <w:t>ES are ambiguous and overcharged making extraction of important information challenging and time-consuming</w:t>
            </w:r>
          </w:p>
        </w:tc>
      </w:tr>
      <w:tr w:rsidR="00302F34" w:rsidRPr="00C325EA" w:rsidTr="00F20BAB">
        <w:trPr>
          <w:tblHeader/>
          <w:jc w:val="center"/>
        </w:trPr>
        <w:tc>
          <w:tcPr>
            <w:tcW w:w="1108" w:type="pct"/>
            <w:tcBorders>
              <w:top w:val="single" w:sz="4" w:space="0" w:color="auto"/>
            </w:tcBorders>
            <w:shd w:val="clear" w:color="auto" w:fill="99CC00"/>
            <w:hideMark/>
          </w:tcPr>
          <w:p w:rsidR="00302F34" w:rsidRPr="00C325EA" w:rsidRDefault="00302F34" w:rsidP="00C325EA">
            <w:pPr>
              <w:spacing w:before="60"/>
              <w:rPr>
                <w:sz w:val="22"/>
                <w:szCs w:val="22"/>
              </w:rPr>
            </w:pPr>
            <w:r w:rsidRPr="00C325EA">
              <w:rPr>
                <w:rStyle w:val="simple"/>
                <w:sz w:val="22"/>
                <w:szCs w:val="22"/>
              </w:rPr>
              <w:t>Information is communicated up and down in the supply chain</w:t>
            </w:r>
          </w:p>
        </w:tc>
        <w:tc>
          <w:tcPr>
            <w:tcW w:w="2801" w:type="pct"/>
            <w:tcBorders>
              <w:top w:val="single" w:sz="4" w:space="0" w:color="auto"/>
            </w:tcBorders>
            <w:shd w:val="clear" w:color="auto" w:fill="FFCC00"/>
            <w:hideMark/>
          </w:tcPr>
          <w:p w:rsidR="00302F34" w:rsidRPr="00C325EA" w:rsidRDefault="00D97A35" w:rsidP="00C325EA">
            <w:pPr>
              <w:spacing w:before="60"/>
              <w:ind w:left="194" w:hanging="194"/>
              <w:rPr>
                <w:sz w:val="22"/>
                <w:szCs w:val="22"/>
              </w:rPr>
            </w:pPr>
            <w:r w:rsidRPr="00C325EA">
              <w:rPr>
                <w:rStyle w:val="simple"/>
                <w:sz w:val="22"/>
                <w:szCs w:val="22"/>
              </w:rPr>
              <w:t>-</w:t>
            </w:r>
            <w:r w:rsidRPr="00C325EA">
              <w:rPr>
                <w:rStyle w:val="simple"/>
                <w:sz w:val="22"/>
                <w:szCs w:val="22"/>
              </w:rPr>
              <w:tab/>
            </w:r>
            <w:r w:rsidR="00302F34" w:rsidRPr="00C325EA">
              <w:rPr>
                <w:rStyle w:val="simple"/>
                <w:sz w:val="22"/>
                <w:szCs w:val="22"/>
              </w:rPr>
              <w:t>Mechanisms of article 34 not further substantiated</w:t>
            </w:r>
          </w:p>
        </w:tc>
        <w:tc>
          <w:tcPr>
            <w:tcW w:w="1091" w:type="pct"/>
            <w:tcBorders>
              <w:top w:val="single" w:sz="4" w:space="0" w:color="auto"/>
            </w:tcBorders>
            <w:shd w:val="clear" w:color="auto" w:fill="FF6600"/>
            <w:hideMark/>
          </w:tcPr>
          <w:p w:rsidR="00302F34" w:rsidRPr="00C325EA" w:rsidRDefault="00D97A35" w:rsidP="00C325EA">
            <w:pPr>
              <w:spacing w:before="60"/>
              <w:ind w:left="208" w:hanging="208"/>
              <w:rPr>
                <w:sz w:val="22"/>
                <w:szCs w:val="22"/>
              </w:rPr>
            </w:pPr>
            <w:r w:rsidRPr="00C325EA">
              <w:rPr>
                <w:rStyle w:val="simple"/>
                <w:sz w:val="22"/>
                <w:szCs w:val="22"/>
              </w:rPr>
              <w:t>-</w:t>
            </w:r>
            <w:r w:rsidRPr="00C325EA">
              <w:rPr>
                <w:rStyle w:val="simple"/>
                <w:sz w:val="22"/>
                <w:szCs w:val="22"/>
              </w:rPr>
              <w:tab/>
            </w:r>
            <w:r w:rsidR="00302F34" w:rsidRPr="00C325EA">
              <w:rPr>
                <w:rStyle w:val="simple"/>
                <w:sz w:val="22"/>
                <w:szCs w:val="22"/>
              </w:rPr>
              <w:t>Downstream user does not check compliance with recommended occupational conditions, process parameters and RMM from ES</w:t>
            </w:r>
          </w:p>
        </w:tc>
      </w:tr>
    </w:tbl>
    <w:p w:rsidR="00CF4118" w:rsidRDefault="00CF4118">
      <w:bookmarkStart w:id="0" w:name="_GoBack"/>
      <w:bookmarkEnd w:id="0"/>
    </w:p>
    <w:p w:rsidR="00CF4118" w:rsidRDefault="00CF4118"/>
    <w:p w:rsidR="00CF4118" w:rsidRDefault="00CF4118"/>
    <w:sectPr w:rsidR="00CF4118" w:rsidSect="005C5C34">
      <w:pgSz w:w="16834" w:h="11909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EFA"/>
    <w:rsid w:val="00151233"/>
    <w:rsid w:val="001605C0"/>
    <w:rsid w:val="001645D6"/>
    <w:rsid w:val="0018491B"/>
    <w:rsid w:val="00302F34"/>
    <w:rsid w:val="003237FE"/>
    <w:rsid w:val="00326275"/>
    <w:rsid w:val="00335918"/>
    <w:rsid w:val="00336E85"/>
    <w:rsid w:val="003647ED"/>
    <w:rsid w:val="00372D74"/>
    <w:rsid w:val="00521919"/>
    <w:rsid w:val="00541F5F"/>
    <w:rsid w:val="005C5C34"/>
    <w:rsid w:val="006472F5"/>
    <w:rsid w:val="006944D5"/>
    <w:rsid w:val="006C409F"/>
    <w:rsid w:val="00783653"/>
    <w:rsid w:val="00796226"/>
    <w:rsid w:val="007B42A5"/>
    <w:rsid w:val="007E2CC0"/>
    <w:rsid w:val="009124E6"/>
    <w:rsid w:val="009423FD"/>
    <w:rsid w:val="0094718C"/>
    <w:rsid w:val="00A75AE8"/>
    <w:rsid w:val="00B90EFA"/>
    <w:rsid w:val="00BD63C6"/>
    <w:rsid w:val="00C07693"/>
    <w:rsid w:val="00C22507"/>
    <w:rsid w:val="00C325EA"/>
    <w:rsid w:val="00C50FBD"/>
    <w:rsid w:val="00C5316C"/>
    <w:rsid w:val="00CF4118"/>
    <w:rsid w:val="00D3247B"/>
    <w:rsid w:val="00D637AE"/>
    <w:rsid w:val="00D91B0C"/>
    <w:rsid w:val="00D97A35"/>
    <w:rsid w:val="00DE0279"/>
    <w:rsid w:val="00E304DA"/>
    <w:rsid w:val="00F20BAB"/>
    <w:rsid w:val="00F23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B90EFA"/>
    <w:pPr>
      <w:spacing w:after="100" w:afterAutospacing="1"/>
    </w:pPr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old">
    <w:name w:val="bold"/>
    <w:rsid w:val="00B90EFA"/>
    <w:rPr>
      <w:b/>
      <w:bCs/>
    </w:rPr>
  </w:style>
  <w:style w:type="paragraph" w:customStyle="1" w:styleId="float">
    <w:name w:val="float"/>
    <w:basedOn w:val="Standard"/>
    <w:rsid w:val="00B90EFA"/>
    <w:pPr>
      <w:spacing w:before="100" w:beforeAutospacing="1"/>
    </w:pPr>
  </w:style>
  <w:style w:type="character" w:customStyle="1" w:styleId="Caption1">
    <w:name w:val="Caption1"/>
    <w:rsid w:val="00B90EFA"/>
  </w:style>
  <w:style w:type="character" w:customStyle="1" w:styleId="simple">
    <w:name w:val="simple"/>
    <w:rsid w:val="00B90EFA"/>
  </w:style>
  <w:style w:type="paragraph" w:styleId="StandardWeb">
    <w:name w:val="Normal (Web)"/>
    <w:basedOn w:val="Standard"/>
    <w:uiPriority w:val="99"/>
    <w:unhideWhenUsed/>
    <w:rsid w:val="00BD63C6"/>
    <w:pPr>
      <w:spacing w:before="100" w:beforeAutospacing="1"/>
    </w:pPr>
  </w:style>
  <w:style w:type="paragraph" w:styleId="Listenabsatz">
    <w:name w:val="List Paragraph"/>
    <w:basedOn w:val="Standard"/>
    <w:uiPriority w:val="34"/>
    <w:qFormat/>
    <w:rsid w:val="00D91B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B90EFA"/>
    <w:pPr>
      <w:spacing w:after="100" w:afterAutospacing="1"/>
    </w:pPr>
    <w:rPr>
      <w:sz w:val="24"/>
      <w:szCs w:val="24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old">
    <w:name w:val="bold"/>
    <w:rsid w:val="00B90EFA"/>
    <w:rPr>
      <w:b/>
      <w:bCs/>
    </w:rPr>
  </w:style>
  <w:style w:type="paragraph" w:customStyle="1" w:styleId="float">
    <w:name w:val="float"/>
    <w:basedOn w:val="Standard"/>
    <w:rsid w:val="00B90EFA"/>
    <w:pPr>
      <w:spacing w:before="100" w:beforeAutospacing="1"/>
    </w:pPr>
  </w:style>
  <w:style w:type="character" w:customStyle="1" w:styleId="Caption1">
    <w:name w:val="Caption1"/>
    <w:rsid w:val="00B90EFA"/>
  </w:style>
  <w:style w:type="character" w:customStyle="1" w:styleId="simple">
    <w:name w:val="simple"/>
    <w:rsid w:val="00B90EFA"/>
  </w:style>
  <w:style w:type="paragraph" w:styleId="StandardWeb">
    <w:name w:val="Normal (Web)"/>
    <w:basedOn w:val="Standard"/>
    <w:uiPriority w:val="99"/>
    <w:unhideWhenUsed/>
    <w:rsid w:val="00BD63C6"/>
    <w:pPr>
      <w:spacing w:before="100" w:beforeAutospacing="1"/>
    </w:pPr>
  </w:style>
  <w:style w:type="paragraph" w:styleId="Listenabsatz">
    <w:name w:val="List Paragraph"/>
    <w:basedOn w:val="Standard"/>
    <w:uiPriority w:val="34"/>
    <w:qFormat/>
    <w:rsid w:val="00D91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EC4B1-F2EE-4117-986A-2C86AF461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192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BAuA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Hammerschmidt, Thea</dc:creator>
  <cp:lastModifiedBy>Hammerschmidt, Thea</cp:lastModifiedBy>
  <cp:revision>4</cp:revision>
  <dcterms:created xsi:type="dcterms:W3CDTF">2014-03-07T12:04:00Z</dcterms:created>
  <dcterms:modified xsi:type="dcterms:W3CDTF">2014-03-07T12:21:00Z</dcterms:modified>
</cp:coreProperties>
</file>