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377" w:rsidRPr="003B2DAE" w:rsidRDefault="005807D0" w:rsidP="00AC2377">
      <w:pPr>
        <w:pStyle w:val="float"/>
        <w:spacing w:after="0" w:afterAutospacing="0"/>
      </w:pPr>
      <w:r>
        <w:rPr>
          <w:rStyle w:val="Caption1"/>
          <w:b/>
          <w:bCs/>
        </w:rPr>
        <w:t>Additional file 5:</w:t>
      </w:r>
      <w:r w:rsidR="00AC2377" w:rsidRPr="003B2DAE">
        <w:rPr>
          <w:rStyle w:val="Caption1"/>
        </w:rPr>
        <w:t xml:space="preserve"> </w:t>
      </w:r>
      <w:r w:rsidR="00AC2377" w:rsidRPr="003B2DAE">
        <w:rPr>
          <w:rStyle w:val="bold"/>
        </w:rPr>
        <w:t>SVHC identification and substitution</w:t>
      </w:r>
    </w:p>
    <w:tbl>
      <w:tblPr>
        <w:tblW w:w="4923" w:type="pct"/>
        <w:jc w:val="center"/>
        <w:tblBorders>
          <w:top w:val="single" w:sz="12" w:space="0" w:color="000000"/>
          <w:bottom w:val="single" w:sz="1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5"/>
        <w:gridCol w:w="10674"/>
      </w:tblGrid>
      <w:tr w:rsidR="00AC2377" w:rsidRPr="00A9781E" w:rsidTr="00AC2377">
        <w:trPr>
          <w:tblHeader/>
          <w:jc w:val="center"/>
        </w:trPr>
        <w:tc>
          <w:tcPr>
            <w:tcW w:w="1124" w:type="pct"/>
            <w:tcBorders>
              <w:bottom w:val="single" w:sz="6" w:space="0" w:color="000000"/>
            </w:tcBorders>
            <w:shd w:val="clear" w:color="auto" w:fill="99CC00"/>
            <w:hideMark/>
          </w:tcPr>
          <w:p w:rsidR="00AC2377" w:rsidRPr="00A9781E" w:rsidRDefault="00AC2377" w:rsidP="00C45706">
            <w:pPr>
              <w:rPr>
                <w:sz w:val="22"/>
                <w:szCs w:val="22"/>
              </w:rPr>
            </w:pPr>
            <w:r w:rsidRPr="00A9781E">
              <w:rPr>
                <w:rStyle w:val="bold"/>
                <w:sz w:val="22"/>
                <w:szCs w:val="22"/>
              </w:rPr>
              <w:t>‘The ideal REACH world’ at the workplace</w:t>
            </w:r>
          </w:p>
        </w:tc>
        <w:tc>
          <w:tcPr>
            <w:tcW w:w="3876" w:type="pct"/>
            <w:tcBorders>
              <w:bottom w:val="single" w:sz="6" w:space="0" w:color="000000"/>
            </w:tcBorders>
            <w:shd w:val="clear" w:color="auto" w:fill="FFCC00"/>
            <w:hideMark/>
          </w:tcPr>
          <w:p w:rsidR="00AC2377" w:rsidRPr="00A9781E" w:rsidRDefault="00AC2377" w:rsidP="00C45706">
            <w:pPr>
              <w:rPr>
                <w:sz w:val="22"/>
                <w:szCs w:val="22"/>
              </w:rPr>
            </w:pPr>
            <w:r w:rsidRPr="00A9781E">
              <w:rPr>
                <w:rStyle w:val="bold"/>
                <w:sz w:val="22"/>
                <w:szCs w:val="22"/>
              </w:rPr>
              <w:t>Reasons opposing ‘the ideal REACH world’ at the workplace</w:t>
            </w:r>
          </w:p>
        </w:tc>
      </w:tr>
      <w:tr w:rsidR="00AC2377" w:rsidRPr="00A9781E" w:rsidTr="00AC2377">
        <w:trPr>
          <w:tblHeader/>
          <w:jc w:val="center"/>
        </w:trPr>
        <w:tc>
          <w:tcPr>
            <w:tcW w:w="1124" w:type="pct"/>
            <w:vMerge w:val="restart"/>
            <w:tcBorders>
              <w:top w:val="single" w:sz="12" w:space="0" w:color="000000"/>
            </w:tcBorders>
            <w:shd w:val="clear" w:color="auto" w:fill="99CC00"/>
            <w:hideMark/>
          </w:tcPr>
          <w:p w:rsidR="00AC2377" w:rsidRPr="00A9781E" w:rsidRDefault="00AC2377" w:rsidP="00EB605F">
            <w:pPr>
              <w:spacing w:before="60"/>
              <w:rPr>
                <w:sz w:val="22"/>
                <w:szCs w:val="22"/>
              </w:rPr>
            </w:pPr>
            <w:r w:rsidRPr="00A9781E">
              <w:rPr>
                <w:rStyle w:val="simple"/>
                <w:sz w:val="22"/>
                <w:szCs w:val="22"/>
              </w:rPr>
              <w:t>All high-risk substances are identified and substituted</w:t>
            </w:r>
          </w:p>
        </w:tc>
        <w:tc>
          <w:tcPr>
            <w:tcW w:w="3876" w:type="pct"/>
            <w:tcBorders>
              <w:top w:val="single" w:sz="12" w:space="0" w:color="000000"/>
            </w:tcBorders>
            <w:shd w:val="clear" w:color="auto" w:fill="FFCC00"/>
            <w:hideMark/>
          </w:tcPr>
          <w:p w:rsidR="00AC2377" w:rsidRPr="00A9781E" w:rsidRDefault="00AC2377" w:rsidP="00EB605F">
            <w:pPr>
              <w:spacing w:before="60"/>
              <w:ind w:left="186" w:hanging="168"/>
              <w:rPr>
                <w:sz w:val="22"/>
                <w:szCs w:val="22"/>
              </w:rPr>
            </w:pPr>
            <w:r w:rsidRPr="00A9781E">
              <w:rPr>
                <w:rStyle w:val="simple"/>
                <w:sz w:val="22"/>
                <w:szCs w:val="22"/>
              </w:rPr>
              <w:t>-</w:t>
            </w:r>
            <w:r w:rsidRPr="00A9781E">
              <w:rPr>
                <w:rStyle w:val="simple"/>
                <w:sz w:val="22"/>
                <w:szCs w:val="22"/>
              </w:rPr>
              <w:tab/>
              <w:t xml:space="preserve">Only substances being CMR, PBT, </w:t>
            </w:r>
            <w:proofErr w:type="spellStart"/>
            <w:r w:rsidRPr="00A9781E">
              <w:rPr>
                <w:rStyle w:val="simple"/>
                <w:sz w:val="22"/>
                <w:szCs w:val="22"/>
              </w:rPr>
              <w:t>vPvB</w:t>
            </w:r>
            <w:proofErr w:type="spellEnd"/>
            <w:r w:rsidRPr="00A9781E">
              <w:rPr>
                <w:rStyle w:val="simple"/>
                <w:sz w:val="22"/>
                <w:szCs w:val="22"/>
              </w:rPr>
              <w:t xml:space="preserve"> or ELC can be identified as SVHC</w:t>
            </w:r>
          </w:p>
        </w:tc>
      </w:tr>
      <w:tr w:rsidR="00AC2377" w:rsidRPr="00A9781E" w:rsidTr="00AC2377">
        <w:trPr>
          <w:tblHeader/>
          <w:jc w:val="center"/>
        </w:trPr>
        <w:tc>
          <w:tcPr>
            <w:tcW w:w="1124" w:type="pct"/>
            <w:vMerge/>
            <w:tcBorders>
              <w:top w:val="single" w:sz="12" w:space="0" w:color="000000"/>
            </w:tcBorders>
            <w:shd w:val="clear" w:color="auto" w:fill="99CC00"/>
            <w:vAlign w:val="center"/>
            <w:hideMark/>
          </w:tcPr>
          <w:p w:rsidR="00AC2377" w:rsidRPr="00A9781E" w:rsidRDefault="00AC2377" w:rsidP="00C45706">
            <w:pPr>
              <w:rPr>
                <w:sz w:val="22"/>
                <w:szCs w:val="22"/>
              </w:rPr>
            </w:pPr>
          </w:p>
        </w:tc>
        <w:tc>
          <w:tcPr>
            <w:tcW w:w="3876" w:type="pct"/>
            <w:shd w:val="clear" w:color="auto" w:fill="FFCC00"/>
            <w:hideMark/>
          </w:tcPr>
          <w:p w:rsidR="00AC2377" w:rsidRPr="00A9781E" w:rsidRDefault="00AC2377" w:rsidP="00AC2377">
            <w:pPr>
              <w:ind w:left="186" w:hanging="168"/>
              <w:rPr>
                <w:sz w:val="22"/>
                <w:szCs w:val="22"/>
              </w:rPr>
            </w:pPr>
            <w:r w:rsidRPr="00A9781E">
              <w:rPr>
                <w:rStyle w:val="simple"/>
                <w:sz w:val="22"/>
                <w:szCs w:val="22"/>
              </w:rPr>
              <w:t>-</w:t>
            </w:r>
            <w:r w:rsidRPr="00A9781E">
              <w:rPr>
                <w:rStyle w:val="simple"/>
                <w:sz w:val="22"/>
                <w:szCs w:val="22"/>
              </w:rPr>
              <w:tab/>
              <w:t>Alternative might have non-SVHC properties but might be of concern at the workplace (e.g. higher flammability)</w:t>
            </w:r>
          </w:p>
        </w:tc>
      </w:tr>
      <w:tr w:rsidR="00AC2377" w:rsidRPr="00A9781E" w:rsidTr="00AC2377">
        <w:trPr>
          <w:tblHeader/>
          <w:jc w:val="center"/>
        </w:trPr>
        <w:tc>
          <w:tcPr>
            <w:tcW w:w="1124" w:type="pct"/>
            <w:vMerge/>
            <w:tcBorders>
              <w:top w:val="single" w:sz="12" w:space="0" w:color="000000"/>
            </w:tcBorders>
            <w:shd w:val="clear" w:color="auto" w:fill="99CC00"/>
            <w:vAlign w:val="center"/>
            <w:hideMark/>
          </w:tcPr>
          <w:p w:rsidR="00AC2377" w:rsidRPr="00A9781E" w:rsidRDefault="00AC2377" w:rsidP="00C45706">
            <w:pPr>
              <w:rPr>
                <w:sz w:val="22"/>
                <w:szCs w:val="22"/>
              </w:rPr>
            </w:pPr>
          </w:p>
        </w:tc>
        <w:tc>
          <w:tcPr>
            <w:tcW w:w="3876" w:type="pct"/>
            <w:shd w:val="clear" w:color="auto" w:fill="FFCC00"/>
            <w:hideMark/>
          </w:tcPr>
          <w:p w:rsidR="00AC2377" w:rsidRPr="00A9781E" w:rsidRDefault="00AC2377" w:rsidP="00AC2377">
            <w:pPr>
              <w:ind w:left="186" w:hanging="168"/>
              <w:rPr>
                <w:sz w:val="22"/>
                <w:szCs w:val="22"/>
              </w:rPr>
            </w:pPr>
            <w:r w:rsidRPr="00A9781E">
              <w:rPr>
                <w:rStyle w:val="simple"/>
                <w:sz w:val="22"/>
                <w:szCs w:val="22"/>
              </w:rPr>
              <w:t>-</w:t>
            </w:r>
            <w:r w:rsidRPr="00A9781E">
              <w:rPr>
                <w:rStyle w:val="simple"/>
                <w:sz w:val="22"/>
                <w:szCs w:val="22"/>
              </w:rPr>
              <w:tab/>
              <w:t>Substitution impossible because of missing alternatives (especially one-to-one substitution mostly not possible)</w:t>
            </w:r>
          </w:p>
        </w:tc>
      </w:tr>
      <w:tr w:rsidR="00AC2377" w:rsidRPr="00A9781E" w:rsidTr="00AC2377">
        <w:trPr>
          <w:tblHeader/>
          <w:jc w:val="center"/>
        </w:trPr>
        <w:tc>
          <w:tcPr>
            <w:tcW w:w="1124" w:type="pct"/>
            <w:vMerge/>
            <w:tcBorders>
              <w:top w:val="single" w:sz="12" w:space="0" w:color="000000"/>
            </w:tcBorders>
            <w:shd w:val="clear" w:color="auto" w:fill="99CC00"/>
            <w:vAlign w:val="center"/>
            <w:hideMark/>
          </w:tcPr>
          <w:p w:rsidR="00AC2377" w:rsidRPr="00A9781E" w:rsidRDefault="00AC2377" w:rsidP="00C45706">
            <w:pPr>
              <w:rPr>
                <w:sz w:val="22"/>
                <w:szCs w:val="22"/>
              </w:rPr>
            </w:pPr>
          </w:p>
        </w:tc>
        <w:tc>
          <w:tcPr>
            <w:tcW w:w="3876" w:type="pct"/>
            <w:shd w:val="clear" w:color="auto" w:fill="FFCC00"/>
            <w:hideMark/>
          </w:tcPr>
          <w:p w:rsidR="00AC2377" w:rsidRPr="00A9781E" w:rsidRDefault="00AC2377" w:rsidP="00AC2377">
            <w:pPr>
              <w:ind w:left="186" w:hanging="168"/>
              <w:rPr>
                <w:sz w:val="22"/>
                <w:szCs w:val="22"/>
              </w:rPr>
            </w:pPr>
            <w:r w:rsidRPr="00A9781E">
              <w:rPr>
                <w:rStyle w:val="simple"/>
                <w:sz w:val="22"/>
                <w:szCs w:val="22"/>
              </w:rPr>
              <w:t>-</w:t>
            </w:r>
            <w:r w:rsidRPr="00A9781E">
              <w:rPr>
                <w:rStyle w:val="simple"/>
                <w:sz w:val="22"/>
                <w:szCs w:val="22"/>
              </w:rPr>
              <w:tab/>
              <w:t xml:space="preserve">effectiveness of </w:t>
            </w:r>
            <w:proofErr w:type="spellStart"/>
            <w:r w:rsidRPr="00A9781E">
              <w:rPr>
                <w:rStyle w:val="simple"/>
                <w:sz w:val="22"/>
                <w:szCs w:val="22"/>
              </w:rPr>
              <w:t>prioritisation</w:t>
            </w:r>
            <w:proofErr w:type="spellEnd"/>
            <w:r w:rsidRPr="00A9781E">
              <w:rPr>
                <w:rStyle w:val="simple"/>
                <w:sz w:val="22"/>
                <w:szCs w:val="22"/>
              </w:rPr>
              <w:t xml:space="preserve"> criteria questionable</w:t>
            </w:r>
          </w:p>
        </w:tc>
      </w:tr>
      <w:tr w:rsidR="00AC2377" w:rsidRPr="00A9781E" w:rsidTr="00AC2377">
        <w:trPr>
          <w:tblHeader/>
          <w:jc w:val="center"/>
        </w:trPr>
        <w:tc>
          <w:tcPr>
            <w:tcW w:w="1124" w:type="pct"/>
            <w:vMerge/>
            <w:tcBorders>
              <w:top w:val="single" w:sz="12" w:space="0" w:color="000000"/>
            </w:tcBorders>
            <w:shd w:val="clear" w:color="auto" w:fill="99CC00"/>
            <w:vAlign w:val="center"/>
            <w:hideMark/>
          </w:tcPr>
          <w:p w:rsidR="00AC2377" w:rsidRPr="00A9781E" w:rsidRDefault="00AC2377" w:rsidP="00C45706">
            <w:pPr>
              <w:rPr>
                <w:sz w:val="22"/>
                <w:szCs w:val="22"/>
              </w:rPr>
            </w:pPr>
          </w:p>
        </w:tc>
        <w:tc>
          <w:tcPr>
            <w:tcW w:w="3876" w:type="pct"/>
            <w:shd w:val="clear" w:color="auto" w:fill="FFCC00"/>
            <w:hideMark/>
          </w:tcPr>
          <w:p w:rsidR="00AC2377" w:rsidRPr="00A9781E" w:rsidRDefault="00AC2377" w:rsidP="00AC2377">
            <w:pPr>
              <w:ind w:left="186" w:hanging="168"/>
              <w:rPr>
                <w:sz w:val="22"/>
                <w:szCs w:val="22"/>
              </w:rPr>
            </w:pPr>
            <w:r w:rsidRPr="00A9781E">
              <w:rPr>
                <w:rStyle w:val="simple"/>
                <w:sz w:val="22"/>
                <w:szCs w:val="22"/>
              </w:rPr>
              <w:t>-</w:t>
            </w:r>
            <w:r w:rsidRPr="00A9781E">
              <w:rPr>
                <w:rStyle w:val="simple"/>
                <w:sz w:val="22"/>
                <w:szCs w:val="22"/>
              </w:rPr>
              <w:tab/>
              <w:t xml:space="preserve">Even if socio-economic benefits outweigh the risks, a too short </w:t>
            </w:r>
            <w:proofErr w:type="spellStart"/>
            <w:r w:rsidRPr="00A9781E">
              <w:rPr>
                <w:rStyle w:val="simple"/>
                <w:sz w:val="22"/>
                <w:szCs w:val="22"/>
              </w:rPr>
              <w:t>authorisation</w:t>
            </w:r>
            <w:proofErr w:type="spellEnd"/>
            <w:r w:rsidRPr="00A9781E">
              <w:rPr>
                <w:rStyle w:val="simple"/>
                <w:sz w:val="22"/>
                <w:szCs w:val="22"/>
              </w:rPr>
              <w:t xml:space="preserve"> review period may influence planning uncertainties for industry negatively</w:t>
            </w:r>
          </w:p>
        </w:tc>
      </w:tr>
      <w:tr w:rsidR="00AC2377" w:rsidRPr="00A9781E" w:rsidTr="00AC2377">
        <w:trPr>
          <w:tblHeader/>
          <w:jc w:val="center"/>
        </w:trPr>
        <w:tc>
          <w:tcPr>
            <w:tcW w:w="1124" w:type="pct"/>
            <w:vMerge/>
            <w:tcBorders>
              <w:top w:val="single" w:sz="12" w:space="0" w:color="000000"/>
            </w:tcBorders>
            <w:shd w:val="clear" w:color="auto" w:fill="99CC00"/>
            <w:vAlign w:val="center"/>
            <w:hideMark/>
          </w:tcPr>
          <w:p w:rsidR="00AC2377" w:rsidRPr="00A9781E" w:rsidRDefault="00AC2377" w:rsidP="00C45706">
            <w:pPr>
              <w:rPr>
                <w:sz w:val="22"/>
                <w:szCs w:val="22"/>
              </w:rPr>
            </w:pPr>
          </w:p>
        </w:tc>
        <w:tc>
          <w:tcPr>
            <w:tcW w:w="3876" w:type="pct"/>
            <w:shd w:val="clear" w:color="auto" w:fill="FFCC00"/>
            <w:hideMark/>
          </w:tcPr>
          <w:p w:rsidR="00AC2377" w:rsidRPr="00A9781E" w:rsidRDefault="00AC2377" w:rsidP="00AC2377">
            <w:pPr>
              <w:ind w:left="186" w:hanging="168"/>
              <w:rPr>
                <w:sz w:val="22"/>
                <w:szCs w:val="22"/>
              </w:rPr>
            </w:pPr>
            <w:r w:rsidRPr="00A9781E">
              <w:rPr>
                <w:rStyle w:val="simple"/>
                <w:sz w:val="22"/>
                <w:szCs w:val="22"/>
              </w:rPr>
              <w:t>-</w:t>
            </w:r>
            <w:r w:rsidRPr="00A9781E">
              <w:rPr>
                <w:rStyle w:val="simple"/>
                <w:sz w:val="22"/>
                <w:szCs w:val="22"/>
              </w:rPr>
              <w:tab/>
            </w:r>
            <w:proofErr w:type="spellStart"/>
            <w:r w:rsidRPr="00A9781E">
              <w:rPr>
                <w:rStyle w:val="simple"/>
                <w:sz w:val="22"/>
                <w:szCs w:val="22"/>
              </w:rPr>
              <w:t>Authorisation</w:t>
            </w:r>
            <w:proofErr w:type="spellEnd"/>
            <w:r w:rsidRPr="00A9781E">
              <w:rPr>
                <w:rStyle w:val="simple"/>
                <w:sz w:val="22"/>
                <w:szCs w:val="22"/>
              </w:rPr>
              <w:t xml:space="preserve"> may be g</w:t>
            </w:r>
            <w:bookmarkStart w:id="0" w:name="_GoBack"/>
            <w:bookmarkEnd w:id="0"/>
            <w:r w:rsidRPr="00A9781E">
              <w:rPr>
                <w:rStyle w:val="simple"/>
                <w:sz w:val="22"/>
                <w:szCs w:val="22"/>
              </w:rPr>
              <w:t>ranted although substitution is available, because especially for SME an alternative may not be economically feasible</w:t>
            </w:r>
          </w:p>
        </w:tc>
      </w:tr>
    </w:tbl>
    <w:p w:rsidR="00AC2377" w:rsidRDefault="00AC2377" w:rsidP="00AC2377"/>
    <w:p w:rsidR="00CF4118" w:rsidRDefault="00CF4118"/>
    <w:p w:rsidR="00CF4118" w:rsidRDefault="00CF4118"/>
    <w:p w:rsidR="00783653" w:rsidRDefault="00783653"/>
    <w:p w:rsidR="00CF4118" w:rsidRDefault="00CF4118"/>
    <w:p w:rsidR="00CF4118" w:rsidRDefault="00CF4118"/>
    <w:p w:rsidR="00CF4118" w:rsidRDefault="00CF4118"/>
    <w:p w:rsidR="00CF4118" w:rsidRDefault="00CF4118"/>
    <w:sectPr w:rsidR="00CF4118" w:rsidSect="005C5C34">
      <w:pgSz w:w="16834" w:h="11909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EFA"/>
    <w:rsid w:val="00151233"/>
    <w:rsid w:val="001605C0"/>
    <w:rsid w:val="0018491B"/>
    <w:rsid w:val="00302F34"/>
    <w:rsid w:val="003237FE"/>
    <w:rsid w:val="00326275"/>
    <w:rsid w:val="00335918"/>
    <w:rsid w:val="00336E85"/>
    <w:rsid w:val="003647ED"/>
    <w:rsid w:val="00372D74"/>
    <w:rsid w:val="00521919"/>
    <w:rsid w:val="00541F5F"/>
    <w:rsid w:val="005807D0"/>
    <w:rsid w:val="005C5C34"/>
    <w:rsid w:val="006472F5"/>
    <w:rsid w:val="006944D5"/>
    <w:rsid w:val="006C409F"/>
    <w:rsid w:val="00783653"/>
    <w:rsid w:val="00796226"/>
    <w:rsid w:val="007B42A5"/>
    <w:rsid w:val="007E2CC0"/>
    <w:rsid w:val="009124E6"/>
    <w:rsid w:val="009423FD"/>
    <w:rsid w:val="0094718C"/>
    <w:rsid w:val="00A75AE8"/>
    <w:rsid w:val="00A9781E"/>
    <w:rsid w:val="00AC2377"/>
    <w:rsid w:val="00B90EFA"/>
    <w:rsid w:val="00BD63C6"/>
    <w:rsid w:val="00C07693"/>
    <w:rsid w:val="00C22507"/>
    <w:rsid w:val="00C50FBD"/>
    <w:rsid w:val="00C5316C"/>
    <w:rsid w:val="00CF4118"/>
    <w:rsid w:val="00D3247B"/>
    <w:rsid w:val="00D637AE"/>
    <w:rsid w:val="00D91B0C"/>
    <w:rsid w:val="00D97A35"/>
    <w:rsid w:val="00DE0279"/>
    <w:rsid w:val="00E304DA"/>
    <w:rsid w:val="00EB605F"/>
    <w:rsid w:val="00F23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B90EFA"/>
    <w:pPr>
      <w:spacing w:after="100" w:afterAutospacing="1"/>
    </w:pPr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old">
    <w:name w:val="bold"/>
    <w:rsid w:val="00B90EFA"/>
    <w:rPr>
      <w:b/>
      <w:bCs/>
    </w:rPr>
  </w:style>
  <w:style w:type="paragraph" w:customStyle="1" w:styleId="float">
    <w:name w:val="float"/>
    <w:basedOn w:val="Standard"/>
    <w:rsid w:val="00B90EFA"/>
    <w:pPr>
      <w:spacing w:before="100" w:beforeAutospacing="1"/>
    </w:pPr>
  </w:style>
  <w:style w:type="character" w:customStyle="1" w:styleId="Caption1">
    <w:name w:val="Caption1"/>
    <w:rsid w:val="00B90EFA"/>
  </w:style>
  <w:style w:type="character" w:customStyle="1" w:styleId="simple">
    <w:name w:val="simple"/>
    <w:rsid w:val="00B90EFA"/>
  </w:style>
  <w:style w:type="paragraph" w:styleId="StandardWeb">
    <w:name w:val="Normal (Web)"/>
    <w:basedOn w:val="Standard"/>
    <w:uiPriority w:val="99"/>
    <w:unhideWhenUsed/>
    <w:rsid w:val="00BD63C6"/>
    <w:pPr>
      <w:spacing w:before="100" w:beforeAutospacing="1"/>
    </w:pPr>
  </w:style>
  <w:style w:type="paragraph" w:styleId="Listenabsatz">
    <w:name w:val="List Paragraph"/>
    <w:basedOn w:val="Standard"/>
    <w:uiPriority w:val="34"/>
    <w:qFormat/>
    <w:rsid w:val="00D91B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B90EFA"/>
    <w:pPr>
      <w:spacing w:after="100" w:afterAutospacing="1"/>
    </w:pPr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old">
    <w:name w:val="bold"/>
    <w:rsid w:val="00B90EFA"/>
    <w:rPr>
      <w:b/>
      <w:bCs/>
    </w:rPr>
  </w:style>
  <w:style w:type="paragraph" w:customStyle="1" w:styleId="float">
    <w:name w:val="float"/>
    <w:basedOn w:val="Standard"/>
    <w:rsid w:val="00B90EFA"/>
    <w:pPr>
      <w:spacing w:before="100" w:beforeAutospacing="1"/>
    </w:pPr>
  </w:style>
  <w:style w:type="character" w:customStyle="1" w:styleId="Caption1">
    <w:name w:val="Caption1"/>
    <w:rsid w:val="00B90EFA"/>
  </w:style>
  <w:style w:type="character" w:customStyle="1" w:styleId="simple">
    <w:name w:val="simple"/>
    <w:rsid w:val="00B90EFA"/>
  </w:style>
  <w:style w:type="paragraph" w:styleId="StandardWeb">
    <w:name w:val="Normal (Web)"/>
    <w:basedOn w:val="Standard"/>
    <w:uiPriority w:val="99"/>
    <w:unhideWhenUsed/>
    <w:rsid w:val="00BD63C6"/>
    <w:pPr>
      <w:spacing w:before="100" w:beforeAutospacing="1"/>
    </w:pPr>
  </w:style>
  <w:style w:type="paragraph" w:styleId="Listenabsatz">
    <w:name w:val="List Paragraph"/>
    <w:basedOn w:val="Standard"/>
    <w:uiPriority w:val="34"/>
    <w:qFormat/>
    <w:rsid w:val="00D91B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420C0A-730E-4FCE-B1B4-54AF42CBF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BAuA</Company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Hammerschmidt, Thea</dc:creator>
  <cp:lastModifiedBy>Hammerschmidt, Thea</cp:lastModifiedBy>
  <cp:revision>4</cp:revision>
  <dcterms:created xsi:type="dcterms:W3CDTF">2014-03-07T12:05:00Z</dcterms:created>
  <dcterms:modified xsi:type="dcterms:W3CDTF">2014-03-07T12:09:00Z</dcterms:modified>
</cp:coreProperties>
</file>