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076" w:type="dxa"/>
        <w:tblLook w:val="04A0" w:firstRow="1" w:lastRow="0" w:firstColumn="1" w:lastColumn="0" w:noHBand="0" w:noVBand="1"/>
      </w:tblPr>
      <w:tblGrid>
        <w:gridCol w:w="2615"/>
        <w:gridCol w:w="2615"/>
        <w:gridCol w:w="2615"/>
        <w:gridCol w:w="2615"/>
        <w:gridCol w:w="2616"/>
      </w:tblGrid>
      <w:tr w:rsidR="00AD3A7D" w14:paraId="1D3B063B" w14:textId="77777777" w:rsidTr="00AD3A7D">
        <w:trPr>
          <w:trHeight w:val="1240"/>
        </w:trPr>
        <w:tc>
          <w:tcPr>
            <w:tcW w:w="2615" w:type="dxa"/>
            <w:tcBorders>
              <w:bottom w:val="single" w:sz="4" w:space="0" w:color="auto"/>
              <w:right w:val="nil"/>
            </w:tcBorders>
          </w:tcPr>
          <w:p w14:paraId="246A9BC1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Response Parameter</w:t>
            </w:r>
          </w:p>
          <w:p w14:paraId="28E5EF31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tcBorders>
              <w:left w:val="nil"/>
              <w:bottom w:val="single" w:sz="4" w:space="0" w:color="auto"/>
              <w:right w:val="nil"/>
            </w:tcBorders>
          </w:tcPr>
          <w:p w14:paraId="1815E77F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Control</w:t>
            </w:r>
          </w:p>
        </w:tc>
        <w:tc>
          <w:tcPr>
            <w:tcW w:w="2615" w:type="dxa"/>
            <w:tcBorders>
              <w:left w:val="nil"/>
              <w:bottom w:val="single" w:sz="4" w:space="0" w:color="auto"/>
              <w:right w:val="nil"/>
            </w:tcBorders>
          </w:tcPr>
          <w:p w14:paraId="1B5EAB8F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Fall Burn</w:t>
            </w:r>
          </w:p>
        </w:tc>
        <w:tc>
          <w:tcPr>
            <w:tcW w:w="2615" w:type="dxa"/>
            <w:tcBorders>
              <w:left w:val="nil"/>
              <w:bottom w:val="single" w:sz="4" w:space="0" w:color="auto"/>
              <w:right w:val="nil"/>
            </w:tcBorders>
          </w:tcPr>
          <w:p w14:paraId="19E85E2D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Spring Burn</w:t>
            </w:r>
          </w:p>
        </w:tc>
        <w:tc>
          <w:tcPr>
            <w:tcW w:w="2616" w:type="dxa"/>
            <w:tcBorders>
              <w:left w:val="nil"/>
              <w:bottom w:val="single" w:sz="4" w:space="0" w:color="auto"/>
            </w:tcBorders>
          </w:tcPr>
          <w:p w14:paraId="027193EE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Summer Burn</w:t>
            </w:r>
          </w:p>
          <w:p w14:paraId="5A44D20C" w14:textId="77777777" w:rsidR="00AD3A7D" w:rsidRPr="00AD3A7D" w:rsidRDefault="00AD3A7D" w:rsidP="006A6F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D3A7D" w14:paraId="0F8A5424" w14:textId="77777777" w:rsidTr="00AD3A7D">
        <w:trPr>
          <w:trHeight w:val="843"/>
        </w:trPr>
        <w:tc>
          <w:tcPr>
            <w:tcW w:w="2615" w:type="dxa"/>
            <w:tcBorders>
              <w:bottom w:val="nil"/>
              <w:right w:val="nil"/>
            </w:tcBorders>
          </w:tcPr>
          <w:p w14:paraId="7C6AD72D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Species Richness</w:t>
            </w:r>
          </w:p>
          <w:p w14:paraId="29CDE012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tcBorders>
              <w:left w:val="nil"/>
              <w:bottom w:val="nil"/>
              <w:right w:val="nil"/>
            </w:tcBorders>
          </w:tcPr>
          <w:p w14:paraId="5A19DCCB" w14:textId="77777777" w:rsidR="00AD3A7D" w:rsidRPr="004C1B1B" w:rsidRDefault="00AD3A7D" w:rsidP="006A6F13">
            <w:pPr>
              <w:jc w:val="center"/>
              <w:rPr>
                <w:rFonts w:cstheme="majorBidi"/>
                <w:bCs/>
                <w:color w:val="243F60" w:themeColor="accent1" w:themeShade="7F"/>
                <w:sz w:val="28"/>
                <w:szCs w:val="28"/>
              </w:rPr>
            </w:pPr>
            <w:r w:rsidRPr="004C1B1B">
              <w:rPr>
                <w:bCs/>
                <w:sz w:val="28"/>
                <w:szCs w:val="28"/>
              </w:rPr>
              <w:t xml:space="preserve">4.68 </w:t>
            </w:r>
            <w:r w:rsidRPr="004C1B1B">
              <w:rPr>
                <w:rFonts w:eastAsia="ＭＳ ゴシック"/>
                <w:color w:val="000000"/>
                <w:sz w:val="28"/>
                <w:szCs w:val="28"/>
              </w:rPr>
              <w:t>± 0.8</w:t>
            </w:r>
          </w:p>
        </w:tc>
        <w:tc>
          <w:tcPr>
            <w:tcW w:w="2615" w:type="dxa"/>
            <w:tcBorders>
              <w:left w:val="nil"/>
              <w:bottom w:val="nil"/>
              <w:right w:val="nil"/>
            </w:tcBorders>
          </w:tcPr>
          <w:p w14:paraId="2D3831D0" w14:textId="77777777" w:rsidR="00AD3A7D" w:rsidRPr="004C1B1B" w:rsidRDefault="00AD3A7D" w:rsidP="006A6F13">
            <w:pPr>
              <w:jc w:val="center"/>
              <w:rPr>
                <w:rFonts w:cstheme="majorBidi"/>
                <w:bCs/>
                <w:color w:val="243F60" w:themeColor="accent1" w:themeShade="7F"/>
                <w:sz w:val="28"/>
                <w:szCs w:val="28"/>
              </w:rPr>
            </w:pPr>
            <w:r w:rsidRPr="004C1B1B">
              <w:rPr>
                <w:bCs/>
                <w:sz w:val="28"/>
                <w:szCs w:val="28"/>
              </w:rPr>
              <w:t xml:space="preserve">5.24 </w:t>
            </w:r>
            <w:r w:rsidRPr="004C1B1B">
              <w:rPr>
                <w:rFonts w:eastAsia="ＭＳ ゴシック"/>
                <w:color w:val="000000"/>
                <w:sz w:val="28"/>
                <w:szCs w:val="28"/>
              </w:rPr>
              <w:t>± 0.9</w:t>
            </w:r>
          </w:p>
        </w:tc>
        <w:tc>
          <w:tcPr>
            <w:tcW w:w="2615" w:type="dxa"/>
            <w:tcBorders>
              <w:left w:val="nil"/>
              <w:bottom w:val="nil"/>
              <w:right w:val="nil"/>
            </w:tcBorders>
          </w:tcPr>
          <w:p w14:paraId="5FDBB8C6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3.82 ± 0.9</w:t>
            </w:r>
          </w:p>
        </w:tc>
        <w:tc>
          <w:tcPr>
            <w:tcW w:w="2616" w:type="dxa"/>
            <w:tcBorders>
              <w:left w:val="nil"/>
              <w:bottom w:val="nil"/>
            </w:tcBorders>
          </w:tcPr>
          <w:p w14:paraId="0B4C7753" w14:textId="77777777" w:rsidR="00AD3A7D" w:rsidRPr="00AD3A7D" w:rsidRDefault="00AD3A7D" w:rsidP="006A6F13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7.25 ± 1.3</w:t>
            </w:r>
          </w:p>
        </w:tc>
      </w:tr>
      <w:tr w:rsidR="00AD3A7D" w14:paraId="4EB1786B" w14:textId="77777777" w:rsidTr="00AD3A7D">
        <w:trPr>
          <w:trHeight w:val="1279"/>
        </w:trPr>
        <w:tc>
          <w:tcPr>
            <w:tcW w:w="2615" w:type="dxa"/>
            <w:tcBorders>
              <w:top w:val="nil"/>
              <w:bottom w:val="nil"/>
              <w:right w:val="nil"/>
            </w:tcBorders>
          </w:tcPr>
          <w:p w14:paraId="48CAAA44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Native Species Richness</w:t>
            </w:r>
          </w:p>
          <w:p w14:paraId="21F2CD98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AC6005B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1.58 ± 0.5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9088F7C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bookmarkStart w:id="0" w:name="_GoBack"/>
            <w:bookmarkEnd w:id="0"/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2.63 ± 0.6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875353A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2.27 ± 0.6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</w:tcBorders>
          </w:tcPr>
          <w:p w14:paraId="4387E037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3.7 ± 0.8</w:t>
            </w:r>
          </w:p>
        </w:tc>
      </w:tr>
      <w:tr w:rsidR="00AD3A7D" w14:paraId="75F63704" w14:textId="77777777" w:rsidTr="00AD3A7D">
        <w:trPr>
          <w:trHeight w:val="1279"/>
        </w:trPr>
        <w:tc>
          <w:tcPr>
            <w:tcW w:w="2615" w:type="dxa"/>
            <w:tcBorders>
              <w:top w:val="nil"/>
              <w:bottom w:val="nil"/>
              <w:right w:val="nil"/>
            </w:tcBorders>
          </w:tcPr>
          <w:p w14:paraId="096583EE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Proportion Native Species</w:t>
            </w:r>
          </w:p>
          <w:p w14:paraId="1682F9E3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9B92453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22.9 ± 0.1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EB35A19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53.4 ± 0.2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19431AC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52.7 ± 0.2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</w:tcBorders>
          </w:tcPr>
          <w:p w14:paraId="7D425CFC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31.6 ± 0.2</w:t>
            </w:r>
          </w:p>
        </w:tc>
      </w:tr>
      <w:tr w:rsidR="00AD3A7D" w14:paraId="51D10FA0" w14:textId="77777777" w:rsidTr="00AD3A7D">
        <w:trPr>
          <w:trHeight w:val="1279"/>
        </w:trPr>
        <w:tc>
          <w:tcPr>
            <w:tcW w:w="2615" w:type="dxa"/>
            <w:tcBorders>
              <w:top w:val="nil"/>
              <w:bottom w:val="nil"/>
              <w:right w:val="nil"/>
            </w:tcBorders>
          </w:tcPr>
          <w:p w14:paraId="01A97DE2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Proportion Native Species Richness</w:t>
            </w:r>
          </w:p>
          <w:p w14:paraId="5E4EEA17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4776DE5" w14:textId="77777777" w:rsidR="00AD3A7D" w:rsidRPr="00AD3A7D" w:rsidRDefault="00AD3A7D" w:rsidP="006A6F13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28.2 ± 0.1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4BF9A98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54.8 ± 0.1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59AA019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57.9 ± 0.1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</w:tcBorders>
          </w:tcPr>
          <w:p w14:paraId="17FCA19F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52.7 ± 0.2</w:t>
            </w:r>
          </w:p>
        </w:tc>
      </w:tr>
      <w:tr w:rsidR="00AD3A7D" w14:paraId="053305CD" w14:textId="77777777" w:rsidTr="00AD3A7D">
        <w:trPr>
          <w:trHeight w:val="1686"/>
        </w:trPr>
        <w:tc>
          <w:tcPr>
            <w:tcW w:w="2615" w:type="dxa"/>
            <w:tcBorders>
              <w:top w:val="nil"/>
              <w:bottom w:val="nil"/>
              <w:right w:val="nil"/>
            </w:tcBorders>
          </w:tcPr>
          <w:p w14:paraId="5C51562C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Percent Shrub/Vine Cover</w:t>
            </w:r>
          </w:p>
          <w:p w14:paraId="3763C926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A28979E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34.3 ± 8.5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24D2F96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19.0 ± 9.6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6276741" w14:textId="77777777" w:rsidR="00AD3A7D" w:rsidRPr="00AD3A7D" w:rsidRDefault="00AD3A7D" w:rsidP="006A6F13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21.5 ± 10.2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</w:tcBorders>
          </w:tcPr>
          <w:p w14:paraId="60B119AE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3.4 ± 14.3</w:t>
            </w:r>
          </w:p>
        </w:tc>
      </w:tr>
      <w:tr w:rsidR="00AD3A7D" w14:paraId="1647533E" w14:textId="77777777" w:rsidTr="00AD3A7D">
        <w:trPr>
          <w:trHeight w:val="843"/>
        </w:trPr>
        <w:tc>
          <w:tcPr>
            <w:tcW w:w="2615" w:type="dxa"/>
            <w:tcBorders>
              <w:top w:val="nil"/>
              <w:right w:val="nil"/>
            </w:tcBorders>
          </w:tcPr>
          <w:p w14:paraId="117237EE" w14:textId="77777777" w:rsidR="00AD3A7D" w:rsidRPr="00AD3A7D" w:rsidRDefault="00AD3A7D" w:rsidP="006A6F13">
            <w:pPr>
              <w:rPr>
                <w:b/>
                <w:bCs/>
                <w:sz w:val="28"/>
                <w:szCs w:val="28"/>
              </w:rPr>
            </w:pPr>
            <w:r w:rsidRPr="00AD3A7D">
              <w:rPr>
                <w:b/>
                <w:bCs/>
                <w:sz w:val="28"/>
                <w:szCs w:val="28"/>
              </w:rPr>
              <w:t>Percent Canopy Cover</w:t>
            </w:r>
          </w:p>
        </w:tc>
        <w:tc>
          <w:tcPr>
            <w:tcW w:w="2615" w:type="dxa"/>
            <w:tcBorders>
              <w:top w:val="nil"/>
              <w:left w:val="nil"/>
              <w:right w:val="nil"/>
            </w:tcBorders>
          </w:tcPr>
          <w:p w14:paraId="65D8709D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59.5 ± 3.9</w:t>
            </w:r>
          </w:p>
        </w:tc>
        <w:tc>
          <w:tcPr>
            <w:tcW w:w="2615" w:type="dxa"/>
            <w:tcBorders>
              <w:top w:val="nil"/>
              <w:left w:val="nil"/>
              <w:right w:val="nil"/>
            </w:tcBorders>
          </w:tcPr>
          <w:p w14:paraId="3B6517FE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63.6 ± 6.5</w:t>
            </w:r>
          </w:p>
        </w:tc>
        <w:tc>
          <w:tcPr>
            <w:tcW w:w="2615" w:type="dxa"/>
            <w:tcBorders>
              <w:top w:val="nil"/>
              <w:left w:val="nil"/>
              <w:right w:val="nil"/>
            </w:tcBorders>
          </w:tcPr>
          <w:p w14:paraId="305646C3" w14:textId="77777777" w:rsidR="00AD3A7D" w:rsidRPr="00AD3A7D" w:rsidRDefault="00AD3A7D" w:rsidP="006A6F13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71.3 ± 6.5</w:t>
            </w:r>
          </w:p>
        </w:tc>
        <w:tc>
          <w:tcPr>
            <w:tcW w:w="2616" w:type="dxa"/>
            <w:tcBorders>
              <w:top w:val="nil"/>
              <w:left w:val="nil"/>
            </w:tcBorders>
          </w:tcPr>
          <w:p w14:paraId="78E5785C" w14:textId="77777777" w:rsidR="00AD3A7D" w:rsidRPr="00AD3A7D" w:rsidRDefault="00AD3A7D" w:rsidP="006A6F13">
            <w:pPr>
              <w:jc w:val="center"/>
              <w:rPr>
                <w:rFonts w:cstheme="majorBidi"/>
                <w:b/>
                <w:bCs/>
                <w:color w:val="243F60" w:themeColor="accent1" w:themeShade="7F"/>
                <w:sz w:val="28"/>
                <w:szCs w:val="28"/>
              </w:rPr>
            </w:pPr>
            <w:r w:rsidRPr="00AD3A7D">
              <w:rPr>
                <w:rFonts w:eastAsia="ＭＳ ゴシック"/>
                <w:color w:val="000000"/>
                <w:sz w:val="28"/>
                <w:szCs w:val="28"/>
              </w:rPr>
              <w:t>71.6 ± 6.6</w:t>
            </w:r>
          </w:p>
        </w:tc>
      </w:tr>
    </w:tbl>
    <w:p w14:paraId="495121B4" w14:textId="77777777" w:rsidR="00FA31B3" w:rsidRDefault="00FA31B3"/>
    <w:sectPr w:rsidR="00FA31B3" w:rsidSect="00AD3A7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7D"/>
    <w:rsid w:val="004C1B1B"/>
    <w:rsid w:val="00AD3A7D"/>
    <w:rsid w:val="00FA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C166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7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A7D"/>
    <w:rPr>
      <w:rFonts w:ascii="Cambria" w:eastAsia="ＭＳ 明朝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7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A7D"/>
    <w:rPr>
      <w:rFonts w:ascii="Cambria" w:eastAsia="ＭＳ 明朝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</Words>
  <Characters>416</Characters>
  <Application>Microsoft Macintosh Word</Application>
  <DocSecurity>0</DocSecurity>
  <Lines>3</Lines>
  <Paragraphs>1</Paragraphs>
  <ScaleCrop>false</ScaleCrop>
  <Company>California State University, Chico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Hankins</dc:creator>
  <cp:keywords/>
  <dc:description/>
  <cp:lastModifiedBy>Don Hankins</cp:lastModifiedBy>
  <cp:revision>2</cp:revision>
  <dcterms:created xsi:type="dcterms:W3CDTF">2013-05-01T05:29:00Z</dcterms:created>
  <dcterms:modified xsi:type="dcterms:W3CDTF">2013-07-07T22:03:00Z</dcterms:modified>
</cp:coreProperties>
</file>