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272" w:rsidRDefault="00715272" w:rsidP="0071527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SUPPLEMENTARY INFORMATIONS</w:t>
      </w:r>
    </w:p>
    <w:p w:rsidR="00715272" w:rsidRDefault="00715272" w:rsidP="00715272">
      <w:pPr>
        <w:rPr>
          <w:rFonts w:ascii="Times New Roman" w:hAnsi="Times New Roman"/>
          <w:b/>
        </w:rPr>
      </w:pPr>
    </w:p>
    <w:p w:rsidR="004715B3" w:rsidRPr="004715B3" w:rsidRDefault="004715B3" w:rsidP="004715B3">
      <w:pPr>
        <w:pStyle w:val="Authors"/>
        <w:spacing w:line="276" w:lineRule="auto"/>
        <w:rPr>
          <w:rFonts w:ascii="Times New Roman" w:hAnsi="Times New Roman"/>
          <w:b/>
          <w:color w:val="000000"/>
          <w:kern w:val="28"/>
          <w:sz w:val="28"/>
          <w:szCs w:val="28"/>
        </w:rPr>
      </w:pPr>
      <w:r w:rsidRPr="004715B3">
        <w:rPr>
          <w:rFonts w:ascii="Times New Roman" w:hAnsi="Times New Roman"/>
          <w:b/>
          <w:color w:val="000000"/>
          <w:kern w:val="28"/>
          <w:sz w:val="28"/>
          <w:szCs w:val="28"/>
        </w:rPr>
        <w:t>Identification of the factors affecting co-localization precision for quantitative multicolor localization microscopy</w:t>
      </w:r>
    </w:p>
    <w:p w:rsidR="00FD5001" w:rsidRPr="004715B3" w:rsidRDefault="00FD5001" w:rsidP="004715B3">
      <w:pPr>
        <w:spacing w:line="276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D5001" w:rsidRPr="00CF3AAA" w:rsidRDefault="00FD5001" w:rsidP="00715272">
      <w:pPr>
        <w:rPr>
          <w:rFonts w:ascii="Times New Roman" w:hAnsi="Times New Roman"/>
          <w:b/>
        </w:rPr>
      </w:pPr>
    </w:p>
    <w:p w:rsidR="00715272" w:rsidRPr="00277ABD" w:rsidRDefault="00715272" w:rsidP="00715272">
      <w:pPr>
        <w:rPr>
          <w:rFonts w:ascii="Times New Roman" w:hAnsi="Times New Roman"/>
          <w:i/>
        </w:rPr>
      </w:pPr>
      <w:r w:rsidRPr="00277ABD">
        <w:rPr>
          <w:rFonts w:ascii="Times New Roman" w:hAnsi="Times New Roman"/>
          <w:i/>
        </w:rPr>
        <w:t>Paolo Annibale, Marco Scarselli, Mattia Greco</w:t>
      </w:r>
      <w:r w:rsidR="00FD5001">
        <w:rPr>
          <w:rFonts w:ascii="Times New Roman" w:hAnsi="Times New Roman"/>
          <w:i/>
        </w:rPr>
        <w:t xml:space="preserve"> and </w:t>
      </w:r>
      <w:r w:rsidRPr="00277ABD">
        <w:rPr>
          <w:rFonts w:ascii="Times New Roman" w:hAnsi="Times New Roman"/>
          <w:i/>
        </w:rPr>
        <w:t>Aleksandra Radenovic</w:t>
      </w:r>
    </w:p>
    <w:p w:rsidR="00715272" w:rsidRDefault="00715272" w:rsidP="00715272">
      <w:pPr>
        <w:rPr>
          <w:rFonts w:ascii="Times New Roman" w:hAnsi="Times New Roman"/>
          <w:b/>
        </w:rPr>
      </w:pPr>
    </w:p>
    <w:p w:rsidR="00715272" w:rsidRDefault="00715272" w:rsidP="00715272"/>
    <w:p w:rsidR="00E43615" w:rsidRDefault="00E43615" w:rsidP="00E43615">
      <w:pPr>
        <w:pStyle w:val="BodyText1"/>
      </w:pPr>
    </w:p>
    <w:p w:rsidR="00905D3B" w:rsidRDefault="00905D3B">
      <w:pPr>
        <w:suppressAutoHyphens w:val="0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15272" w:rsidRDefault="00715272">
      <w:pPr>
        <w:suppressAutoHyphens w:val="0"/>
        <w:spacing w:line="240" w:lineRule="auto"/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1"/>
      </w:tblGrid>
      <w:tr w:rsidR="00BE6920">
        <w:trPr>
          <w:trHeight w:val="6237"/>
        </w:trPr>
        <w:tc>
          <w:tcPr>
            <w:tcW w:w="8511" w:type="dxa"/>
          </w:tcPr>
          <w:p w:rsidR="00BE6920" w:rsidRDefault="00715272" w:rsidP="006A1F71">
            <w:pPr>
              <w:pStyle w:val="Figurecaptions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5265420" cy="34893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348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920">
        <w:tc>
          <w:tcPr>
            <w:tcW w:w="8511" w:type="dxa"/>
          </w:tcPr>
          <w:p w:rsidR="00BE6920" w:rsidRDefault="00BE6920" w:rsidP="00BE6920">
            <w:pPr>
              <w:pStyle w:val="Figurecaptions"/>
              <w:jc w:val="both"/>
            </w:pPr>
            <w:r>
              <w:rPr>
                <w:b/>
                <w:sz w:val="24"/>
                <w:szCs w:val="24"/>
              </w:rPr>
              <w:t>SI Figure 1</w:t>
            </w:r>
            <w:r>
              <w:rPr>
                <w:b/>
              </w:rPr>
              <w:t xml:space="preserve">. </w:t>
            </w:r>
            <w:r>
              <w:t xml:space="preserve">Registration protocol. </w:t>
            </w:r>
            <w:r w:rsidR="00235965" w:rsidRPr="00652F03">
              <w:rPr>
                <w:b/>
              </w:rPr>
              <w:t>(</w:t>
            </w:r>
            <w:r w:rsidRPr="00BE6920">
              <w:rPr>
                <w:b/>
              </w:rPr>
              <w:t>a)</w:t>
            </w:r>
            <w:r>
              <w:t xml:space="preserve"> Dual-color image of the grid obtained by integrating the images of a fiducial fluorescent bead scanned across a square matrix of approximately 10 </w:t>
            </w:r>
            <w:proofErr w:type="spellStart"/>
            <w:r>
              <w:t>μm</w:t>
            </w:r>
            <w:proofErr w:type="spellEnd"/>
            <w:r>
              <w:t xml:space="preserve"> side. </w:t>
            </w:r>
            <w:r w:rsidR="00235965" w:rsidRPr="00652F03">
              <w:rPr>
                <w:b/>
              </w:rPr>
              <w:t>(</w:t>
            </w:r>
            <w:r w:rsidRPr="00BE6920">
              <w:rPr>
                <w:b/>
              </w:rPr>
              <w:t xml:space="preserve">b) </w:t>
            </w:r>
            <w:r>
              <w:t xml:space="preserve">Average localization precision of the individual fiducial nanoparticles as a function of the number of integrated frames (equivalent to multiples of the exposure time). </w:t>
            </w:r>
            <w:r w:rsidR="00235965" w:rsidRPr="00652F03">
              <w:rPr>
                <w:b/>
              </w:rPr>
              <w:t>(</w:t>
            </w:r>
            <w:r w:rsidRPr="00BE6920">
              <w:rPr>
                <w:b/>
              </w:rPr>
              <w:t>c)</w:t>
            </w:r>
            <w:r>
              <w:t xml:space="preserve"> Average Fiducial Registration Error following the Local Weighted Mean mapping of all the coordinates of the fiducial marker in the red </w:t>
            </w:r>
            <w:r w:rsidRPr="00BE6920">
              <w:t>channel and subtraction from the corresponding coordinates in the green.</w:t>
            </w:r>
          </w:p>
        </w:tc>
      </w:tr>
      <w:tr w:rsidR="007C4EAC">
        <w:trPr>
          <w:trHeight w:val="6237"/>
        </w:trPr>
        <w:tc>
          <w:tcPr>
            <w:tcW w:w="8511" w:type="dxa"/>
          </w:tcPr>
          <w:p w:rsidR="007C4EAC" w:rsidRDefault="004D324C" w:rsidP="0030197A">
            <w:pPr>
              <w:pStyle w:val="Figurecaptions"/>
              <w:jc w:val="center"/>
            </w:pPr>
            <w:r>
              <w:rPr>
                <w:noProof/>
                <w:lang w:val="en-GB"/>
              </w:rPr>
              <w:lastRenderedPageBreak/>
              <w:drawing>
                <wp:inline distT="0" distB="0" distL="0" distR="0">
                  <wp:extent cx="4497070" cy="457898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070" cy="457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EAC">
        <w:tc>
          <w:tcPr>
            <w:tcW w:w="8511" w:type="dxa"/>
          </w:tcPr>
          <w:p w:rsidR="007C4EAC" w:rsidRDefault="007C4EAC" w:rsidP="005275EE">
            <w:pPr>
              <w:pStyle w:val="Figurecaptions"/>
              <w:jc w:val="both"/>
            </w:pPr>
            <w:r>
              <w:rPr>
                <w:b/>
                <w:sz w:val="24"/>
                <w:szCs w:val="24"/>
              </w:rPr>
              <w:t>SI Figure 2</w:t>
            </w:r>
            <w:r w:rsidR="004D324C">
              <w:rPr>
                <w:b/>
                <w:sz w:val="24"/>
                <w:szCs w:val="24"/>
              </w:rPr>
              <w:t>.</w:t>
            </w:r>
            <w:r>
              <w:rPr>
                <w:b/>
              </w:rPr>
              <w:t xml:space="preserve"> </w:t>
            </w:r>
            <w:r w:rsidR="005275EE">
              <w:t>Schematic of the protocol employed in a dual-color imaging experiment</w:t>
            </w:r>
            <w:r w:rsidR="004D324C">
              <w:t xml:space="preserve"> applicable to any laboratory or commercial loca</w:t>
            </w:r>
            <w:r w:rsidR="007F264C">
              <w:t>lization microscopy measurement</w:t>
            </w:r>
            <w:r w:rsidR="004D324C">
              <w:t xml:space="preserve">. </w:t>
            </w:r>
          </w:p>
        </w:tc>
      </w:tr>
    </w:tbl>
    <w:p w:rsidR="00BE6920" w:rsidRDefault="00BE6920" w:rsidP="00BE6920">
      <w:pPr>
        <w:pStyle w:val="BodyText1"/>
      </w:pPr>
    </w:p>
    <w:p w:rsidR="00BE6920" w:rsidRDefault="00BE6920">
      <w:pPr>
        <w:suppressAutoHyphens w:val="0"/>
        <w:spacing w:line="240" w:lineRule="auto"/>
        <w:rPr>
          <w:rFonts w:ascii="Times New Roman" w:hAnsi="Times New Roman"/>
        </w:r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1"/>
      </w:tblGrid>
      <w:tr w:rsidR="00BE6920">
        <w:trPr>
          <w:trHeight w:val="6237"/>
        </w:trPr>
        <w:tc>
          <w:tcPr>
            <w:tcW w:w="8511" w:type="dxa"/>
          </w:tcPr>
          <w:p w:rsidR="00BE6920" w:rsidRDefault="00BE6920" w:rsidP="0030197A">
            <w:pPr>
              <w:pStyle w:val="Figurecaptions"/>
              <w:jc w:val="center"/>
            </w:pPr>
            <w:r>
              <w:rPr>
                <w:noProof/>
                <w:lang w:val="en-GB"/>
              </w:rPr>
              <w:lastRenderedPageBreak/>
              <w:drawing>
                <wp:inline distT="0" distB="0" distL="0" distR="0">
                  <wp:extent cx="4552125" cy="3783724"/>
                  <wp:effectExtent l="0" t="0" r="127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6522" cy="3787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920">
        <w:tc>
          <w:tcPr>
            <w:tcW w:w="8511" w:type="dxa"/>
          </w:tcPr>
          <w:p w:rsidR="00BE6920" w:rsidRDefault="00BE6920" w:rsidP="00235965">
            <w:pPr>
              <w:pStyle w:val="Figurecaptions"/>
              <w:jc w:val="both"/>
            </w:pPr>
            <w:r>
              <w:rPr>
                <w:b/>
                <w:sz w:val="24"/>
                <w:szCs w:val="24"/>
              </w:rPr>
              <w:t>SI Figure 3</w:t>
            </w:r>
            <w:r>
              <w:rPr>
                <w:b/>
              </w:rPr>
              <w:t xml:space="preserve">. </w:t>
            </w:r>
            <w:r>
              <w:t>Measurement of the lateral drift. Upper graph: absolute drift, in the red and green channel, of one fiducial nanoparticle in a mEos2-</w:t>
            </w:r>
            <w:r w:rsidR="00235965">
              <w:t>ps</w:t>
            </w:r>
            <w:r>
              <w:t xml:space="preserve">CFP2 sample. Bottom graph: relative drift in the x and y directions. Lower inset: scatter plot of the residual offset between the green and red channel after approximately 520 s from the </w:t>
            </w:r>
            <w:r w:rsidRPr="00BE6920">
              <w:t>beginning of the acquisition till the end. The red circle has a radius of 10 nm.</w:t>
            </w:r>
          </w:p>
        </w:tc>
      </w:tr>
    </w:tbl>
    <w:p w:rsidR="00BE6920" w:rsidRDefault="00BE6920" w:rsidP="0040700C">
      <w:pPr>
        <w:pStyle w:val="BodyText1"/>
      </w:pPr>
    </w:p>
    <w:p w:rsidR="00BE6920" w:rsidRDefault="00BE6920">
      <w:pPr>
        <w:suppressAutoHyphens w:val="0"/>
        <w:spacing w:line="240" w:lineRule="auto"/>
        <w:rPr>
          <w:rFonts w:ascii="Times New Roman" w:hAnsi="Times New Roman"/>
        </w:r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1"/>
      </w:tblGrid>
      <w:tr w:rsidR="00BE6920">
        <w:trPr>
          <w:trHeight w:val="6237"/>
        </w:trPr>
        <w:tc>
          <w:tcPr>
            <w:tcW w:w="8511" w:type="dxa"/>
          </w:tcPr>
          <w:p w:rsidR="00BE6920" w:rsidRDefault="00CE47E2" w:rsidP="006A1F71">
            <w:pPr>
              <w:pStyle w:val="Figurecaptions"/>
            </w:pPr>
            <w:r>
              <w:rPr>
                <w:noProof/>
                <w:lang w:val="en-GB"/>
              </w:rPr>
              <w:lastRenderedPageBreak/>
              <w:drawing>
                <wp:inline distT="0" distB="0" distL="0" distR="0">
                  <wp:extent cx="5264150" cy="38798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0" cy="387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920">
        <w:tc>
          <w:tcPr>
            <w:tcW w:w="8511" w:type="dxa"/>
          </w:tcPr>
          <w:p w:rsidR="00BE6920" w:rsidRDefault="00BE6920" w:rsidP="00BE6920">
            <w:pPr>
              <w:pStyle w:val="Figurecaptions"/>
              <w:jc w:val="both"/>
            </w:pPr>
            <w:r>
              <w:rPr>
                <w:b/>
                <w:sz w:val="24"/>
                <w:szCs w:val="24"/>
              </w:rPr>
              <w:t>SI Figure 4</w:t>
            </w:r>
            <w:r>
              <w:rPr>
                <w:b/>
              </w:rPr>
              <w:t xml:space="preserve">. </w:t>
            </w:r>
            <w:r w:rsidR="00235965">
              <w:rPr>
                <w:b/>
              </w:rPr>
              <w:t xml:space="preserve">(a) </w:t>
            </w:r>
            <w:r>
              <w:t xml:space="preserve">Evolution of the absorption spectrum of mEos2 upon 405 nm irradiation, at pH 7.9. It is important to notice that </w:t>
            </w:r>
            <w:r w:rsidR="00235965">
              <w:t xml:space="preserve">the </w:t>
            </w:r>
            <w:proofErr w:type="spellStart"/>
            <w:r w:rsidR="00235965">
              <w:t>photoconversion</w:t>
            </w:r>
            <w:proofErr w:type="spellEnd"/>
            <w:r w:rsidR="00235965">
              <w:t xml:space="preserve"> of the red </w:t>
            </w:r>
            <w:r>
              <w:t xml:space="preserve">form reaches </w:t>
            </w:r>
            <w:proofErr w:type="gramStart"/>
            <w:r>
              <w:t>a saturation</w:t>
            </w:r>
            <w:proofErr w:type="gramEnd"/>
            <w:r>
              <w:t xml:space="preserve"> before that the green form (488 nm band) has completely disappeared. The ratio between the concentration of the green species and the red one at saturation is approximately 1.8. </w:t>
            </w:r>
            <w:r w:rsidR="00235965" w:rsidRPr="00652F03">
              <w:rPr>
                <w:b/>
              </w:rPr>
              <w:t>(</w:t>
            </w:r>
            <w:r w:rsidRPr="00235965">
              <w:rPr>
                <w:b/>
              </w:rPr>
              <w:t>b)</w:t>
            </w:r>
            <w:r>
              <w:t xml:space="preserve"> </w:t>
            </w:r>
            <w:proofErr w:type="gramStart"/>
            <w:r>
              <w:t>mEos2</w:t>
            </w:r>
            <w:proofErr w:type="gramEnd"/>
            <w:r>
              <w:t xml:space="preserve"> bands before and after </w:t>
            </w:r>
            <w:proofErr w:type="spellStart"/>
            <w:r>
              <w:t>photoconversion</w:t>
            </w:r>
            <w:proofErr w:type="spellEnd"/>
            <w:r>
              <w:t xml:space="preserve"> (1h) in a 4-15% gradient denaturing </w:t>
            </w:r>
            <w:r w:rsidR="00925AD1">
              <w:t xml:space="preserve">Blue </w:t>
            </w:r>
            <w:proofErr w:type="spellStart"/>
            <w:r w:rsidR="00925AD1">
              <w:t>Coomassie</w:t>
            </w:r>
            <w:proofErr w:type="spellEnd"/>
            <w:r w:rsidR="00925AD1">
              <w:t xml:space="preserve"> </w:t>
            </w:r>
            <w:r>
              <w:t xml:space="preserve">gel. </w:t>
            </w:r>
            <w:r w:rsidR="00235965" w:rsidRPr="00235965">
              <w:rPr>
                <w:b/>
              </w:rPr>
              <w:t>(</w:t>
            </w:r>
            <w:r w:rsidRPr="00235965">
              <w:rPr>
                <w:b/>
              </w:rPr>
              <w:t>c)</w:t>
            </w:r>
            <w:r>
              <w:t xml:space="preserve"> Absorption spectrum of</w:t>
            </w:r>
          </w:p>
          <w:p w:rsidR="00BE6920" w:rsidRDefault="00235965" w:rsidP="00235965">
            <w:pPr>
              <w:pStyle w:val="Figurecaptions"/>
              <w:jc w:val="both"/>
            </w:pPr>
            <w:proofErr w:type="gramStart"/>
            <w:r>
              <w:t>ps</w:t>
            </w:r>
            <w:r w:rsidR="00BE6920">
              <w:t>CFP2-mEos2</w:t>
            </w:r>
            <w:proofErr w:type="gramEnd"/>
            <w:r w:rsidR="00BE6920">
              <w:t xml:space="preserve"> fusion (after </w:t>
            </w:r>
            <w:proofErr w:type="spellStart"/>
            <w:r w:rsidR="00BE6920">
              <w:t>detrending</w:t>
            </w:r>
            <w:proofErr w:type="spellEnd"/>
            <w:r w:rsidR="00BE6920">
              <w:t xml:space="preserve"> to remove an exponential background). The evolution of the absorption spectrum is displayed in a color code up to 75 minutes of 405 nm irradiation, when no further increase of the absorbance of the mEos2(R) form is observed. The dashed line represents the theoretical </w:t>
            </w:r>
            <w:r>
              <w:t>ps</w:t>
            </w:r>
            <w:r w:rsidR="00BE6920">
              <w:t>CFP2-mEos2 spectrum</w:t>
            </w:r>
            <w:r w:rsidR="007A5647">
              <w:t xml:space="preserve"> </w:t>
            </w:r>
            <w:r w:rsidR="00BE6920">
              <w:t xml:space="preserve">(prior to </w:t>
            </w:r>
            <w:proofErr w:type="spellStart"/>
            <w:r w:rsidR="00BE6920">
              <w:t>photoconversion</w:t>
            </w:r>
            <w:proofErr w:type="spellEnd"/>
            <w:r w:rsidR="00BE6920">
              <w:t xml:space="preserve">) at the expected 1:1 stoichiometry, normalized in order to match the peak </w:t>
            </w:r>
            <w:proofErr w:type="gramStart"/>
            <w:r w:rsidR="00BE6920">
              <w:t>mEos2(</w:t>
            </w:r>
            <w:proofErr w:type="gramEnd"/>
            <w:r w:rsidR="00BE6920">
              <w:t xml:space="preserve">G) absorbance. An excess (1.3x) of </w:t>
            </w:r>
            <w:r>
              <w:t>ps</w:t>
            </w:r>
            <w:r w:rsidR="00BE6920">
              <w:t xml:space="preserve">CFP2 is observed. </w:t>
            </w:r>
            <w:r w:rsidRPr="00652F03">
              <w:rPr>
                <w:b/>
              </w:rPr>
              <w:t>(</w:t>
            </w:r>
            <w:r w:rsidR="00BE6920" w:rsidRPr="00235965">
              <w:rPr>
                <w:b/>
              </w:rPr>
              <w:t>d)</w:t>
            </w:r>
            <w:r w:rsidR="00BE6920">
              <w:t xml:space="preserve"> Ensemble spectroscopic characterization of </w:t>
            </w:r>
            <w:r>
              <w:t>ps</w:t>
            </w:r>
            <w:r w:rsidR="00BE6920">
              <w:t>CFP2-pam</w:t>
            </w:r>
            <w:r>
              <w:t xml:space="preserve">Cherry1 fusion protein. </w:t>
            </w:r>
            <w:r w:rsidR="00BE6920">
              <w:t xml:space="preserve">Evolution of the absorption spectrum upon 405 nm laser light irradiation. Extinction coefficients for each species are quoted, and allow </w:t>
            </w:r>
            <w:proofErr w:type="gramStart"/>
            <w:r w:rsidR="00BE6920">
              <w:t>to reconstruct</w:t>
            </w:r>
            <w:proofErr w:type="gramEnd"/>
            <w:r w:rsidR="00BE6920">
              <w:t xml:space="preserve"> the final concentration of activated species.</w:t>
            </w:r>
          </w:p>
        </w:tc>
      </w:tr>
    </w:tbl>
    <w:p w:rsidR="00331C75" w:rsidRDefault="00331C75">
      <w:pPr>
        <w:suppressAutoHyphens w:val="0"/>
        <w:spacing w:line="240" w:lineRule="auto"/>
        <w:rPr>
          <w:rFonts w:ascii="Times New Roman" w:hAnsi="Times New Roman"/>
        </w:r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1"/>
      </w:tblGrid>
      <w:tr w:rsidR="00331C75">
        <w:trPr>
          <w:trHeight w:val="6237"/>
        </w:trPr>
        <w:tc>
          <w:tcPr>
            <w:tcW w:w="8511" w:type="dxa"/>
          </w:tcPr>
          <w:p w:rsidR="00331C75" w:rsidRDefault="00905D3B" w:rsidP="006A1F71">
            <w:pPr>
              <w:pStyle w:val="Figurecaptions"/>
            </w:pPr>
            <w:r>
              <w:rPr>
                <w:noProof/>
                <w:lang w:val="en-GB"/>
              </w:rPr>
              <w:lastRenderedPageBreak/>
              <w:drawing>
                <wp:inline distT="0" distB="0" distL="0" distR="0">
                  <wp:extent cx="5263515" cy="4258310"/>
                  <wp:effectExtent l="0" t="0" r="0" b="889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3515" cy="425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C75">
        <w:tc>
          <w:tcPr>
            <w:tcW w:w="8511" w:type="dxa"/>
          </w:tcPr>
          <w:p w:rsidR="00905D3B" w:rsidRDefault="00905D3B" w:rsidP="00331C75">
            <w:pPr>
              <w:pStyle w:val="Figurecaptions"/>
              <w:jc w:val="both"/>
              <w:rPr>
                <w:b/>
                <w:sz w:val="24"/>
                <w:szCs w:val="24"/>
              </w:rPr>
            </w:pPr>
          </w:p>
          <w:p w:rsidR="00331C75" w:rsidRDefault="00331C75" w:rsidP="00E124ED">
            <w:pPr>
              <w:pStyle w:val="Figurecaptions"/>
              <w:jc w:val="both"/>
            </w:pPr>
            <w:r>
              <w:rPr>
                <w:b/>
                <w:sz w:val="24"/>
                <w:szCs w:val="24"/>
              </w:rPr>
              <w:t>SI Figure 5</w:t>
            </w:r>
            <w:r>
              <w:rPr>
                <w:b/>
              </w:rPr>
              <w:t xml:space="preserve">. </w:t>
            </w:r>
            <w:r w:rsidR="00235965">
              <w:rPr>
                <w:b/>
              </w:rPr>
              <w:t xml:space="preserve">(a) </w:t>
            </w:r>
            <w:r>
              <w:t xml:space="preserve">Map of the localized centers for mEos2 (red) and </w:t>
            </w:r>
            <w:proofErr w:type="spellStart"/>
            <w:r>
              <w:t>Dronpa</w:t>
            </w:r>
            <w:proofErr w:type="spellEnd"/>
            <w:r>
              <w:t xml:space="preserve"> (green) molecules activated in PAGE at low concentration. </w:t>
            </w:r>
            <w:r w:rsidR="00235965" w:rsidRPr="00652F03">
              <w:rPr>
                <w:b/>
              </w:rPr>
              <w:t>(</w:t>
            </w:r>
            <w:r w:rsidRPr="00331C75">
              <w:rPr>
                <w:b/>
              </w:rPr>
              <w:t>b)</w:t>
            </w:r>
            <w:r>
              <w:t xml:space="preserve"> Two arbitrary clusters are selected and their kymographs displayed. </w:t>
            </w:r>
            <w:r w:rsidR="00235965" w:rsidRPr="00652F03">
              <w:rPr>
                <w:b/>
              </w:rPr>
              <w:t>(</w:t>
            </w:r>
            <w:proofErr w:type="gramStart"/>
            <w:r w:rsidRPr="00331C75">
              <w:rPr>
                <w:b/>
              </w:rPr>
              <w:t>c</w:t>
            </w:r>
            <w:proofErr w:type="gramEnd"/>
            <w:r w:rsidRPr="00331C75">
              <w:rPr>
                <w:b/>
              </w:rPr>
              <w:t>)</w:t>
            </w:r>
            <w:r w:rsidR="00235965">
              <w:rPr>
                <w:b/>
              </w:rPr>
              <w:t xml:space="preserve"> </w:t>
            </w:r>
            <w:r w:rsidR="00235965" w:rsidRPr="00235965">
              <w:t>and</w:t>
            </w:r>
            <w:r w:rsidR="00235965">
              <w:rPr>
                <w:b/>
              </w:rPr>
              <w:t xml:space="preserve"> (d). (e)</w:t>
            </w:r>
            <w:r>
              <w:t xml:space="preserve"> The number of molecules activated in time for each species is displayed. Linear guide for the eye outlines the linear activation regime where the </w:t>
            </w:r>
            <w:proofErr w:type="gramStart"/>
            <w:r>
              <w:t>assumption of a Poisson flow for the arrival time of the</w:t>
            </w:r>
            <w:r w:rsidR="00235965">
              <w:t xml:space="preserve"> </w:t>
            </w:r>
            <w:r>
              <w:t>localization events hold</w:t>
            </w:r>
            <w:proofErr w:type="gramEnd"/>
            <w:r>
              <w:t xml:space="preserve">. </w:t>
            </w:r>
            <w:r w:rsidR="00235965" w:rsidRPr="00652F03">
              <w:rPr>
                <w:b/>
              </w:rPr>
              <w:t>(</w:t>
            </w:r>
            <w:r w:rsidR="00235965">
              <w:rPr>
                <w:b/>
              </w:rPr>
              <w:t>f</w:t>
            </w:r>
            <w:r w:rsidRPr="00331C75">
              <w:rPr>
                <w:b/>
              </w:rPr>
              <w:t>)</w:t>
            </w:r>
            <w:r>
              <w:t xml:space="preserve"> Cumulative Distribution Functions for a Poisson Distribution calculated for the two clusters displayed in b. </w:t>
            </w:r>
            <w:proofErr w:type="spellStart"/>
            <w:r>
              <w:t>m_mEos</w:t>
            </w:r>
            <w:proofErr w:type="spellEnd"/>
            <w:r>
              <w:t xml:space="preserve"> = 9 and </w:t>
            </w:r>
            <w:proofErr w:type="spellStart"/>
            <w:r>
              <w:t>m_</w:t>
            </w:r>
            <w:r w:rsidR="00E124ED">
              <w:t>D</w:t>
            </w:r>
            <w:r>
              <w:t>ronpa</w:t>
            </w:r>
            <w:proofErr w:type="spellEnd"/>
            <w:r>
              <w:t xml:space="preserve"> = 23.</w:t>
            </w:r>
          </w:p>
        </w:tc>
      </w:tr>
    </w:tbl>
    <w:p w:rsidR="00331C75" w:rsidRDefault="00331C75" w:rsidP="0040700C">
      <w:pPr>
        <w:pStyle w:val="BodyText1"/>
      </w:pPr>
    </w:p>
    <w:p w:rsidR="00331C75" w:rsidRDefault="00331C75">
      <w:pPr>
        <w:suppressAutoHyphens w:val="0"/>
        <w:spacing w:line="240" w:lineRule="auto"/>
        <w:rPr>
          <w:rFonts w:ascii="Times New Roman" w:hAnsi="Times New Roman"/>
        </w:r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1"/>
      </w:tblGrid>
      <w:tr w:rsidR="00331C75">
        <w:trPr>
          <w:trHeight w:val="6237"/>
        </w:trPr>
        <w:tc>
          <w:tcPr>
            <w:tcW w:w="8511" w:type="dxa"/>
          </w:tcPr>
          <w:p w:rsidR="00331C75" w:rsidRDefault="007660D7" w:rsidP="006A1F71">
            <w:pPr>
              <w:pStyle w:val="Figurecaptions"/>
            </w:pPr>
            <w:r>
              <w:rPr>
                <w:noProof/>
                <w:lang w:val="en-GB"/>
              </w:rPr>
              <w:lastRenderedPageBreak/>
              <w:drawing>
                <wp:inline distT="0" distB="0" distL="0" distR="0">
                  <wp:extent cx="5262880" cy="415353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880" cy="415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C75">
        <w:tc>
          <w:tcPr>
            <w:tcW w:w="8511" w:type="dxa"/>
          </w:tcPr>
          <w:p w:rsidR="00331C75" w:rsidRDefault="00331C75" w:rsidP="007C4EAC">
            <w:pPr>
              <w:pStyle w:val="Figurecaptions"/>
              <w:jc w:val="both"/>
            </w:pPr>
            <w:r>
              <w:rPr>
                <w:b/>
                <w:sz w:val="24"/>
                <w:szCs w:val="24"/>
              </w:rPr>
              <w:t>SI Figure 6</w:t>
            </w:r>
            <w:r w:rsidRPr="007C4EAC">
              <w:rPr>
                <w:b/>
              </w:rPr>
              <w:t xml:space="preserve">. </w:t>
            </w:r>
            <w:r w:rsidR="002542A9" w:rsidRPr="00652F03">
              <w:rPr>
                <w:b/>
              </w:rPr>
              <w:t>(</w:t>
            </w:r>
            <w:r w:rsidR="007C4EAC" w:rsidRPr="007C4EAC">
              <w:rPr>
                <w:b/>
              </w:rPr>
              <w:t>a)</w:t>
            </w:r>
            <w:r w:rsidR="007C4EAC">
              <w:t xml:space="preserve"> β2-mEos2 traces before fixation on the plasma membrane of a </w:t>
            </w:r>
            <w:proofErr w:type="spellStart"/>
            <w:r w:rsidR="007C4EAC">
              <w:t>HeLa</w:t>
            </w:r>
            <w:proofErr w:type="spellEnd"/>
            <w:r w:rsidR="007C4EAC">
              <w:t xml:space="preserve"> cell. </w:t>
            </w:r>
            <w:r w:rsidR="002542A9" w:rsidRPr="00652F03">
              <w:rPr>
                <w:b/>
              </w:rPr>
              <w:t>(</w:t>
            </w:r>
            <w:r w:rsidR="007C4EAC" w:rsidRPr="007C4EAC">
              <w:rPr>
                <w:b/>
              </w:rPr>
              <w:t>b)</w:t>
            </w:r>
            <w:r w:rsidR="007C4EAC">
              <w:t xml:space="preserve"> After an average of 30 s after fixation. </w:t>
            </w:r>
            <w:r w:rsidR="002542A9" w:rsidRPr="00652F03">
              <w:rPr>
                <w:b/>
              </w:rPr>
              <w:t>(</w:t>
            </w:r>
            <w:r w:rsidR="007C4EAC" w:rsidRPr="007C4EAC">
              <w:rPr>
                <w:b/>
              </w:rPr>
              <w:t>c)</w:t>
            </w:r>
            <w:r w:rsidR="007C4EAC">
              <w:t xml:space="preserve"> After an average of 90 s after fixation. Scale bar 5 </w:t>
            </w:r>
            <w:proofErr w:type="spellStart"/>
            <w:r w:rsidR="007C4EAC">
              <w:t>μm</w:t>
            </w:r>
            <w:proofErr w:type="spellEnd"/>
            <w:r w:rsidR="007C4EAC">
              <w:t xml:space="preserve">. </w:t>
            </w:r>
            <w:r w:rsidR="002542A9" w:rsidRPr="00652F03">
              <w:rPr>
                <w:b/>
              </w:rPr>
              <w:t>(</w:t>
            </w:r>
            <w:r w:rsidR="007C4EAC" w:rsidRPr="007C4EAC">
              <w:rPr>
                <w:b/>
              </w:rPr>
              <w:t>d)</w:t>
            </w:r>
            <w:r w:rsidR="007C4EAC">
              <w:t xml:space="preserve"> Evolution of the mobile fraction of β2-ARs on the plasma membrane of a </w:t>
            </w:r>
            <w:proofErr w:type="spellStart"/>
            <w:r w:rsidR="007C4EAC">
              <w:t>HeLa</w:t>
            </w:r>
            <w:proofErr w:type="spellEnd"/>
            <w:r w:rsidR="007C4EAC">
              <w:t xml:space="preserve"> cell as a function of the time from fixation</w:t>
            </w:r>
            <w:r>
              <w:t>.</w:t>
            </w:r>
          </w:p>
        </w:tc>
      </w:tr>
    </w:tbl>
    <w:p w:rsidR="00715272" w:rsidRDefault="00715272" w:rsidP="0040700C">
      <w:pPr>
        <w:pStyle w:val="BodyText1"/>
      </w:pPr>
    </w:p>
    <w:p w:rsidR="00D02D3A" w:rsidRDefault="00D02D3A" w:rsidP="0040700C">
      <w:pPr>
        <w:pStyle w:val="BodyText1"/>
      </w:pPr>
    </w:p>
    <w:p w:rsidR="00632AB9" w:rsidRDefault="00632AB9" w:rsidP="0040700C">
      <w:pPr>
        <w:pStyle w:val="BodyText1"/>
      </w:pPr>
    </w:p>
    <w:sectPr w:rsidR="00632AB9" w:rsidSect="00504B2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pos w:val="beneathText"/>
      </w:footnotePr>
      <w:pgSz w:w="11907" w:h="16839" w:code="9"/>
      <w:pgMar w:top="1440" w:right="1800" w:bottom="1440" w:left="1800" w:header="70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A96" w:rsidRDefault="00887A96">
      <w:pPr>
        <w:spacing w:line="240" w:lineRule="auto"/>
      </w:pPr>
      <w:r>
        <w:separator/>
      </w:r>
    </w:p>
    <w:p w:rsidR="00887A96" w:rsidRDefault="00887A96"/>
  </w:endnote>
  <w:endnote w:type="continuationSeparator" w:id="0">
    <w:p w:rsidR="00887A96" w:rsidRDefault="00887A96">
      <w:pPr>
        <w:spacing w:line="240" w:lineRule="auto"/>
      </w:pPr>
      <w:r>
        <w:continuationSeparator/>
      </w:r>
    </w:p>
    <w:p w:rsidR="00887A96" w:rsidRDefault="00887A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96" w:rsidRDefault="00954351" w:rsidP="003A46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87A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7A96" w:rsidRDefault="00887A96">
    <w:pPr>
      <w:pStyle w:val="Footer"/>
    </w:pPr>
  </w:p>
  <w:p w:rsidR="00887A96" w:rsidRDefault="00887A9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96" w:rsidRDefault="00954351" w:rsidP="003A46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87A9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15B3">
      <w:rPr>
        <w:rStyle w:val="PageNumber"/>
        <w:noProof/>
      </w:rPr>
      <w:t>1</w:t>
    </w:r>
    <w:r>
      <w:rPr>
        <w:rStyle w:val="PageNumber"/>
      </w:rPr>
      <w:fldChar w:fldCharType="end"/>
    </w:r>
  </w:p>
  <w:p w:rsidR="00887A96" w:rsidRDefault="00887A96">
    <w:pPr>
      <w:pStyle w:val="Footer"/>
    </w:pPr>
  </w:p>
  <w:p w:rsidR="00887A96" w:rsidRDefault="00887A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96" w:rsidRDefault="00887A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A96" w:rsidRDefault="00887A96">
      <w:pPr>
        <w:spacing w:line="240" w:lineRule="auto"/>
      </w:pPr>
      <w:r>
        <w:separator/>
      </w:r>
    </w:p>
    <w:p w:rsidR="00887A96" w:rsidRDefault="00887A96"/>
  </w:footnote>
  <w:footnote w:type="continuationSeparator" w:id="0">
    <w:p w:rsidR="00887A96" w:rsidRDefault="00887A96">
      <w:pPr>
        <w:spacing w:line="240" w:lineRule="auto"/>
      </w:pPr>
      <w:r>
        <w:continuationSeparator/>
      </w:r>
    </w:p>
    <w:p w:rsidR="00887A96" w:rsidRDefault="00887A9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96" w:rsidRDefault="00887A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96" w:rsidRDefault="00887A96">
    <w:pPr>
      <w:pStyle w:val="Header"/>
    </w:pPr>
    <w:r>
      <w:tab/>
    </w:r>
    <w:r>
      <w:tab/>
    </w:r>
  </w:p>
  <w:p w:rsidR="00887A96" w:rsidRDefault="00887A9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96" w:rsidRDefault="00887A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4A42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 Lette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xtvs9z980z22kewwv9vf290ar20p0azdvtz&quot;&gt;Alexandra_lite&lt;record-ids&gt;&lt;item&gt;9990&lt;/item&gt;&lt;/record-ids&gt;&lt;/item&gt;&lt;/Libraries&gt;"/>
    <w:docVar w:name="EN_Doc_Font_List_Name" w:val="_x0001__x0001__x000f_Times New Roman"/>
    <w:docVar w:name="EN_Main_Body_Style_Name" w:val="Adv Mater"/>
  </w:docVars>
  <w:rsids>
    <w:rsidRoot w:val="00547C05"/>
    <w:rsid w:val="00004F3E"/>
    <w:rsid w:val="00011CD7"/>
    <w:rsid w:val="000273B3"/>
    <w:rsid w:val="00034236"/>
    <w:rsid w:val="00046F34"/>
    <w:rsid w:val="0005495F"/>
    <w:rsid w:val="00066EAB"/>
    <w:rsid w:val="00082F33"/>
    <w:rsid w:val="000878B7"/>
    <w:rsid w:val="000E4468"/>
    <w:rsid w:val="000F59A0"/>
    <w:rsid w:val="00105B15"/>
    <w:rsid w:val="00110C59"/>
    <w:rsid w:val="00122C0A"/>
    <w:rsid w:val="00137085"/>
    <w:rsid w:val="00153896"/>
    <w:rsid w:val="00170C0B"/>
    <w:rsid w:val="00185710"/>
    <w:rsid w:val="001874A5"/>
    <w:rsid w:val="001A1995"/>
    <w:rsid w:val="001A3101"/>
    <w:rsid w:val="001D1BD4"/>
    <w:rsid w:val="001D3FA0"/>
    <w:rsid w:val="001D7996"/>
    <w:rsid w:val="001E348B"/>
    <w:rsid w:val="00202E59"/>
    <w:rsid w:val="00205492"/>
    <w:rsid w:val="002121B0"/>
    <w:rsid w:val="00223B66"/>
    <w:rsid w:val="002241CB"/>
    <w:rsid w:val="002249DB"/>
    <w:rsid w:val="00225B0D"/>
    <w:rsid w:val="002271AA"/>
    <w:rsid w:val="00235965"/>
    <w:rsid w:val="00240AF6"/>
    <w:rsid w:val="002542A9"/>
    <w:rsid w:val="00254A8E"/>
    <w:rsid w:val="00260285"/>
    <w:rsid w:val="00261857"/>
    <w:rsid w:val="00261A56"/>
    <w:rsid w:val="002721A8"/>
    <w:rsid w:val="002724DC"/>
    <w:rsid w:val="00295D8C"/>
    <w:rsid w:val="002C15A4"/>
    <w:rsid w:val="002C407D"/>
    <w:rsid w:val="002C6573"/>
    <w:rsid w:val="002F2734"/>
    <w:rsid w:val="002F7CFB"/>
    <w:rsid w:val="0030197A"/>
    <w:rsid w:val="00302F49"/>
    <w:rsid w:val="00311F24"/>
    <w:rsid w:val="00314B80"/>
    <w:rsid w:val="0031589D"/>
    <w:rsid w:val="00331C75"/>
    <w:rsid w:val="00333C75"/>
    <w:rsid w:val="003720A8"/>
    <w:rsid w:val="00395ED3"/>
    <w:rsid w:val="003A466F"/>
    <w:rsid w:val="003C6972"/>
    <w:rsid w:val="003C6EFC"/>
    <w:rsid w:val="003D64C3"/>
    <w:rsid w:val="003F653F"/>
    <w:rsid w:val="00406E00"/>
    <w:rsid w:val="0040700C"/>
    <w:rsid w:val="00427B59"/>
    <w:rsid w:val="004338E3"/>
    <w:rsid w:val="00441571"/>
    <w:rsid w:val="00450EDA"/>
    <w:rsid w:val="00454741"/>
    <w:rsid w:val="004715B3"/>
    <w:rsid w:val="0048058E"/>
    <w:rsid w:val="004B6503"/>
    <w:rsid w:val="004C0EBC"/>
    <w:rsid w:val="004C1A45"/>
    <w:rsid w:val="004C1B83"/>
    <w:rsid w:val="004C5DDA"/>
    <w:rsid w:val="004D324C"/>
    <w:rsid w:val="004D41FE"/>
    <w:rsid w:val="005010EF"/>
    <w:rsid w:val="00504B2E"/>
    <w:rsid w:val="005170A9"/>
    <w:rsid w:val="0052373C"/>
    <w:rsid w:val="005238EF"/>
    <w:rsid w:val="0052673F"/>
    <w:rsid w:val="005275EE"/>
    <w:rsid w:val="0052761B"/>
    <w:rsid w:val="00547C05"/>
    <w:rsid w:val="00567D84"/>
    <w:rsid w:val="00574FE8"/>
    <w:rsid w:val="00581688"/>
    <w:rsid w:val="005941EA"/>
    <w:rsid w:val="005A0290"/>
    <w:rsid w:val="005A41D8"/>
    <w:rsid w:val="005B1A77"/>
    <w:rsid w:val="005F3131"/>
    <w:rsid w:val="0060114C"/>
    <w:rsid w:val="006015C1"/>
    <w:rsid w:val="00603D05"/>
    <w:rsid w:val="00616EE4"/>
    <w:rsid w:val="00617641"/>
    <w:rsid w:val="00632AB9"/>
    <w:rsid w:val="00636F5A"/>
    <w:rsid w:val="006467FD"/>
    <w:rsid w:val="00652F03"/>
    <w:rsid w:val="00653B89"/>
    <w:rsid w:val="00666821"/>
    <w:rsid w:val="00686883"/>
    <w:rsid w:val="00692917"/>
    <w:rsid w:val="00692E8D"/>
    <w:rsid w:val="0069542A"/>
    <w:rsid w:val="006A0252"/>
    <w:rsid w:val="006A1F71"/>
    <w:rsid w:val="006B718D"/>
    <w:rsid w:val="006C73D8"/>
    <w:rsid w:val="006D353F"/>
    <w:rsid w:val="006E0D0C"/>
    <w:rsid w:val="006F4855"/>
    <w:rsid w:val="00712B04"/>
    <w:rsid w:val="00715272"/>
    <w:rsid w:val="00733CED"/>
    <w:rsid w:val="00734096"/>
    <w:rsid w:val="00741D47"/>
    <w:rsid w:val="00743715"/>
    <w:rsid w:val="007532B9"/>
    <w:rsid w:val="00755E4F"/>
    <w:rsid w:val="007660D7"/>
    <w:rsid w:val="00797450"/>
    <w:rsid w:val="007A0EB6"/>
    <w:rsid w:val="007A5647"/>
    <w:rsid w:val="007A5CAA"/>
    <w:rsid w:val="007C4EAC"/>
    <w:rsid w:val="007D0490"/>
    <w:rsid w:val="007D082E"/>
    <w:rsid w:val="007E3D84"/>
    <w:rsid w:val="007E6911"/>
    <w:rsid w:val="007F264C"/>
    <w:rsid w:val="007F5F75"/>
    <w:rsid w:val="00805627"/>
    <w:rsid w:val="008226DA"/>
    <w:rsid w:val="008614CF"/>
    <w:rsid w:val="008615CB"/>
    <w:rsid w:val="00877D33"/>
    <w:rsid w:val="00887A96"/>
    <w:rsid w:val="00891212"/>
    <w:rsid w:val="0089404A"/>
    <w:rsid w:val="00894471"/>
    <w:rsid w:val="008A7E99"/>
    <w:rsid w:val="008D5493"/>
    <w:rsid w:val="008D7CF2"/>
    <w:rsid w:val="008E64A8"/>
    <w:rsid w:val="008F7B06"/>
    <w:rsid w:val="00901789"/>
    <w:rsid w:val="00905D3B"/>
    <w:rsid w:val="0091347E"/>
    <w:rsid w:val="009244A8"/>
    <w:rsid w:val="00925AD1"/>
    <w:rsid w:val="00931A03"/>
    <w:rsid w:val="00934319"/>
    <w:rsid w:val="0093786F"/>
    <w:rsid w:val="00953E1C"/>
    <w:rsid w:val="00954351"/>
    <w:rsid w:val="009579FC"/>
    <w:rsid w:val="009804CF"/>
    <w:rsid w:val="00991C41"/>
    <w:rsid w:val="009973C5"/>
    <w:rsid w:val="009D085F"/>
    <w:rsid w:val="009D318F"/>
    <w:rsid w:val="00A04EBA"/>
    <w:rsid w:val="00A26E00"/>
    <w:rsid w:val="00A3195A"/>
    <w:rsid w:val="00A55175"/>
    <w:rsid w:val="00A6257E"/>
    <w:rsid w:val="00A7684F"/>
    <w:rsid w:val="00A83508"/>
    <w:rsid w:val="00A83673"/>
    <w:rsid w:val="00A85DE7"/>
    <w:rsid w:val="00AB2874"/>
    <w:rsid w:val="00AC6DE6"/>
    <w:rsid w:val="00AC7C1E"/>
    <w:rsid w:val="00AE7771"/>
    <w:rsid w:val="00AF5AFC"/>
    <w:rsid w:val="00B00822"/>
    <w:rsid w:val="00B05545"/>
    <w:rsid w:val="00B13E04"/>
    <w:rsid w:val="00B15B00"/>
    <w:rsid w:val="00B214AF"/>
    <w:rsid w:val="00B274D4"/>
    <w:rsid w:val="00B37545"/>
    <w:rsid w:val="00B576CD"/>
    <w:rsid w:val="00B64595"/>
    <w:rsid w:val="00B8535A"/>
    <w:rsid w:val="00BA0E4A"/>
    <w:rsid w:val="00BA44B3"/>
    <w:rsid w:val="00BA6BEF"/>
    <w:rsid w:val="00BB23D0"/>
    <w:rsid w:val="00BC53B9"/>
    <w:rsid w:val="00BE3B14"/>
    <w:rsid w:val="00BE6920"/>
    <w:rsid w:val="00C03BF2"/>
    <w:rsid w:val="00C129C2"/>
    <w:rsid w:val="00C22AB0"/>
    <w:rsid w:val="00C34118"/>
    <w:rsid w:val="00C36246"/>
    <w:rsid w:val="00C41398"/>
    <w:rsid w:val="00C67FD6"/>
    <w:rsid w:val="00C901C5"/>
    <w:rsid w:val="00C90CFF"/>
    <w:rsid w:val="00CB71D3"/>
    <w:rsid w:val="00CC345F"/>
    <w:rsid w:val="00CC71E9"/>
    <w:rsid w:val="00CD10AA"/>
    <w:rsid w:val="00CE17B9"/>
    <w:rsid w:val="00CE47E2"/>
    <w:rsid w:val="00D02D3A"/>
    <w:rsid w:val="00D059D8"/>
    <w:rsid w:val="00D161EA"/>
    <w:rsid w:val="00D450F7"/>
    <w:rsid w:val="00D46D4F"/>
    <w:rsid w:val="00D605C1"/>
    <w:rsid w:val="00D64F08"/>
    <w:rsid w:val="00DA0F1A"/>
    <w:rsid w:val="00DB3640"/>
    <w:rsid w:val="00DB3669"/>
    <w:rsid w:val="00DC47B4"/>
    <w:rsid w:val="00DF381A"/>
    <w:rsid w:val="00E059D5"/>
    <w:rsid w:val="00E124ED"/>
    <w:rsid w:val="00E260BB"/>
    <w:rsid w:val="00E327E6"/>
    <w:rsid w:val="00E43615"/>
    <w:rsid w:val="00E461D1"/>
    <w:rsid w:val="00E6325C"/>
    <w:rsid w:val="00E6410F"/>
    <w:rsid w:val="00E709C1"/>
    <w:rsid w:val="00E80961"/>
    <w:rsid w:val="00EB3B12"/>
    <w:rsid w:val="00EB7F2B"/>
    <w:rsid w:val="00ED024E"/>
    <w:rsid w:val="00ED5800"/>
    <w:rsid w:val="00F1335F"/>
    <w:rsid w:val="00F72765"/>
    <w:rsid w:val="00F73422"/>
    <w:rsid w:val="00F76E3E"/>
    <w:rsid w:val="00FA4E19"/>
    <w:rsid w:val="00FB0A10"/>
    <w:rsid w:val="00FB15CA"/>
    <w:rsid w:val="00FB7C00"/>
    <w:rsid w:val="00FD5001"/>
    <w:rsid w:val="00FD504E"/>
    <w:rsid w:val="00FF7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855"/>
    <w:pPr>
      <w:suppressAutoHyphens/>
      <w:spacing w:line="280" w:lineRule="exact"/>
    </w:pPr>
    <w:rPr>
      <w:rFonts w:asciiTheme="minorHAnsi" w:hAnsiTheme="minorHAnsi"/>
      <w:sz w:val="24"/>
      <w:lang w:val="en-US"/>
    </w:rPr>
  </w:style>
  <w:style w:type="paragraph" w:styleId="Heading1">
    <w:name w:val="heading 1"/>
    <w:next w:val="BodyText1"/>
    <w:link w:val="Heading1Char"/>
    <w:qFormat/>
    <w:rsid w:val="006F4855"/>
    <w:pPr>
      <w:keepNext/>
      <w:spacing w:before="120" w:after="120"/>
      <w:outlineLvl w:val="0"/>
    </w:pPr>
    <w:rPr>
      <w:rFonts w:asciiTheme="majorHAnsi" w:hAnsiTheme="majorHAnsi"/>
      <w:b/>
      <w:caps/>
      <w:kern w:val="28"/>
      <w:sz w:val="24"/>
      <w:szCs w:val="28"/>
      <w:lang w:val="en-US"/>
    </w:rPr>
  </w:style>
  <w:style w:type="paragraph" w:styleId="Heading2">
    <w:name w:val="heading 2"/>
    <w:basedOn w:val="Heading1"/>
    <w:next w:val="BodyText1"/>
    <w:qFormat/>
    <w:rsid w:val="006F4855"/>
    <w:pPr>
      <w:numPr>
        <w:ilvl w:val="1"/>
        <w:numId w:val="4"/>
      </w:numPr>
      <w:outlineLvl w:val="1"/>
    </w:pPr>
    <w:rPr>
      <w:cap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0">
    <w:name w:val="Body Text1"/>
    <w:basedOn w:val="Normal"/>
    <w:uiPriority w:val="9"/>
    <w:rsid w:val="00755E4F"/>
    <w:pPr>
      <w:spacing w:line="480" w:lineRule="auto"/>
      <w:jc w:val="both"/>
    </w:pPr>
  </w:style>
  <w:style w:type="paragraph" w:customStyle="1" w:styleId="Affiliation">
    <w:name w:val="Affiliation"/>
    <w:basedOn w:val="Normal"/>
    <w:uiPriority w:val="4"/>
    <w:rPr>
      <w:i/>
    </w:rPr>
  </w:style>
  <w:style w:type="paragraph" w:customStyle="1" w:styleId="Authors">
    <w:name w:val="Authors"/>
    <w:basedOn w:val="Normal"/>
    <w:uiPriority w:val="9"/>
    <w:pPr>
      <w:spacing w:after="120"/>
    </w:pPr>
  </w:style>
  <w:style w:type="paragraph" w:customStyle="1" w:styleId="Abstract">
    <w:name w:val="Abstract"/>
    <w:basedOn w:val="Normal"/>
    <w:uiPriority w:val="4"/>
    <w:pPr>
      <w:ind w:left="630" w:right="740" w:firstLine="1"/>
      <w:jc w:val="both"/>
    </w:pPr>
    <w:rPr>
      <w:b/>
      <w:color w:val="000000"/>
    </w:rPr>
  </w:style>
  <w:style w:type="table" w:styleId="TableGrid">
    <w:name w:val="Table Grid"/>
    <w:basedOn w:val="TableNormal"/>
    <w:rsid w:val="00E260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captions">
    <w:name w:val="Figure captions"/>
    <w:basedOn w:val="Normal"/>
    <w:link w:val="FigurecaptionsChar"/>
    <w:rsid w:val="00FA4E19"/>
    <w:pPr>
      <w:spacing w:line="360" w:lineRule="auto"/>
    </w:pPr>
    <w:rPr>
      <w:rFonts w:cs="Arial"/>
      <w:sz w:val="20"/>
    </w:rPr>
  </w:style>
  <w:style w:type="paragraph" w:customStyle="1" w:styleId="ArticleTitle">
    <w:name w:val="Article Title"/>
    <w:basedOn w:val="Heading1"/>
    <w:uiPriority w:val="9"/>
    <w:rsid w:val="00A7684F"/>
    <w:pPr>
      <w:keepNext w:val="0"/>
      <w:spacing w:before="240" w:after="240" w:line="480" w:lineRule="atLeast"/>
    </w:pPr>
    <w:rPr>
      <w:caps w:val="0"/>
      <w:color w:val="000000"/>
      <w:sz w:val="32"/>
      <w:szCs w:val="32"/>
    </w:rPr>
  </w:style>
  <w:style w:type="character" w:customStyle="1" w:styleId="FigurecaptionsChar">
    <w:name w:val="Figure captions Char"/>
    <w:basedOn w:val="DefaultParagraphFont"/>
    <w:link w:val="Figurecaptions"/>
    <w:rsid w:val="004338E3"/>
    <w:rPr>
      <w:rFonts w:asciiTheme="minorHAnsi" w:hAnsiTheme="minorHAnsi" w:cs="Arial"/>
      <w:lang w:val="en-US"/>
    </w:rPr>
  </w:style>
  <w:style w:type="paragraph" w:styleId="Header">
    <w:name w:val="header"/>
    <w:basedOn w:val="Normal"/>
    <w:uiPriority w:val="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uiPriority w:val="9"/>
    <w:pPr>
      <w:tabs>
        <w:tab w:val="center" w:pos="4320"/>
        <w:tab w:val="right" w:pos="8640"/>
      </w:tabs>
    </w:pPr>
  </w:style>
  <w:style w:type="paragraph" w:customStyle="1" w:styleId="Eqation">
    <w:name w:val="Eqation"/>
    <w:basedOn w:val="Normal"/>
    <w:pPr>
      <w:tabs>
        <w:tab w:val="center" w:pos="4326"/>
        <w:tab w:val="right" w:pos="8640"/>
      </w:tabs>
      <w:spacing w:before="120" w:after="120"/>
      <w:jc w:val="both"/>
    </w:pPr>
  </w:style>
  <w:style w:type="paragraph" w:customStyle="1" w:styleId="TableContents">
    <w:name w:val="Table Contents"/>
    <w:basedOn w:val="Normal"/>
    <w:uiPriority w:val="9"/>
    <w:rsid w:val="00877D33"/>
    <w:pPr>
      <w:suppressLineNumbers/>
      <w:spacing w:after="120"/>
    </w:pPr>
  </w:style>
  <w:style w:type="paragraph" w:customStyle="1" w:styleId="TableHeading">
    <w:name w:val="Table Heading"/>
    <w:basedOn w:val="TableContents"/>
    <w:uiPriority w:val="9"/>
    <w:pPr>
      <w:jc w:val="center"/>
    </w:pPr>
    <w:rPr>
      <w:b/>
      <w:i/>
    </w:rPr>
  </w:style>
  <w:style w:type="character" w:styleId="PageNumber">
    <w:name w:val="page number"/>
    <w:basedOn w:val="DefaultParagraphFont"/>
    <w:uiPriority w:val="9"/>
    <w:rsid w:val="003A466F"/>
  </w:style>
  <w:style w:type="paragraph" w:styleId="BalloonText">
    <w:name w:val="Balloon Text"/>
    <w:basedOn w:val="Normal"/>
    <w:semiHidden/>
    <w:rsid w:val="00877D33"/>
    <w:rPr>
      <w:rFonts w:ascii="Tahoma" w:hAnsi="Tahoma" w:cs="Tahoma"/>
      <w:sz w:val="16"/>
      <w:szCs w:val="16"/>
    </w:rPr>
  </w:style>
  <w:style w:type="paragraph" w:customStyle="1" w:styleId="References">
    <w:name w:val="References"/>
    <w:basedOn w:val="Normal"/>
    <w:rsid w:val="00E260BB"/>
    <w:pPr>
      <w:tabs>
        <w:tab w:val="left" w:pos="0"/>
      </w:tabs>
      <w:spacing w:line="240" w:lineRule="auto"/>
      <w:ind w:left="490" w:hanging="490"/>
    </w:pPr>
  </w:style>
  <w:style w:type="paragraph" w:customStyle="1" w:styleId="AKFigurecaptions">
    <w:name w:val="AK Figure captions"/>
    <w:basedOn w:val="Normal"/>
    <w:link w:val="AKFigurecaptionsChar"/>
    <w:rsid w:val="004338E3"/>
    <w:pPr>
      <w:spacing w:line="240" w:lineRule="auto"/>
      <w:jc w:val="both"/>
    </w:pPr>
    <w:rPr>
      <w:sz w:val="18"/>
      <w:szCs w:val="18"/>
    </w:rPr>
  </w:style>
  <w:style w:type="character" w:customStyle="1" w:styleId="AKFigurecaptionsChar">
    <w:name w:val="AK Figure captions Char"/>
    <w:basedOn w:val="DefaultParagraphFont"/>
    <w:link w:val="AKFigurecaptions"/>
    <w:rsid w:val="004338E3"/>
    <w:rPr>
      <w:rFonts w:asciiTheme="minorHAnsi" w:hAnsiTheme="minorHAnsi"/>
      <w:sz w:val="18"/>
      <w:szCs w:val="18"/>
      <w:lang w:val="en-US"/>
    </w:rPr>
  </w:style>
  <w:style w:type="paragraph" w:customStyle="1" w:styleId="BodyText1">
    <w:name w:val="Body Text1"/>
    <w:basedOn w:val="Normal"/>
    <w:uiPriority w:val="9"/>
    <w:rsid w:val="004338E3"/>
    <w:pPr>
      <w:spacing w:line="480" w:lineRule="auto"/>
      <w:jc w:val="both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973C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15272"/>
    <w:rPr>
      <w:rFonts w:asciiTheme="majorHAnsi" w:hAnsiTheme="majorHAnsi"/>
      <w:b/>
      <w:caps/>
      <w:kern w:val="28"/>
      <w:sz w:val="24"/>
      <w:szCs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152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272"/>
    <w:pPr>
      <w:spacing w:line="240" w:lineRule="auto"/>
    </w:pPr>
    <w:rPr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272"/>
    <w:rPr>
      <w:rFonts w:asciiTheme="minorHAnsi" w:hAnsiTheme="minorHAnsi"/>
      <w:sz w:val="24"/>
      <w:szCs w:val="24"/>
    </w:rPr>
  </w:style>
  <w:style w:type="paragraph" w:styleId="NoSpacing">
    <w:name w:val="No Spacing"/>
    <w:uiPriority w:val="9"/>
    <w:qFormat/>
    <w:rsid w:val="007F5F75"/>
    <w:pPr>
      <w:suppressAutoHyphens/>
    </w:pPr>
    <w:rPr>
      <w:rFonts w:asciiTheme="minorHAnsi" w:hAnsiTheme="minorHAnsi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855"/>
    <w:pPr>
      <w:suppressAutoHyphens/>
      <w:spacing w:line="280" w:lineRule="exact"/>
    </w:pPr>
    <w:rPr>
      <w:rFonts w:asciiTheme="minorHAnsi" w:hAnsiTheme="minorHAnsi"/>
      <w:sz w:val="24"/>
      <w:lang w:val="en-US"/>
    </w:rPr>
  </w:style>
  <w:style w:type="paragraph" w:styleId="Heading1">
    <w:name w:val="heading 1"/>
    <w:next w:val="BodyText1"/>
    <w:link w:val="Heading1Char"/>
    <w:qFormat/>
    <w:rsid w:val="006F4855"/>
    <w:pPr>
      <w:keepNext/>
      <w:spacing w:before="120" w:after="120"/>
      <w:outlineLvl w:val="0"/>
    </w:pPr>
    <w:rPr>
      <w:rFonts w:asciiTheme="majorHAnsi" w:hAnsiTheme="majorHAnsi"/>
      <w:b/>
      <w:caps/>
      <w:kern w:val="28"/>
      <w:sz w:val="24"/>
      <w:szCs w:val="28"/>
      <w:lang w:val="en-US"/>
    </w:rPr>
  </w:style>
  <w:style w:type="paragraph" w:styleId="Heading2">
    <w:name w:val="heading 2"/>
    <w:basedOn w:val="Heading1"/>
    <w:next w:val="BodyText1"/>
    <w:qFormat/>
    <w:rsid w:val="006F4855"/>
    <w:pPr>
      <w:numPr>
        <w:ilvl w:val="1"/>
        <w:numId w:val="4"/>
      </w:numPr>
      <w:outlineLvl w:val="1"/>
    </w:pPr>
    <w:rPr>
      <w:cap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0">
    <w:name w:val="Body Text1"/>
    <w:basedOn w:val="Normal"/>
    <w:uiPriority w:val="9"/>
    <w:rsid w:val="00755E4F"/>
    <w:pPr>
      <w:spacing w:line="480" w:lineRule="auto"/>
      <w:jc w:val="both"/>
    </w:pPr>
  </w:style>
  <w:style w:type="paragraph" w:customStyle="1" w:styleId="Affiliation">
    <w:name w:val="Affiliation"/>
    <w:basedOn w:val="Normal"/>
    <w:uiPriority w:val="4"/>
    <w:rPr>
      <w:i/>
    </w:rPr>
  </w:style>
  <w:style w:type="paragraph" w:customStyle="1" w:styleId="Authors">
    <w:name w:val="Authors"/>
    <w:basedOn w:val="Normal"/>
    <w:uiPriority w:val="9"/>
    <w:pPr>
      <w:spacing w:after="120"/>
    </w:pPr>
  </w:style>
  <w:style w:type="paragraph" w:customStyle="1" w:styleId="Abstract">
    <w:name w:val="Abstract"/>
    <w:basedOn w:val="Normal"/>
    <w:uiPriority w:val="4"/>
    <w:pPr>
      <w:ind w:left="630" w:right="740" w:firstLine="1"/>
      <w:jc w:val="both"/>
    </w:pPr>
    <w:rPr>
      <w:b/>
      <w:color w:val="000000"/>
    </w:rPr>
  </w:style>
  <w:style w:type="table" w:styleId="TableGrid">
    <w:name w:val="Table Grid"/>
    <w:basedOn w:val="TableNormal"/>
    <w:rsid w:val="00E260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captions">
    <w:name w:val="Figure captions"/>
    <w:basedOn w:val="Normal"/>
    <w:link w:val="FigurecaptionsChar"/>
    <w:rsid w:val="00FA4E19"/>
    <w:pPr>
      <w:spacing w:line="360" w:lineRule="auto"/>
    </w:pPr>
    <w:rPr>
      <w:rFonts w:cs="Arial"/>
      <w:sz w:val="20"/>
    </w:rPr>
  </w:style>
  <w:style w:type="paragraph" w:customStyle="1" w:styleId="ArticleTitle">
    <w:name w:val="Article Title"/>
    <w:basedOn w:val="Heading1"/>
    <w:uiPriority w:val="9"/>
    <w:rsid w:val="00A7684F"/>
    <w:pPr>
      <w:keepNext w:val="0"/>
      <w:spacing w:before="240" w:after="240" w:line="480" w:lineRule="atLeast"/>
    </w:pPr>
    <w:rPr>
      <w:caps w:val="0"/>
      <w:color w:val="000000"/>
      <w:sz w:val="32"/>
      <w:szCs w:val="32"/>
    </w:rPr>
  </w:style>
  <w:style w:type="character" w:customStyle="1" w:styleId="FigurecaptionsChar">
    <w:name w:val="Figure captions Char"/>
    <w:basedOn w:val="DefaultParagraphFont"/>
    <w:link w:val="Figurecaptions"/>
    <w:rsid w:val="004338E3"/>
    <w:rPr>
      <w:rFonts w:asciiTheme="minorHAnsi" w:hAnsiTheme="minorHAnsi" w:cs="Arial"/>
      <w:lang w:val="en-US"/>
    </w:rPr>
  </w:style>
  <w:style w:type="paragraph" w:styleId="Header">
    <w:name w:val="header"/>
    <w:basedOn w:val="Normal"/>
    <w:uiPriority w:val="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uiPriority w:val="9"/>
    <w:pPr>
      <w:tabs>
        <w:tab w:val="center" w:pos="4320"/>
        <w:tab w:val="right" w:pos="8640"/>
      </w:tabs>
    </w:pPr>
  </w:style>
  <w:style w:type="paragraph" w:customStyle="1" w:styleId="Eqation">
    <w:name w:val="Eqation"/>
    <w:basedOn w:val="Normal"/>
    <w:pPr>
      <w:tabs>
        <w:tab w:val="center" w:pos="4326"/>
        <w:tab w:val="right" w:pos="8640"/>
      </w:tabs>
      <w:spacing w:before="120" w:after="120"/>
      <w:jc w:val="both"/>
    </w:pPr>
  </w:style>
  <w:style w:type="paragraph" w:customStyle="1" w:styleId="TableContents">
    <w:name w:val="Table Contents"/>
    <w:basedOn w:val="Normal"/>
    <w:uiPriority w:val="9"/>
    <w:rsid w:val="00877D33"/>
    <w:pPr>
      <w:suppressLineNumbers/>
      <w:spacing w:after="120"/>
    </w:pPr>
  </w:style>
  <w:style w:type="paragraph" w:customStyle="1" w:styleId="TableHeading">
    <w:name w:val="Table Heading"/>
    <w:basedOn w:val="TableContents"/>
    <w:uiPriority w:val="9"/>
    <w:pPr>
      <w:jc w:val="center"/>
    </w:pPr>
    <w:rPr>
      <w:b/>
      <w:i/>
    </w:rPr>
  </w:style>
  <w:style w:type="character" w:styleId="PageNumber">
    <w:name w:val="page number"/>
    <w:basedOn w:val="DefaultParagraphFont"/>
    <w:uiPriority w:val="9"/>
    <w:rsid w:val="003A466F"/>
  </w:style>
  <w:style w:type="paragraph" w:styleId="BalloonText">
    <w:name w:val="Balloon Text"/>
    <w:basedOn w:val="Normal"/>
    <w:semiHidden/>
    <w:rsid w:val="00877D33"/>
    <w:rPr>
      <w:rFonts w:ascii="Tahoma" w:hAnsi="Tahoma" w:cs="Tahoma"/>
      <w:sz w:val="16"/>
      <w:szCs w:val="16"/>
    </w:rPr>
  </w:style>
  <w:style w:type="paragraph" w:customStyle="1" w:styleId="References">
    <w:name w:val="References"/>
    <w:basedOn w:val="Normal"/>
    <w:rsid w:val="00E260BB"/>
    <w:pPr>
      <w:tabs>
        <w:tab w:val="left" w:pos="0"/>
      </w:tabs>
      <w:spacing w:line="240" w:lineRule="auto"/>
      <w:ind w:left="490" w:hanging="490"/>
    </w:pPr>
  </w:style>
  <w:style w:type="paragraph" w:customStyle="1" w:styleId="AKFigurecaptions">
    <w:name w:val="AK Figure captions"/>
    <w:basedOn w:val="Normal"/>
    <w:link w:val="AKFigurecaptionsChar"/>
    <w:rsid w:val="004338E3"/>
    <w:pPr>
      <w:spacing w:line="240" w:lineRule="auto"/>
      <w:jc w:val="both"/>
    </w:pPr>
    <w:rPr>
      <w:sz w:val="18"/>
      <w:szCs w:val="18"/>
    </w:rPr>
  </w:style>
  <w:style w:type="character" w:customStyle="1" w:styleId="AKFigurecaptionsChar">
    <w:name w:val="AK Figure captions Char"/>
    <w:basedOn w:val="DefaultParagraphFont"/>
    <w:link w:val="AKFigurecaptions"/>
    <w:rsid w:val="004338E3"/>
    <w:rPr>
      <w:rFonts w:asciiTheme="minorHAnsi" w:hAnsiTheme="minorHAnsi"/>
      <w:sz w:val="18"/>
      <w:szCs w:val="18"/>
      <w:lang w:val="en-US"/>
    </w:rPr>
  </w:style>
  <w:style w:type="paragraph" w:customStyle="1" w:styleId="BodyText1">
    <w:name w:val="Body Text1"/>
    <w:basedOn w:val="Normal"/>
    <w:uiPriority w:val="9"/>
    <w:rsid w:val="004338E3"/>
    <w:pPr>
      <w:spacing w:line="480" w:lineRule="auto"/>
      <w:jc w:val="both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973C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15272"/>
    <w:rPr>
      <w:rFonts w:asciiTheme="majorHAnsi" w:hAnsiTheme="majorHAnsi"/>
      <w:b/>
      <w:caps/>
      <w:kern w:val="28"/>
      <w:sz w:val="24"/>
      <w:szCs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152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272"/>
    <w:pPr>
      <w:spacing w:line="240" w:lineRule="auto"/>
    </w:pPr>
    <w:rPr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272"/>
    <w:rPr>
      <w:rFonts w:asciiTheme="minorHAnsi" w:hAnsiTheme="minorHAnsi"/>
      <w:sz w:val="24"/>
      <w:szCs w:val="24"/>
    </w:rPr>
  </w:style>
  <w:style w:type="paragraph" w:styleId="NoSpacing">
    <w:name w:val="No Spacing"/>
    <w:uiPriority w:val="9"/>
    <w:qFormat/>
    <w:rsid w:val="007F5F75"/>
    <w:pPr>
      <w:suppressAutoHyphens/>
    </w:pPr>
    <w:rPr>
      <w:rFonts w:asciiTheme="minorHAnsi" w:hAnsiTheme="minorHAnsi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K_Standar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659A8-6B1C-49D4-BF5A-7CF9D0AC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2012-10-26T08:36:00Z</cp:lastPrinted>
  <dcterms:created xsi:type="dcterms:W3CDTF">2012-10-28T20:58:00Z</dcterms:created>
  <dcterms:modified xsi:type="dcterms:W3CDTF">2012-10-29T15:51:00Z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