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1B8" w:rsidRDefault="00D35AA9">
      <w:r w:rsidRPr="00D35AA9">
        <w:rPr>
          <w:noProof/>
          <w:lang w:eastAsia="de-DE"/>
        </w:rPr>
        <w:drawing>
          <wp:inline distT="0" distB="0" distL="0" distR="0">
            <wp:extent cx="5760720" cy="6553845"/>
            <wp:effectExtent l="19050" t="0" r="11430" b="0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35AA9" w:rsidRPr="00056829" w:rsidRDefault="00D35AA9">
      <w:pPr>
        <w:rPr>
          <w:rFonts w:asciiTheme="majorHAnsi" w:hAnsiTheme="majorHAnsi"/>
          <w:sz w:val="20"/>
          <w:szCs w:val="20"/>
          <w:lang w:val="en-US"/>
        </w:rPr>
      </w:pPr>
      <w:r w:rsidRPr="00056829">
        <w:rPr>
          <w:rFonts w:asciiTheme="majorHAnsi" w:hAnsiTheme="majorHAnsi"/>
          <w:sz w:val="20"/>
          <w:szCs w:val="20"/>
          <w:lang w:val="en-US"/>
        </w:rPr>
        <w:t xml:space="preserve">Graph 1: </w:t>
      </w:r>
      <w:r w:rsidR="00056829" w:rsidRPr="00056829">
        <w:rPr>
          <w:rFonts w:asciiTheme="majorHAnsi" w:hAnsiTheme="majorHAnsi"/>
          <w:sz w:val="20"/>
          <w:szCs w:val="20"/>
          <w:lang w:val="en-US"/>
        </w:rPr>
        <w:t xml:space="preserve">Proportions of households who </w:t>
      </w:r>
      <w:r w:rsidR="00D41E3A" w:rsidRPr="00056829">
        <w:rPr>
          <w:rFonts w:asciiTheme="majorHAnsi" w:hAnsiTheme="majorHAnsi"/>
          <w:sz w:val="20"/>
          <w:szCs w:val="20"/>
          <w:lang w:val="en-US"/>
        </w:rPr>
        <w:t>undertake</w:t>
      </w:r>
      <w:r w:rsidR="00056829" w:rsidRPr="00056829">
        <w:rPr>
          <w:rFonts w:asciiTheme="majorHAnsi" w:hAnsiTheme="majorHAnsi"/>
          <w:sz w:val="20"/>
          <w:szCs w:val="20"/>
          <w:lang w:val="en-US"/>
        </w:rPr>
        <w:t xml:space="preserve"> specific adaptation measures within all </w:t>
      </w:r>
      <w:r w:rsidR="00056829">
        <w:rPr>
          <w:rFonts w:asciiTheme="majorHAnsi" w:hAnsiTheme="majorHAnsi"/>
          <w:sz w:val="20"/>
          <w:szCs w:val="20"/>
          <w:lang w:val="en-US"/>
        </w:rPr>
        <w:t>sample areas.</w:t>
      </w:r>
    </w:p>
    <w:sectPr w:rsidR="00D35AA9" w:rsidRPr="00056829" w:rsidSect="00F90B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5AA9"/>
    <w:rsid w:val="00056829"/>
    <w:rsid w:val="0011288D"/>
    <w:rsid w:val="00384750"/>
    <w:rsid w:val="00C54F13"/>
    <w:rsid w:val="00D35AA9"/>
    <w:rsid w:val="00D41E3A"/>
    <w:rsid w:val="00F90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90B6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5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5A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geofs2.geographie.uni-kiel.de\sungg488\AG_Vafeidis\sungg488\proposal\1paper\anticipatory_adaptation_final\household_adaptation_clusteranalysis_graph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de-DE"/>
  <c:style val="25"/>
  <c:chart>
    <c:autoTitleDeleted val="1"/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Tabelle1!$B$1</c:f>
              <c:strCache>
                <c:ptCount val="1"/>
                <c:pt idx="0">
                  <c:v>Percentage</c:v>
                </c:pt>
              </c:strCache>
            </c:strRef>
          </c:tx>
          <c:dLbls>
            <c:dLbl>
              <c:idx val="1"/>
              <c:layout>
                <c:manualLayout>
                  <c:x val="4.4091710758377431E-3"/>
                  <c:y val="1.9377937683909129E-3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latin typeface="+mj-lt"/>
                  </a:defRPr>
                </a:pPr>
                <a:endParaRPr lang="de-DE"/>
              </a:p>
            </c:txPr>
            <c:showVal val="1"/>
          </c:dLbls>
          <c:cat>
            <c:strRef>
              <c:f>Tabelle1!$A$2:$A$30</c:f>
              <c:strCache>
                <c:ptCount val="29"/>
                <c:pt idx="0">
                  <c:v>Knowledge about electricity</c:v>
                </c:pt>
                <c:pt idx="1">
                  <c:v>Attention to warnings</c:v>
                </c:pt>
                <c:pt idx="2">
                  <c:v>Important documents </c:v>
                </c:pt>
                <c:pt idx="3">
                  <c:v>Intentional risk information</c:v>
                </c:pt>
                <c:pt idx="4">
                  <c:v>Reading brochures</c:v>
                </c:pt>
                <c:pt idx="5">
                  <c:v>Phone number</c:v>
                </c:pt>
                <c:pt idx="6">
                  <c:v>Active planning</c:v>
                </c:pt>
                <c:pt idx="7">
                  <c:v>Emergency kit</c:v>
                </c:pt>
                <c:pt idx="8">
                  <c:v>Rooms position change</c:v>
                </c:pt>
                <c:pt idx="9">
                  <c:v>Insurance informing </c:v>
                </c:pt>
                <c:pt idx="10">
                  <c:v>Intentional adaptation information</c:v>
                </c:pt>
                <c:pt idx="11">
                  <c:v>Electricity </c:v>
                </c:pt>
                <c:pt idx="12">
                  <c:v>Heating</c:v>
                </c:pt>
                <c:pt idx="13">
                  <c:v>Neighbor networking</c:v>
                </c:pt>
                <c:pt idx="14">
                  <c:v>House elevation</c:v>
                </c:pt>
                <c:pt idx="15">
                  <c:v>Objects position change</c:v>
                </c:pt>
                <c:pt idx="16">
                  <c:v>Individual evacuation plan</c:v>
                </c:pt>
                <c:pt idx="17">
                  <c:v>Pump</c:v>
                </c:pt>
                <c:pt idx="18">
                  <c:v>Substances</c:v>
                </c:pt>
                <c:pt idx="19">
                  <c:v>Attending information sessions</c:v>
                </c:pt>
                <c:pt idx="20">
                  <c:v>Furniture position change </c:v>
                </c:pt>
                <c:pt idx="21">
                  <c:v>Action group participation</c:v>
                </c:pt>
                <c:pt idx="22">
                  <c:v>Others built</c:v>
                </c:pt>
                <c:pt idx="23">
                  <c:v>Barriers basement</c:v>
                </c:pt>
                <c:pt idx="24">
                  <c:v>Evacuation drill participation</c:v>
                </c:pt>
                <c:pt idx="25">
                  <c:v>Migration</c:v>
                </c:pt>
                <c:pt idx="26">
                  <c:v>Barriers windows</c:v>
                </c:pt>
                <c:pt idx="27">
                  <c:v>Barriers doors</c:v>
                </c:pt>
                <c:pt idx="28">
                  <c:v>Sandbags</c:v>
                </c:pt>
              </c:strCache>
            </c:strRef>
          </c:cat>
          <c:val>
            <c:numRef>
              <c:f>Tabelle1!$B$2:$B$30</c:f>
              <c:numCache>
                <c:formatCode>General</c:formatCode>
                <c:ptCount val="29"/>
                <c:pt idx="0">
                  <c:v>96</c:v>
                </c:pt>
                <c:pt idx="1">
                  <c:v>93.9</c:v>
                </c:pt>
                <c:pt idx="2">
                  <c:v>88.2</c:v>
                </c:pt>
                <c:pt idx="3">
                  <c:v>68.900000000000006</c:v>
                </c:pt>
                <c:pt idx="4">
                  <c:v>63.8</c:v>
                </c:pt>
                <c:pt idx="5">
                  <c:v>62.1</c:v>
                </c:pt>
                <c:pt idx="6">
                  <c:v>57.1</c:v>
                </c:pt>
                <c:pt idx="7">
                  <c:v>55.8</c:v>
                </c:pt>
                <c:pt idx="8">
                  <c:v>54.5</c:v>
                </c:pt>
                <c:pt idx="9">
                  <c:v>40.9</c:v>
                </c:pt>
                <c:pt idx="10">
                  <c:v>38.4</c:v>
                </c:pt>
                <c:pt idx="11">
                  <c:v>29.7</c:v>
                </c:pt>
                <c:pt idx="12">
                  <c:v>26.9</c:v>
                </c:pt>
                <c:pt idx="13">
                  <c:v>26.3</c:v>
                </c:pt>
                <c:pt idx="14">
                  <c:v>25.4</c:v>
                </c:pt>
                <c:pt idx="15">
                  <c:v>23.6</c:v>
                </c:pt>
                <c:pt idx="16">
                  <c:v>23.1</c:v>
                </c:pt>
                <c:pt idx="17">
                  <c:v>22</c:v>
                </c:pt>
                <c:pt idx="18">
                  <c:v>18.899999999999999</c:v>
                </c:pt>
                <c:pt idx="19">
                  <c:v>17.899999999999999</c:v>
                </c:pt>
                <c:pt idx="20">
                  <c:v>15</c:v>
                </c:pt>
                <c:pt idx="21">
                  <c:v>14.8</c:v>
                </c:pt>
                <c:pt idx="22">
                  <c:v>11.4</c:v>
                </c:pt>
                <c:pt idx="23">
                  <c:v>8</c:v>
                </c:pt>
                <c:pt idx="24">
                  <c:v>7.8</c:v>
                </c:pt>
                <c:pt idx="25">
                  <c:v>7.1</c:v>
                </c:pt>
                <c:pt idx="26">
                  <c:v>6.3</c:v>
                </c:pt>
                <c:pt idx="27">
                  <c:v>6</c:v>
                </c:pt>
                <c:pt idx="28">
                  <c:v>2.6</c:v>
                </c:pt>
              </c:numCache>
            </c:numRef>
          </c:val>
        </c:ser>
        <c:dLbls>
          <c:showVal val="1"/>
        </c:dLbls>
        <c:shape val="box"/>
        <c:axId val="53875072"/>
        <c:axId val="54706560"/>
        <c:axId val="0"/>
      </c:bar3DChart>
      <c:catAx>
        <c:axId val="53875072"/>
        <c:scaling>
          <c:orientation val="maxMin"/>
        </c:scaling>
        <c:axPos val="l"/>
        <c:majorTickMark val="none"/>
        <c:tickLblPos val="nextTo"/>
        <c:txPr>
          <a:bodyPr/>
          <a:lstStyle/>
          <a:p>
            <a:pPr>
              <a:defRPr>
                <a:latin typeface="+mj-lt"/>
              </a:defRPr>
            </a:pPr>
            <a:endParaRPr lang="de-DE"/>
          </a:p>
        </c:txPr>
        <c:crossAx val="54706560"/>
        <c:crosses val="autoZero"/>
        <c:auto val="1"/>
        <c:lblAlgn val="ctr"/>
        <c:lblOffset val="100"/>
      </c:catAx>
      <c:valAx>
        <c:axId val="54706560"/>
        <c:scaling>
          <c:orientation val="minMax"/>
        </c:scaling>
        <c:delete val="1"/>
        <c:axPos val="t"/>
        <c:numFmt formatCode="General" sourceLinked="1"/>
        <c:majorTickMark val="none"/>
        <c:tickLblPos val="none"/>
        <c:crossAx val="5387507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91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koerth</dc:creator>
  <cp:lastModifiedBy>koerth</cp:lastModifiedBy>
  <cp:revision>3</cp:revision>
  <dcterms:created xsi:type="dcterms:W3CDTF">2014-02-04T09:55:00Z</dcterms:created>
  <dcterms:modified xsi:type="dcterms:W3CDTF">2014-02-04T10:02:00Z</dcterms:modified>
</cp:coreProperties>
</file>