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31D" w:rsidRDefault="007316FC" w:rsidP="00BD131D">
      <w:pPr>
        <w:autoSpaceDE w:val="0"/>
        <w:autoSpaceDN w:val="0"/>
        <w:adjustRightInd w:val="0"/>
        <w:spacing w:line="360" w:lineRule="auto"/>
        <w:jc w:val="center"/>
        <w:rPr>
          <w:b/>
          <w:bCs/>
          <w:color w:val="000000"/>
        </w:rPr>
      </w:pPr>
      <w:r>
        <w:rPr>
          <w:b/>
          <w:bCs/>
          <w:color w:val="000000"/>
        </w:rPr>
        <w:t xml:space="preserve">Appendix A:  </w:t>
      </w:r>
      <w:r w:rsidR="00BD131D">
        <w:rPr>
          <w:b/>
          <w:bCs/>
          <w:color w:val="000000"/>
        </w:rPr>
        <w:t>Data Description and S</w:t>
      </w:r>
      <w:r w:rsidRPr="00E96D97">
        <w:rPr>
          <w:b/>
          <w:bCs/>
          <w:color w:val="000000"/>
        </w:rPr>
        <w:t>ources</w:t>
      </w:r>
    </w:p>
    <w:p w:rsidR="00BD131D" w:rsidRDefault="00602606" w:rsidP="007316FC">
      <w:pPr>
        <w:autoSpaceDE w:val="0"/>
        <w:autoSpaceDN w:val="0"/>
        <w:adjustRightInd w:val="0"/>
        <w:spacing w:line="360" w:lineRule="auto"/>
        <w:ind w:left="360"/>
        <w:rPr>
          <w:b/>
        </w:rPr>
      </w:pPr>
      <w:r w:rsidRPr="00602606">
        <w:rPr>
          <w:noProof/>
        </w:rPr>
        <w:drawing>
          <wp:inline distT="0" distB="0" distL="0" distR="0">
            <wp:extent cx="5943600" cy="1372600"/>
            <wp:effectExtent l="0" t="0" r="0" b="0"/>
            <wp:docPr id="52" name="Picture 52" descr="FRBShape; FRBDatabase=None; Key=0; Date Inserted=01/01/1900; Inserted by=Nobody; Date updated=01/01/1900; Updated by=N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1372600"/>
                    </a:xfrm>
                    <a:prstGeom prst="rect">
                      <a:avLst/>
                    </a:prstGeom>
                    <a:noFill/>
                    <a:ln>
                      <a:noFill/>
                    </a:ln>
                  </pic:spPr>
                </pic:pic>
              </a:graphicData>
            </a:graphic>
          </wp:inline>
        </w:drawing>
      </w:r>
    </w:p>
    <w:p w:rsidR="000522F3" w:rsidRDefault="000522F3" w:rsidP="00691A9F">
      <w:pPr>
        <w:autoSpaceDE w:val="0"/>
        <w:autoSpaceDN w:val="0"/>
        <w:adjustRightInd w:val="0"/>
        <w:ind w:left="360"/>
        <w:rPr>
          <w:b/>
        </w:rPr>
      </w:pPr>
    </w:p>
    <w:p w:rsidR="00BD131D" w:rsidRDefault="00BD131D" w:rsidP="00691A9F">
      <w:pPr>
        <w:autoSpaceDE w:val="0"/>
        <w:autoSpaceDN w:val="0"/>
        <w:adjustRightInd w:val="0"/>
        <w:ind w:left="360"/>
        <w:rPr>
          <w:b/>
        </w:rPr>
      </w:pPr>
      <w:r>
        <w:rPr>
          <w:b/>
        </w:rPr>
        <w:t>Data Sources</w:t>
      </w:r>
    </w:p>
    <w:p w:rsidR="00691A9F" w:rsidRDefault="00691A9F" w:rsidP="00691A9F">
      <w:pPr>
        <w:autoSpaceDE w:val="0"/>
        <w:autoSpaceDN w:val="0"/>
        <w:adjustRightInd w:val="0"/>
        <w:ind w:left="360"/>
        <w:rPr>
          <w:b/>
        </w:rPr>
      </w:pPr>
    </w:p>
    <w:p w:rsidR="007316FC" w:rsidRPr="00B47D52" w:rsidRDefault="007316FC" w:rsidP="005F0DEF">
      <w:pPr>
        <w:autoSpaceDE w:val="0"/>
        <w:autoSpaceDN w:val="0"/>
        <w:adjustRightInd w:val="0"/>
        <w:ind w:left="360"/>
        <w:jc w:val="both"/>
        <w:rPr>
          <w:b/>
        </w:rPr>
      </w:pPr>
      <w:r>
        <w:rPr>
          <w:b/>
        </w:rPr>
        <w:t>Australia</w:t>
      </w:r>
    </w:p>
    <w:p w:rsidR="007316FC" w:rsidRPr="007316FC"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r w:rsidRPr="007316FC">
        <w:rPr>
          <w:rFonts w:ascii="Times New Roman" w:hAnsi="Times New Roman" w:cs="Times New Roman"/>
          <w:color w:val="000000"/>
          <w:sz w:val="24"/>
          <w:szCs w:val="24"/>
        </w:rPr>
        <w:t xml:space="preserve">Historical population estimates are from </w:t>
      </w:r>
      <w:r w:rsidRPr="007316FC">
        <w:rPr>
          <w:rFonts w:ascii="Times New Roman" w:hAnsi="Times New Roman" w:cs="Times New Roman"/>
          <w:i/>
          <w:color w:val="000000"/>
          <w:sz w:val="24"/>
          <w:szCs w:val="24"/>
        </w:rPr>
        <w:t>the Australian Bureau of Statistics www.abs.gov.au</w:t>
      </w:r>
      <w:r w:rsidRPr="007316FC" w:rsidDel="00547807">
        <w:rPr>
          <w:rFonts w:ascii="Times New Roman" w:hAnsi="Times New Roman" w:cs="Times New Roman"/>
          <w:i/>
          <w:color w:val="000000"/>
          <w:sz w:val="24"/>
          <w:szCs w:val="24"/>
        </w:rPr>
        <w:t xml:space="preserve"> </w:t>
      </w:r>
    </w:p>
    <w:p w:rsidR="007316FC"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proofErr w:type="spellStart"/>
      <w:r w:rsidRPr="007316FC">
        <w:rPr>
          <w:rFonts w:ascii="Times New Roman" w:hAnsi="Times New Roman" w:cs="Times New Roman"/>
          <w:color w:val="000000"/>
          <w:sz w:val="24"/>
          <w:szCs w:val="24"/>
        </w:rPr>
        <w:t>DSP</w:t>
      </w:r>
      <w:proofErr w:type="spellEnd"/>
      <w:r w:rsidRPr="007316FC">
        <w:rPr>
          <w:rFonts w:ascii="Times New Roman" w:hAnsi="Times New Roman" w:cs="Times New Roman"/>
          <w:color w:val="000000"/>
          <w:sz w:val="24"/>
          <w:szCs w:val="24"/>
        </w:rPr>
        <w:t xml:space="preserve"> caseload data is from Australian Government Department of Social Services Statistical Paper</w:t>
      </w:r>
      <w:r w:rsidR="00450B66">
        <w:rPr>
          <w:rFonts w:ascii="Times New Roman" w:hAnsi="Times New Roman" w:cs="Times New Roman"/>
          <w:color w:val="000000"/>
          <w:sz w:val="24"/>
          <w:szCs w:val="24"/>
        </w:rPr>
        <w:t>s</w:t>
      </w:r>
      <w:r w:rsidRPr="007316FC">
        <w:rPr>
          <w:rFonts w:ascii="Times New Roman" w:hAnsi="Times New Roman" w:cs="Times New Roman"/>
          <w:color w:val="000000"/>
          <w:sz w:val="24"/>
          <w:szCs w:val="24"/>
        </w:rPr>
        <w:t xml:space="preserve"> 1-10 </w:t>
      </w:r>
      <w:hyperlink r:id="rId9" w:history="1">
        <w:r w:rsidRPr="00DF65E7">
          <w:rPr>
            <w:rStyle w:val="Hyperlink"/>
            <w:rFonts w:ascii="Times New Roman" w:hAnsi="Times New Roman" w:cs="Times New Roman"/>
            <w:sz w:val="24"/>
            <w:szCs w:val="24"/>
          </w:rPr>
          <w:t>http://www.humanservices.gov.au/</w:t>
        </w:r>
      </w:hyperlink>
    </w:p>
    <w:p w:rsidR="007316FC" w:rsidRPr="007316FC"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p>
    <w:p w:rsidR="007316FC" w:rsidRPr="007316FC" w:rsidRDefault="007316FC" w:rsidP="005F0DEF">
      <w:pPr>
        <w:autoSpaceDE w:val="0"/>
        <w:autoSpaceDN w:val="0"/>
        <w:adjustRightInd w:val="0"/>
        <w:ind w:left="360"/>
        <w:jc w:val="both"/>
        <w:rPr>
          <w:b/>
          <w:color w:val="000000"/>
        </w:rPr>
      </w:pPr>
      <w:r w:rsidRPr="007316FC">
        <w:rPr>
          <w:b/>
          <w:color w:val="000000"/>
        </w:rPr>
        <w:t>Great Britain</w:t>
      </w:r>
    </w:p>
    <w:p w:rsidR="007316FC" w:rsidRPr="007316FC"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r w:rsidRPr="007316FC">
        <w:rPr>
          <w:rFonts w:ascii="Times New Roman" w:hAnsi="Times New Roman" w:cs="Times New Roman"/>
          <w:color w:val="000000"/>
          <w:sz w:val="24"/>
          <w:szCs w:val="24"/>
        </w:rPr>
        <w:t>Historical population estimates are mid-year population estimates from the Office for National Statistics http://www.ons.gov.</w:t>
      </w:r>
      <w:r w:rsidR="00F36242">
        <w:rPr>
          <w:rFonts w:ascii="Times New Roman" w:hAnsi="Times New Roman" w:cs="Times New Roman"/>
          <w:color w:val="000000"/>
          <w:sz w:val="24"/>
          <w:szCs w:val="24"/>
        </w:rPr>
        <w:t>GB</w:t>
      </w:r>
    </w:p>
    <w:p w:rsidR="007316FC" w:rsidRPr="007316FC"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r w:rsidRPr="007316FC">
        <w:rPr>
          <w:rFonts w:ascii="Times New Roman" w:hAnsi="Times New Roman" w:cs="Times New Roman"/>
          <w:color w:val="000000"/>
          <w:sz w:val="24"/>
          <w:szCs w:val="24"/>
        </w:rPr>
        <w:t xml:space="preserve">Disability benefit caseload data (combining </w:t>
      </w:r>
      <w:proofErr w:type="spellStart"/>
      <w:r w:rsidRPr="007316FC">
        <w:rPr>
          <w:rFonts w:ascii="Times New Roman" w:hAnsi="Times New Roman" w:cs="Times New Roman"/>
          <w:color w:val="000000"/>
          <w:sz w:val="24"/>
          <w:szCs w:val="24"/>
        </w:rPr>
        <w:t>IV</w:t>
      </w:r>
      <w:r w:rsidR="00691A9F">
        <w:rPr>
          <w:rFonts w:ascii="Times New Roman" w:hAnsi="Times New Roman" w:cs="Times New Roman"/>
          <w:color w:val="000000"/>
          <w:sz w:val="24"/>
          <w:szCs w:val="24"/>
        </w:rPr>
        <w:t>B</w:t>
      </w:r>
      <w:proofErr w:type="spellEnd"/>
      <w:r w:rsidR="00691A9F">
        <w:rPr>
          <w:rFonts w:ascii="Times New Roman" w:hAnsi="Times New Roman" w:cs="Times New Roman"/>
          <w:color w:val="000000"/>
          <w:sz w:val="24"/>
          <w:szCs w:val="24"/>
        </w:rPr>
        <w:t xml:space="preserve">, IB and </w:t>
      </w:r>
      <w:proofErr w:type="spellStart"/>
      <w:r w:rsidR="00691A9F">
        <w:rPr>
          <w:rFonts w:ascii="Times New Roman" w:hAnsi="Times New Roman" w:cs="Times New Roman"/>
          <w:color w:val="000000"/>
          <w:sz w:val="24"/>
          <w:szCs w:val="24"/>
        </w:rPr>
        <w:t>ESA</w:t>
      </w:r>
      <w:proofErr w:type="spellEnd"/>
      <w:r w:rsidR="00691A9F">
        <w:rPr>
          <w:rFonts w:ascii="Times New Roman" w:hAnsi="Times New Roman" w:cs="Times New Roman"/>
          <w:color w:val="000000"/>
          <w:sz w:val="24"/>
          <w:szCs w:val="24"/>
        </w:rPr>
        <w:t xml:space="preserve"> caseloads) are </w:t>
      </w:r>
      <w:r w:rsidRPr="007316FC">
        <w:rPr>
          <w:rFonts w:ascii="Times New Roman" w:hAnsi="Times New Roman" w:cs="Times New Roman"/>
          <w:color w:val="000000"/>
          <w:sz w:val="24"/>
          <w:szCs w:val="24"/>
        </w:rPr>
        <w:t xml:space="preserve">from Social Security Statistics, and from 1999 onwards, from the Department of Work and Pensions, </w:t>
      </w:r>
      <w:hyperlink r:id="rId10" w:history="1">
        <w:r w:rsidRPr="007316FC">
          <w:rPr>
            <w:rStyle w:val="Hyperlink"/>
            <w:rFonts w:ascii="Times New Roman" w:hAnsi="Times New Roman" w:cs="Times New Roman"/>
            <w:sz w:val="24"/>
            <w:szCs w:val="24"/>
          </w:rPr>
          <w:t>http://dwp.gov.uk</w:t>
        </w:r>
      </w:hyperlink>
      <w:r w:rsidRPr="007316FC">
        <w:rPr>
          <w:rFonts w:ascii="Times New Roman" w:hAnsi="Times New Roman" w:cs="Times New Roman"/>
          <w:color w:val="000000"/>
          <w:sz w:val="24"/>
          <w:szCs w:val="24"/>
        </w:rPr>
        <w:t xml:space="preserve">. </w:t>
      </w:r>
    </w:p>
    <w:p w:rsidR="007316FC" w:rsidRPr="007316FC"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p>
    <w:p w:rsidR="007316FC" w:rsidRDefault="007316FC" w:rsidP="005F0DEF">
      <w:pPr>
        <w:autoSpaceDE w:val="0"/>
        <w:autoSpaceDN w:val="0"/>
        <w:adjustRightInd w:val="0"/>
        <w:ind w:left="360"/>
        <w:jc w:val="both"/>
        <w:rPr>
          <w:b/>
          <w:color w:val="000000"/>
        </w:rPr>
      </w:pPr>
      <w:r>
        <w:rPr>
          <w:b/>
          <w:color w:val="000000"/>
        </w:rPr>
        <w:t>Netherlands</w:t>
      </w:r>
    </w:p>
    <w:p w:rsidR="007316FC" w:rsidRPr="00895C9D"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Historical population data are from Statistics Netherlands. http://www.cbs.nl/en-GB/menu/home/default.htm</w:t>
      </w:r>
    </w:p>
    <w:p w:rsidR="007316FC"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Disability insurance caseloads data are from the Institute of Employee Benefit Schemes, courtesy of </w:t>
      </w:r>
      <w:r w:rsidRPr="00895C9D">
        <w:rPr>
          <w:rFonts w:ascii="Times New Roman" w:hAnsi="Times New Roman" w:cs="Times New Roman"/>
          <w:color w:val="000000"/>
          <w:sz w:val="24"/>
          <w:szCs w:val="24"/>
        </w:rPr>
        <w:t xml:space="preserve">Jan Maarten van </w:t>
      </w:r>
      <w:proofErr w:type="spellStart"/>
      <w:r w:rsidRPr="00895C9D">
        <w:rPr>
          <w:rFonts w:ascii="Times New Roman" w:hAnsi="Times New Roman" w:cs="Times New Roman"/>
          <w:color w:val="000000"/>
          <w:sz w:val="24"/>
          <w:szCs w:val="24"/>
        </w:rPr>
        <w:t>Sonsbeek</w:t>
      </w:r>
      <w:proofErr w:type="spellEnd"/>
      <w:r>
        <w:rPr>
          <w:rFonts w:ascii="Times New Roman" w:hAnsi="Times New Roman" w:cs="Times New Roman"/>
          <w:color w:val="000000"/>
          <w:sz w:val="24"/>
          <w:szCs w:val="24"/>
        </w:rPr>
        <w:t>.</w:t>
      </w:r>
    </w:p>
    <w:p w:rsidR="007316FC" w:rsidRPr="00895C9D"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p>
    <w:p w:rsidR="007316FC" w:rsidRDefault="007316FC" w:rsidP="005F0DEF">
      <w:pPr>
        <w:autoSpaceDE w:val="0"/>
        <w:autoSpaceDN w:val="0"/>
        <w:adjustRightInd w:val="0"/>
        <w:ind w:left="360"/>
        <w:jc w:val="both"/>
        <w:rPr>
          <w:b/>
          <w:color w:val="000000"/>
        </w:rPr>
      </w:pPr>
      <w:r>
        <w:rPr>
          <w:b/>
          <w:color w:val="000000"/>
        </w:rPr>
        <w:t>Sweden</w:t>
      </w:r>
    </w:p>
    <w:p w:rsidR="007316FC" w:rsidRPr="00B47D52"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r>
        <w:rPr>
          <w:rFonts w:ascii="Times New Roman" w:hAnsi="Times New Roman" w:cs="Times New Roman"/>
          <w:color w:val="000000"/>
          <w:sz w:val="24"/>
          <w:szCs w:val="24"/>
        </w:rPr>
        <w:t>Historical population estimates are from Statistics Sweden. http://scb.se</w:t>
      </w:r>
    </w:p>
    <w:p w:rsidR="007316FC"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Disability Insurance prevalence data are from the Social Insurance Agency yearbooks, </w:t>
      </w:r>
      <w:r w:rsidR="00691A9F">
        <w:rPr>
          <w:rFonts w:ascii="Times New Roman" w:hAnsi="Times New Roman" w:cs="Times New Roman"/>
          <w:color w:val="000000"/>
          <w:sz w:val="24"/>
          <w:szCs w:val="24"/>
        </w:rPr>
        <w:t xml:space="preserve">courtesy of </w:t>
      </w:r>
      <w:r>
        <w:rPr>
          <w:rFonts w:ascii="Times New Roman" w:hAnsi="Times New Roman" w:cs="Times New Roman"/>
          <w:color w:val="000000"/>
          <w:sz w:val="24"/>
          <w:szCs w:val="24"/>
        </w:rPr>
        <w:t xml:space="preserve">Lisa </w:t>
      </w:r>
      <w:proofErr w:type="spellStart"/>
      <w:r>
        <w:rPr>
          <w:rFonts w:ascii="Times New Roman" w:hAnsi="Times New Roman" w:cs="Times New Roman"/>
          <w:color w:val="000000"/>
          <w:sz w:val="24"/>
          <w:szCs w:val="24"/>
        </w:rPr>
        <w:t>Laun</w:t>
      </w:r>
      <w:proofErr w:type="spellEnd"/>
      <w:r w:rsidR="00691A9F">
        <w:rPr>
          <w:rFonts w:ascii="Times New Roman" w:hAnsi="Times New Roman" w:cs="Times New Roman"/>
          <w:color w:val="000000"/>
          <w:sz w:val="24"/>
          <w:szCs w:val="24"/>
        </w:rPr>
        <w:t xml:space="preserve"> and Marten Palme</w:t>
      </w:r>
      <w:r>
        <w:rPr>
          <w:rFonts w:ascii="Times New Roman" w:hAnsi="Times New Roman" w:cs="Times New Roman"/>
          <w:color w:val="000000"/>
          <w:sz w:val="24"/>
          <w:szCs w:val="24"/>
        </w:rPr>
        <w:t>.</w:t>
      </w:r>
    </w:p>
    <w:p w:rsidR="007316FC" w:rsidRPr="00895C9D" w:rsidRDefault="007316FC" w:rsidP="005F0DEF">
      <w:pPr>
        <w:pStyle w:val="ListParagraph"/>
        <w:autoSpaceDE w:val="0"/>
        <w:autoSpaceDN w:val="0"/>
        <w:adjustRightInd w:val="0"/>
        <w:spacing w:line="240" w:lineRule="auto"/>
        <w:jc w:val="both"/>
        <w:rPr>
          <w:rFonts w:ascii="Times New Roman" w:hAnsi="Times New Roman" w:cs="Times New Roman"/>
          <w:b/>
          <w:color w:val="000000"/>
          <w:sz w:val="24"/>
          <w:szCs w:val="24"/>
        </w:rPr>
      </w:pPr>
    </w:p>
    <w:p w:rsidR="007316FC" w:rsidRDefault="007316FC" w:rsidP="005F0DEF">
      <w:pPr>
        <w:autoSpaceDE w:val="0"/>
        <w:autoSpaceDN w:val="0"/>
        <w:adjustRightInd w:val="0"/>
        <w:ind w:firstLine="360"/>
        <w:jc w:val="both"/>
        <w:rPr>
          <w:b/>
          <w:bCs/>
          <w:color w:val="000000"/>
        </w:rPr>
      </w:pPr>
      <w:r>
        <w:rPr>
          <w:b/>
          <w:bCs/>
          <w:color w:val="000000"/>
        </w:rPr>
        <w:t>United States</w:t>
      </w:r>
    </w:p>
    <w:p w:rsidR="007316FC" w:rsidRPr="00895C9D" w:rsidRDefault="007316FC" w:rsidP="005F0DEF">
      <w:pPr>
        <w:pStyle w:val="ListParagraph"/>
        <w:autoSpaceDE w:val="0"/>
        <w:autoSpaceDN w:val="0"/>
        <w:adjustRightInd w:val="0"/>
        <w:spacing w:line="240" w:lineRule="auto"/>
        <w:jc w:val="both"/>
        <w:rPr>
          <w:rFonts w:ascii="Times New Roman" w:hAnsi="Times New Roman" w:cs="Times New Roman"/>
          <w:sz w:val="24"/>
          <w:szCs w:val="24"/>
        </w:rPr>
      </w:pPr>
      <w:r w:rsidRPr="00044DE9">
        <w:rPr>
          <w:rFonts w:ascii="Times New Roman" w:hAnsi="Times New Roman" w:cs="Times New Roman"/>
          <w:sz w:val="24"/>
          <w:szCs w:val="24"/>
        </w:rPr>
        <w:t xml:space="preserve">Historical population estimates are from the </w:t>
      </w:r>
      <w:r>
        <w:rPr>
          <w:rFonts w:ascii="Times New Roman" w:hAnsi="Times New Roman" w:cs="Times New Roman"/>
          <w:sz w:val="24"/>
          <w:szCs w:val="24"/>
        </w:rPr>
        <w:t>Census Bureau’s Annual Estimates of Resident Population. http://www.census.gov</w:t>
      </w:r>
    </w:p>
    <w:p w:rsidR="007316FC" w:rsidRPr="00E96D97" w:rsidRDefault="007316FC" w:rsidP="005F0DEF">
      <w:pPr>
        <w:pStyle w:val="ListParagraph"/>
        <w:autoSpaceDE w:val="0"/>
        <w:autoSpaceDN w:val="0"/>
        <w:adjustRightInd w:val="0"/>
        <w:spacing w:line="240" w:lineRule="auto"/>
        <w:jc w:val="both"/>
        <w:rPr>
          <w:rFonts w:ascii="Times New Roman" w:hAnsi="Times New Roman" w:cs="Times New Roman"/>
          <w:color w:val="000000"/>
          <w:sz w:val="24"/>
          <w:szCs w:val="24"/>
        </w:rPr>
      </w:pPr>
      <w:proofErr w:type="spellStart"/>
      <w:r w:rsidRPr="00E96D97">
        <w:rPr>
          <w:rFonts w:ascii="Times New Roman" w:hAnsi="Times New Roman" w:cs="Times New Roman"/>
          <w:color w:val="000000"/>
          <w:sz w:val="24"/>
          <w:szCs w:val="24"/>
        </w:rPr>
        <w:t>SSDI</w:t>
      </w:r>
      <w:proofErr w:type="spellEnd"/>
      <w:r w:rsidRPr="00E96D97">
        <w:rPr>
          <w:rFonts w:ascii="Times New Roman" w:hAnsi="Times New Roman" w:cs="Times New Roman"/>
          <w:color w:val="000000"/>
          <w:sz w:val="24"/>
          <w:szCs w:val="24"/>
        </w:rPr>
        <w:t xml:space="preserve"> caseloads and covered workers </w:t>
      </w:r>
      <w:r>
        <w:rPr>
          <w:rFonts w:ascii="Times New Roman" w:hAnsi="Times New Roman" w:cs="Times New Roman"/>
          <w:color w:val="000000"/>
          <w:sz w:val="24"/>
          <w:szCs w:val="24"/>
        </w:rPr>
        <w:t xml:space="preserve">data </w:t>
      </w:r>
      <w:r w:rsidRPr="00E96D97">
        <w:rPr>
          <w:rFonts w:ascii="Times New Roman" w:hAnsi="Times New Roman" w:cs="Times New Roman"/>
          <w:color w:val="000000"/>
          <w:sz w:val="24"/>
          <w:szCs w:val="24"/>
        </w:rPr>
        <w:t>are from the Annual Statistical Supplement to the Social Security Bulletin.</w:t>
      </w:r>
      <w:r>
        <w:rPr>
          <w:rFonts w:ascii="Times New Roman" w:hAnsi="Times New Roman" w:cs="Times New Roman"/>
          <w:color w:val="000000"/>
          <w:sz w:val="24"/>
          <w:szCs w:val="24"/>
        </w:rPr>
        <w:t xml:space="preserve"> </w:t>
      </w:r>
      <w:r w:rsidRPr="0037758A">
        <w:rPr>
          <w:rFonts w:ascii="Times New Roman" w:hAnsi="Times New Roman" w:cs="Times New Roman"/>
          <w:color w:val="000000"/>
          <w:sz w:val="24"/>
          <w:szCs w:val="24"/>
        </w:rPr>
        <w:t>http://www.ssa.gov/policy/docs/statcomps/supplement/</w:t>
      </w:r>
    </w:p>
    <w:p w:rsidR="00D12FF6" w:rsidRDefault="00D12FF6" w:rsidP="005F0DEF">
      <w:pPr>
        <w:jc w:val="both"/>
        <w:rPr>
          <w:b/>
          <w:bCs/>
          <w:color w:val="000000"/>
        </w:rPr>
      </w:pPr>
      <w:r>
        <w:rPr>
          <w:b/>
          <w:bCs/>
          <w:color w:val="000000"/>
        </w:rPr>
        <w:br w:type="page"/>
      </w:r>
    </w:p>
    <w:p w:rsidR="00F860BF" w:rsidRDefault="00D12FF6" w:rsidP="00D12FF6">
      <w:pPr>
        <w:autoSpaceDE w:val="0"/>
        <w:autoSpaceDN w:val="0"/>
        <w:adjustRightInd w:val="0"/>
        <w:spacing w:line="360" w:lineRule="auto"/>
        <w:jc w:val="center"/>
        <w:rPr>
          <w:b/>
          <w:bCs/>
          <w:color w:val="000000"/>
        </w:rPr>
      </w:pPr>
      <w:r>
        <w:rPr>
          <w:b/>
          <w:bCs/>
          <w:color w:val="000000"/>
        </w:rPr>
        <w:lastRenderedPageBreak/>
        <w:t xml:space="preserve">Appendix B. </w:t>
      </w:r>
      <w:r w:rsidR="00F860BF" w:rsidRPr="00E96D97">
        <w:rPr>
          <w:b/>
          <w:bCs/>
          <w:color w:val="000000"/>
        </w:rPr>
        <w:t xml:space="preserve">Decomposing the </w:t>
      </w:r>
      <w:r w:rsidR="007316FC">
        <w:rPr>
          <w:b/>
          <w:bCs/>
          <w:color w:val="000000"/>
        </w:rPr>
        <w:t xml:space="preserve">Disability </w:t>
      </w:r>
      <w:proofErr w:type="spellStart"/>
      <w:r w:rsidR="00F860BF" w:rsidRPr="00E96D97">
        <w:rPr>
          <w:b/>
          <w:bCs/>
          <w:color w:val="000000"/>
        </w:rPr>
        <w:t>Recipiency</w:t>
      </w:r>
      <w:proofErr w:type="spellEnd"/>
      <w:r w:rsidR="00F860BF" w:rsidRPr="00E96D97">
        <w:rPr>
          <w:b/>
          <w:bCs/>
          <w:color w:val="000000"/>
        </w:rPr>
        <w:t xml:space="preserve"> Rate</w:t>
      </w:r>
    </w:p>
    <w:p w:rsidR="007316FC" w:rsidRPr="00E96D97" w:rsidRDefault="007316FC" w:rsidP="007316FC">
      <w:pPr>
        <w:autoSpaceDE w:val="0"/>
        <w:autoSpaceDN w:val="0"/>
        <w:adjustRightInd w:val="0"/>
        <w:spacing w:line="360" w:lineRule="auto"/>
        <w:rPr>
          <w:b/>
          <w:bCs/>
          <w:color w:val="000000"/>
        </w:rPr>
      </w:pPr>
    </w:p>
    <w:p w:rsidR="00F860BF" w:rsidRDefault="00F860BF" w:rsidP="005F0DEF">
      <w:pPr>
        <w:autoSpaceDE w:val="0"/>
        <w:autoSpaceDN w:val="0"/>
        <w:adjustRightInd w:val="0"/>
        <w:jc w:val="both"/>
        <w:rPr>
          <w:color w:val="000000"/>
        </w:rPr>
      </w:pPr>
      <w:r w:rsidRPr="00E96D97">
        <w:rPr>
          <w:color w:val="000000"/>
        </w:rPr>
        <w:t xml:space="preserve">The </w:t>
      </w:r>
      <w:r w:rsidR="00D73043">
        <w:rPr>
          <w:color w:val="000000"/>
        </w:rPr>
        <w:t xml:space="preserve">disability </w:t>
      </w:r>
      <w:proofErr w:type="spellStart"/>
      <w:r w:rsidRPr="00E96D97">
        <w:rPr>
          <w:color w:val="000000"/>
        </w:rPr>
        <w:t>recipiency</w:t>
      </w:r>
      <w:proofErr w:type="spellEnd"/>
      <w:r w:rsidRPr="00E96D97">
        <w:rPr>
          <w:color w:val="000000"/>
        </w:rPr>
        <w:t xml:space="preserve"> rate is equal to the number of disabled worker caseloads as a share of the working age population. The rate in year </w:t>
      </w:r>
      <w:proofErr w:type="gramStart"/>
      <w:r w:rsidRPr="00E96D97">
        <w:rPr>
          <w:i/>
          <w:color w:val="000000"/>
        </w:rPr>
        <w:t>t</w:t>
      </w:r>
      <w:r w:rsidRPr="00E96D97">
        <w:rPr>
          <w:color w:val="000000"/>
        </w:rPr>
        <w:t>,</w:t>
      </w:r>
      <w:proofErr w:type="gramEnd"/>
      <w:r w:rsidRPr="00E96D97">
        <w:rPr>
          <w:color w:val="000000"/>
        </w:rPr>
        <w:t xml:space="preserve">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oMath>
      <w:r>
        <w:rPr>
          <w:color w:val="000000"/>
        </w:rPr>
        <w:t xml:space="preserve"> can be expressed as:</w:t>
      </w:r>
    </w:p>
    <w:p w:rsidR="00691A9F" w:rsidRPr="00E96D97" w:rsidRDefault="00691A9F" w:rsidP="005F0DEF">
      <w:pPr>
        <w:autoSpaceDE w:val="0"/>
        <w:autoSpaceDN w:val="0"/>
        <w:adjustRightInd w:val="0"/>
        <w:jc w:val="both"/>
        <w:rPr>
          <w:color w:val="000000"/>
        </w:rPr>
      </w:pPr>
    </w:p>
    <w:p w:rsidR="00F860BF" w:rsidRPr="00E96D97" w:rsidRDefault="009E4A85" w:rsidP="005F0DEF">
      <w:pPr>
        <w:autoSpaceDE w:val="0"/>
        <w:autoSpaceDN w:val="0"/>
        <w:adjustRightInd w:val="0"/>
        <w:jc w:val="both"/>
        <w:rPr>
          <w:color w:val="000000"/>
        </w:rPr>
      </w:pPr>
      <m:oMathPara>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i,t</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t</m:t>
                      </m:r>
                    </m:sub>
                  </m:sSub>
                </m:den>
              </m:f>
            </m:e>
          </m:nary>
        </m:oMath>
      </m:oMathPara>
    </w:p>
    <w:p w:rsidR="00691A9F" w:rsidRDefault="00691A9F" w:rsidP="005F0DEF">
      <w:pPr>
        <w:autoSpaceDE w:val="0"/>
        <w:autoSpaceDN w:val="0"/>
        <w:adjustRightInd w:val="0"/>
        <w:jc w:val="both"/>
        <w:rPr>
          <w:color w:val="000000"/>
        </w:rPr>
      </w:pPr>
    </w:p>
    <w:p w:rsidR="00691A9F" w:rsidRDefault="00F860BF" w:rsidP="005F0DEF">
      <w:pPr>
        <w:autoSpaceDE w:val="0"/>
        <w:autoSpaceDN w:val="0"/>
        <w:adjustRightInd w:val="0"/>
        <w:jc w:val="both"/>
        <w:rPr>
          <w:color w:val="000000"/>
        </w:rPr>
      </w:pPr>
      <w:proofErr w:type="gramStart"/>
      <w:r w:rsidRPr="00E96D97">
        <w:rPr>
          <w:color w:val="000000"/>
        </w:rPr>
        <w:t>where</w:t>
      </w:r>
      <w:proofErr w:type="gramEnd"/>
      <w:r w:rsidRPr="00E96D97">
        <w:rPr>
          <w:color w:val="000000"/>
        </w:rPr>
        <w:t xml:space="preserve"> </w:t>
      </w:r>
      <m:oMath>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i,t</m:t>
            </m:r>
          </m:sub>
        </m:sSub>
      </m:oMath>
      <w:r w:rsidRPr="00E96D97">
        <w:rPr>
          <w:color w:val="000000"/>
        </w:rPr>
        <w:t xml:space="preserve"> is the number of SSDI caseloads in demographic group </w:t>
      </w:r>
      <w:r w:rsidRPr="00E96D97">
        <w:rPr>
          <w:i/>
          <w:color w:val="000000"/>
        </w:rPr>
        <w:t>i</w:t>
      </w:r>
      <w:r w:rsidRPr="00E96D97">
        <w:rPr>
          <w:color w:val="000000"/>
        </w:rPr>
        <w:t xml:space="preserve"> and year </w:t>
      </w:r>
      <w:r w:rsidRPr="00E96D97">
        <w:rPr>
          <w:i/>
          <w:color w:val="000000"/>
        </w:rPr>
        <w:t xml:space="preserve">t </w:t>
      </w:r>
      <w:r w:rsidRPr="00E96D97">
        <w:rPr>
          <w:color w:val="000000"/>
        </w:rPr>
        <w:t xml:space="preserve">and </w:t>
      </w:r>
      <m:oMath>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t</m:t>
            </m:r>
          </m:sub>
        </m:sSub>
      </m:oMath>
      <w:r w:rsidRPr="00E96D97">
        <w:rPr>
          <w:color w:val="000000"/>
        </w:rPr>
        <w:t xml:space="preserve"> is the size of the working age population in year </w:t>
      </w:r>
      <w:r w:rsidRPr="00E96D97">
        <w:rPr>
          <w:i/>
          <w:color w:val="000000"/>
        </w:rPr>
        <w:t>t</w:t>
      </w:r>
      <w:r w:rsidRPr="00E96D97">
        <w:rPr>
          <w:color w:val="000000"/>
        </w:rPr>
        <w:t>.</w:t>
      </w:r>
      <w:r>
        <w:rPr>
          <w:rStyle w:val="FootnoteReference"/>
          <w:color w:val="000000"/>
        </w:rPr>
        <w:footnoteReference w:id="1"/>
      </w:r>
      <w:r w:rsidRPr="00E96D97">
        <w:rPr>
          <w:color w:val="000000"/>
        </w:rPr>
        <w:t xml:space="preserve"> We further decompose this ratio as </w:t>
      </w:r>
    </w:p>
    <w:p w:rsidR="00F860BF" w:rsidRPr="00E96D97" w:rsidRDefault="00F860BF" w:rsidP="005F0DEF">
      <w:pPr>
        <w:autoSpaceDE w:val="0"/>
        <w:autoSpaceDN w:val="0"/>
        <w:adjustRightInd w:val="0"/>
        <w:jc w:val="both"/>
        <w:rPr>
          <w:color w:val="000000"/>
        </w:rPr>
      </w:pPr>
      <w:r w:rsidRPr="00E96D97">
        <w:rPr>
          <w:color w:val="000000"/>
        </w:rPr>
        <w:br/>
      </w:r>
      <m:oMathPara>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i,t</m:t>
                      </m:r>
                    </m:sub>
                  </m:sSub>
                </m:num>
                <m:den>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den>
              </m:f>
            </m:e>
          </m:nary>
          <m:r>
            <m:rPr>
              <m:sty m:val="p"/>
            </m:rP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t</m:t>
                  </m:r>
                </m:sub>
              </m:sSub>
            </m:den>
          </m:f>
          <m:r>
            <w:rPr>
              <w:rFonts w:ascii="Cambria Math" w:hAnsi="Cambria Math"/>
              <w:color w:val="000000"/>
            </w:rPr>
            <m:t xml:space="preserve"> </m:t>
          </m:r>
        </m:oMath>
      </m:oMathPara>
    </w:p>
    <w:p w:rsidR="00691A9F" w:rsidRDefault="00691A9F" w:rsidP="005F0DEF">
      <w:pPr>
        <w:autoSpaceDE w:val="0"/>
        <w:autoSpaceDN w:val="0"/>
        <w:adjustRightInd w:val="0"/>
        <w:jc w:val="both"/>
        <w:rPr>
          <w:color w:val="000000"/>
        </w:rPr>
      </w:pPr>
    </w:p>
    <w:p w:rsidR="00F860BF" w:rsidRPr="00E96D97" w:rsidRDefault="00F860BF" w:rsidP="005F0DEF">
      <w:pPr>
        <w:autoSpaceDE w:val="0"/>
        <w:autoSpaceDN w:val="0"/>
        <w:adjustRightInd w:val="0"/>
        <w:jc w:val="both"/>
        <w:rPr>
          <w:color w:val="000000"/>
        </w:rPr>
      </w:pPr>
      <w:proofErr w:type="gramStart"/>
      <w:r w:rsidRPr="00E96D97">
        <w:rPr>
          <w:color w:val="000000"/>
        </w:rPr>
        <w:t>where</w:t>
      </w:r>
      <w:proofErr w:type="gramEnd"/>
      <w:r w:rsidRPr="00E96D97">
        <w:rPr>
          <w:color w:val="000000"/>
        </w:rPr>
        <w:t xml:space="preserve"> </w:t>
      </w:r>
      <m:oMath>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oMath>
      <w:r w:rsidRPr="00E96D97">
        <w:rPr>
          <w:color w:val="000000"/>
        </w:rPr>
        <w:t xml:space="preserve"> is the number of SSDI eligible workers in demographic group </w:t>
      </w:r>
      <w:r w:rsidRPr="00E96D97">
        <w:rPr>
          <w:i/>
          <w:color w:val="000000"/>
        </w:rPr>
        <w:t>i</w:t>
      </w:r>
      <w:r w:rsidRPr="00E96D97">
        <w:rPr>
          <w:color w:val="000000"/>
        </w:rPr>
        <w:t xml:space="preserve"> and year </w:t>
      </w:r>
      <w:r w:rsidRPr="00E96D97">
        <w:rPr>
          <w:i/>
          <w:color w:val="000000"/>
        </w:rPr>
        <w:t xml:space="preserve">t </w:t>
      </w:r>
      <w:r w:rsidRPr="00E96D97">
        <w:rPr>
          <w:color w:val="000000"/>
        </w:rPr>
        <w:t xml:space="preserve">and </w:t>
      </w:r>
      <m:oMath>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oMath>
      <w:r w:rsidRPr="00E96D97">
        <w:rPr>
          <w:color w:val="000000"/>
        </w:rPr>
        <w:t xml:space="preserve"> is the size of the working age population in demographic group </w:t>
      </w:r>
      <w:r w:rsidRPr="00E96D97">
        <w:rPr>
          <w:i/>
          <w:color w:val="000000"/>
        </w:rPr>
        <w:t>i</w:t>
      </w:r>
      <w:r w:rsidRPr="00E96D97">
        <w:rPr>
          <w:color w:val="000000"/>
        </w:rPr>
        <w:t xml:space="preserve"> and year </w:t>
      </w:r>
      <w:r w:rsidRPr="00E96D97">
        <w:rPr>
          <w:i/>
          <w:color w:val="000000"/>
        </w:rPr>
        <w:t>t</w:t>
      </w:r>
      <w:r w:rsidRPr="00E96D97">
        <w:rPr>
          <w:color w:val="000000"/>
        </w:rPr>
        <w:t xml:space="preserve">. </w:t>
      </w:r>
    </w:p>
    <w:p w:rsidR="00F860BF" w:rsidRDefault="00F860BF" w:rsidP="005F0DEF">
      <w:pPr>
        <w:autoSpaceDE w:val="0"/>
        <w:autoSpaceDN w:val="0"/>
        <w:adjustRightInd w:val="0"/>
        <w:jc w:val="both"/>
        <w:rPr>
          <w:color w:val="000000"/>
        </w:rPr>
      </w:pPr>
    </w:p>
    <w:p w:rsidR="00691A9F" w:rsidRPr="00E96D97" w:rsidRDefault="00691A9F" w:rsidP="005F0DEF">
      <w:pPr>
        <w:autoSpaceDE w:val="0"/>
        <w:autoSpaceDN w:val="0"/>
        <w:adjustRightInd w:val="0"/>
        <w:jc w:val="both"/>
        <w:rPr>
          <w:color w:val="000000"/>
        </w:rPr>
      </w:pPr>
    </w:p>
    <w:p w:rsidR="00F860BF" w:rsidRDefault="00F860BF" w:rsidP="005F0DEF">
      <w:pPr>
        <w:autoSpaceDE w:val="0"/>
        <w:autoSpaceDN w:val="0"/>
        <w:adjustRightInd w:val="0"/>
        <w:jc w:val="both"/>
        <w:rPr>
          <w:b/>
          <w:bCs/>
          <w:color w:val="000000"/>
        </w:rPr>
      </w:pPr>
      <w:r w:rsidRPr="00E96D97">
        <w:rPr>
          <w:b/>
          <w:bCs/>
          <w:color w:val="000000"/>
        </w:rPr>
        <w:t xml:space="preserve">Counterfactual </w:t>
      </w:r>
      <w:r w:rsidR="00D73043">
        <w:rPr>
          <w:b/>
          <w:bCs/>
          <w:color w:val="000000"/>
        </w:rPr>
        <w:t xml:space="preserve">Disability </w:t>
      </w:r>
      <w:proofErr w:type="spellStart"/>
      <w:r w:rsidRPr="00E96D97">
        <w:rPr>
          <w:b/>
          <w:bCs/>
          <w:color w:val="000000"/>
        </w:rPr>
        <w:t>Recipiency</w:t>
      </w:r>
      <w:proofErr w:type="spellEnd"/>
      <w:r w:rsidRPr="00E96D97">
        <w:rPr>
          <w:b/>
          <w:bCs/>
          <w:color w:val="000000"/>
        </w:rPr>
        <w:t xml:space="preserve"> Rates</w:t>
      </w:r>
    </w:p>
    <w:p w:rsidR="005F0DEF" w:rsidRPr="00E96D97" w:rsidRDefault="005F0DEF" w:rsidP="005F0DEF">
      <w:pPr>
        <w:autoSpaceDE w:val="0"/>
        <w:autoSpaceDN w:val="0"/>
        <w:adjustRightInd w:val="0"/>
        <w:jc w:val="both"/>
        <w:rPr>
          <w:b/>
          <w:bCs/>
          <w:color w:val="000000"/>
        </w:rPr>
      </w:pPr>
    </w:p>
    <w:p w:rsidR="00F860BF" w:rsidRPr="00E96D97" w:rsidRDefault="00F860BF" w:rsidP="005F0DEF">
      <w:pPr>
        <w:autoSpaceDE w:val="0"/>
        <w:autoSpaceDN w:val="0"/>
        <w:adjustRightInd w:val="0"/>
        <w:jc w:val="both"/>
        <w:rPr>
          <w:color w:val="000000"/>
        </w:rPr>
      </w:pPr>
      <w:r w:rsidRPr="007316FC">
        <w:rPr>
          <w:color w:val="000000"/>
        </w:rPr>
        <w:t xml:space="preserve">We consider several counterfactual scenarios of </w:t>
      </w:r>
      <w:r w:rsidR="00D73043">
        <w:rPr>
          <w:color w:val="000000"/>
        </w:rPr>
        <w:t xml:space="preserve">the </w:t>
      </w:r>
      <w:r w:rsidRPr="007316FC">
        <w:rPr>
          <w:color w:val="000000"/>
        </w:rPr>
        <w:t xml:space="preserve">disability </w:t>
      </w:r>
      <w:proofErr w:type="spellStart"/>
      <w:r w:rsidRPr="007316FC">
        <w:rPr>
          <w:color w:val="000000"/>
        </w:rPr>
        <w:t>recipiency</w:t>
      </w:r>
      <w:proofErr w:type="spellEnd"/>
      <w:r w:rsidR="00D73043">
        <w:rPr>
          <w:color w:val="000000"/>
        </w:rPr>
        <w:t xml:space="preserve"> rate</w:t>
      </w:r>
      <w:r w:rsidRPr="007316FC">
        <w:rPr>
          <w:color w:val="000000"/>
        </w:rPr>
        <w:t>. The first and simplest is the scenario in which the normal retirement age is still 65. We</w:t>
      </w:r>
      <w:r w:rsidRPr="00E96D97">
        <w:rPr>
          <w:color w:val="000000"/>
        </w:rPr>
        <w:t xml:space="preserve"> do not need </w:t>
      </w:r>
      <w:r w:rsidR="00603DFD">
        <w:rPr>
          <w:color w:val="000000"/>
        </w:rPr>
        <w:t xml:space="preserve">to perform </w:t>
      </w:r>
      <w:proofErr w:type="gramStart"/>
      <w:r w:rsidRPr="00E96D97">
        <w:rPr>
          <w:color w:val="000000"/>
        </w:rPr>
        <w:t>a decomposition</w:t>
      </w:r>
      <w:proofErr w:type="gramEnd"/>
      <w:r w:rsidRPr="00E96D97">
        <w:rPr>
          <w:color w:val="000000"/>
        </w:rPr>
        <w:t xml:space="preserve"> for this calculation. The counterfactual 2011 rate in this scenario, </w:t>
      </w:r>
      <w:proofErr w:type="gramStart"/>
      <w:r w:rsidRPr="00E96D97">
        <w:rPr>
          <w:color w:val="000000"/>
        </w:rPr>
        <w:t xml:space="preserve">denoted </w:t>
      </w:r>
      <m:oMath>
        <w:proofErr w:type="gramEnd"/>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2011</m:t>
            </m:r>
          </m:sub>
        </m:sSub>
      </m:oMath>
      <w:r w:rsidRPr="00E96D97">
        <w:rPr>
          <w:rFonts w:eastAsiaTheme="minorEastAsia"/>
          <w:color w:val="000000"/>
        </w:rPr>
        <w:t>,</w:t>
      </w:r>
      <w:r w:rsidRPr="00E96D97">
        <w:rPr>
          <w:color w:val="000000"/>
        </w:rPr>
        <w:t xml:space="preserve"> would be equal to the number of </w:t>
      </w:r>
      <w:proofErr w:type="spellStart"/>
      <w:r w:rsidRPr="00E96D97">
        <w:rPr>
          <w:color w:val="000000"/>
        </w:rPr>
        <w:t>SSDI</w:t>
      </w:r>
      <w:proofErr w:type="spellEnd"/>
      <w:r w:rsidRPr="00E96D97">
        <w:rPr>
          <w:color w:val="000000"/>
        </w:rPr>
        <w:t xml:space="preserve"> caseloads in 2011 for persons under the age of 65 divided by the working age population in 2011.</w:t>
      </w:r>
    </w:p>
    <w:p w:rsidR="00F860BF" w:rsidRPr="00E96D97" w:rsidRDefault="00F860BF" w:rsidP="005F0DEF">
      <w:pPr>
        <w:autoSpaceDE w:val="0"/>
        <w:autoSpaceDN w:val="0"/>
        <w:adjustRightInd w:val="0"/>
        <w:jc w:val="both"/>
        <w:rPr>
          <w:color w:val="000000"/>
        </w:rPr>
      </w:pPr>
    </w:p>
    <w:p w:rsidR="00F860BF" w:rsidRDefault="00F860BF" w:rsidP="005F0DEF">
      <w:pPr>
        <w:autoSpaceDE w:val="0"/>
        <w:autoSpaceDN w:val="0"/>
        <w:adjustRightInd w:val="0"/>
        <w:jc w:val="both"/>
        <w:rPr>
          <w:color w:val="000000"/>
        </w:rPr>
      </w:pPr>
      <w:r w:rsidRPr="007316FC">
        <w:rPr>
          <w:color w:val="000000"/>
        </w:rPr>
        <w:t>Next consider the case in which caseloads only evolve due to the aging of the population.</w:t>
      </w:r>
      <w:r w:rsidRPr="00E96D97">
        <w:rPr>
          <w:color w:val="000000"/>
        </w:rPr>
        <w:t xml:space="preserve"> The counterfactual rate in this scenario is </w:t>
      </w:r>
    </w:p>
    <w:p w:rsidR="00691A9F" w:rsidRPr="00E96D97" w:rsidRDefault="00691A9F" w:rsidP="005F0DEF">
      <w:pPr>
        <w:autoSpaceDE w:val="0"/>
        <w:autoSpaceDN w:val="0"/>
        <w:adjustRightInd w:val="0"/>
        <w:jc w:val="both"/>
        <w:rPr>
          <w:color w:val="000000"/>
        </w:rPr>
      </w:pPr>
    </w:p>
    <w:p w:rsidR="00F860BF" w:rsidRPr="00E96D97" w:rsidRDefault="009E4A85" w:rsidP="005F0DEF">
      <w:pPr>
        <w:autoSpaceDE w:val="0"/>
        <w:autoSpaceDN w:val="0"/>
        <w:adjustRightInd w:val="0"/>
        <w:jc w:val="both"/>
        <w:rPr>
          <w:color w:val="000000"/>
        </w:rPr>
      </w:pPr>
      <m:oMathPara>
        <m:oMath>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2011</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i,1980</m:t>
                      </m:r>
                    </m:sub>
                  </m:sSub>
                </m:num>
                <m:den>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i,1980</m:t>
                      </m:r>
                    </m:sub>
                  </m:sSub>
                </m:den>
              </m:f>
            </m:e>
          </m:nary>
          <m:r>
            <m:rPr>
              <m:sty m:val="p"/>
            </m:rP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i,1980</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i,1980</m:t>
                  </m:r>
                </m:sub>
              </m:sSub>
            </m:den>
          </m:f>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i,1980</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i,1980</m:t>
                      </m:r>
                    </m:sub>
                  </m:sSub>
                </m:den>
              </m:f>
            </m:e>
          </m:nary>
          <m:r>
            <m:rPr>
              <m:sty m:val="p"/>
            </m:rP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oMath>
      </m:oMathPara>
    </w:p>
    <w:p w:rsidR="00F860BF" w:rsidRDefault="00F860BF" w:rsidP="005F0DEF">
      <w:pPr>
        <w:autoSpaceDE w:val="0"/>
        <w:autoSpaceDN w:val="0"/>
        <w:adjustRightInd w:val="0"/>
        <w:jc w:val="both"/>
        <w:rPr>
          <w:color w:val="000000"/>
        </w:rPr>
      </w:pPr>
    </w:p>
    <w:p w:rsidR="00F860BF" w:rsidRDefault="00F860BF" w:rsidP="005F0DEF">
      <w:pPr>
        <w:autoSpaceDE w:val="0"/>
        <w:autoSpaceDN w:val="0"/>
        <w:adjustRightInd w:val="0"/>
        <w:jc w:val="both"/>
        <w:rPr>
          <w:color w:val="000000"/>
        </w:rPr>
      </w:pPr>
      <w:r w:rsidRPr="007316FC">
        <w:rPr>
          <w:color w:val="000000"/>
        </w:rPr>
        <w:t xml:space="preserve">Now consider the case in which caseloads only evolve due to the increase in women’s labor force attachment. This causes the share of DI eligible women in each age group to increase. For this exercise we let i index age groups and differentiate between genders using the superscript </w:t>
      </w:r>
      <w:r w:rsidRPr="007316FC">
        <w:rPr>
          <w:i/>
          <w:color w:val="000000"/>
        </w:rPr>
        <w:t xml:space="preserve">m </w:t>
      </w:r>
      <w:r w:rsidRPr="007316FC">
        <w:rPr>
          <w:color w:val="000000"/>
        </w:rPr>
        <w:t xml:space="preserve">for males and </w:t>
      </w:r>
      <w:r w:rsidRPr="007316FC">
        <w:rPr>
          <w:i/>
          <w:color w:val="000000"/>
        </w:rPr>
        <w:t xml:space="preserve">f </w:t>
      </w:r>
      <w:r w:rsidRPr="007316FC">
        <w:rPr>
          <w:color w:val="000000"/>
        </w:rPr>
        <w:t>for females. Then</w:t>
      </w:r>
    </w:p>
    <w:p w:rsidR="00691A9F" w:rsidRPr="007316FC" w:rsidRDefault="00691A9F" w:rsidP="005F0DEF">
      <w:pPr>
        <w:autoSpaceDE w:val="0"/>
        <w:autoSpaceDN w:val="0"/>
        <w:adjustRightInd w:val="0"/>
        <w:jc w:val="both"/>
        <w:rPr>
          <w:color w:val="000000"/>
        </w:rPr>
      </w:pPr>
    </w:p>
    <w:p w:rsidR="00F860BF" w:rsidRPr="00E96D97" w:rsidRDefault="009E4A85" w:rsidP="005F0DEF">
      <w:pPr>
        <w:autoSpaceDE w:val="0"/>
        <w:autoSpaceDN w:val="0"/>
        <w:adjustRightInd w:val="0"/>
        <w:jc w:val="both"/>
        <w:rPr>
          <w:color w:val="000000"/>
        </w:rPr>
      </w:pPr>
      <m:oMathPara>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t</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i,t</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e>
                    <m:sup>
                      <m:r>
                        <w:rPr>
                          <w:rFonts w:ascii="Cambria Math" w:hAnsi="Cambria Math"/>
                          <w:color w:val="000000"/>
                        </w:rPr>
                        <m:t>m</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e>
                    <m:sup>
                      <m:r>
                        <w:rPr>
                          <w:rFonts w:ascii="Cambria Math" w:hAnsi="Cambria Math"/>
                          <w:color w:val="000000"/>
                        </w:rPr>
                        <m:t>m</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e>
                    <m:sup>
                      <m:r>
                        <w:rPr>
                          <w:rFonts w:ascii="Cambria Math" w:hAnsi="Cambria Math"/>
                          <w:color w:val="000000"/>
                        </w:rPr>
                        <m:t>m</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t</m:t>
                      </m:r>
                    </m:sub>
                  </m:sSub>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i,t</m:t>
                          </m:r>
                        </m:sub>
                      </m:sSub>
                    </m:e>
                    <m:sup>
                      <m:r>
                        <w:rPr>
                          <w:rFonts w:ascii="Cambria Math" w:hAnsi="Cambria Math"/>
                          <w:color w:val="000000"/>
                        </w:rPr>
                        <m:t>f</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e>
                    <m:sup>
                      <m:r>
                        <w:rPr>
                          <w:rFonts w:ascii="Cambria Math" w:hAnsi="Cambria Math"/>
                          <w:color w:val="000000"/>
                        </w:rPr>
                        <m:t>f</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i,t</m:t>
                          </m:r>
                        </m:sub>
                      </m:sSub>
                    </m:e>
                    <m:sup>
                      <m:r>
                        <w:rPr>
                          <w:rFonts w:ascii="Cambria Math" w:hAnsi="Cambria Math"/>
                          <w:color w:val="000000"/>
                        </w:rPr>
                        <m:t>f</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e>
                    <m:sup>
                      <m:r>
                        <w:rPr>
                          <w:rFonts w:ascii="Cambria Math" w:hAnsi="Cambria Math"/>
                          <w:color w:val="000000"/>
                        </w:rPr>
                        <m:t>f</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i,t</m:t>
                          </m:r>
                        </m:sub>
                      </m:sSub>
                    </m:e>
                    <m:sup>
                      <m:r>
                        <w:rPr>
                          <w:rFonts w:ascii="Cambria Math" w:hAnsi="Cambria Math"/>
                          <w:color w:val="000000"/>
                        </w:rPr>
                        <m:t>f</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t</m:t>
                      </m:r>
                    </m:sub>
                  </m:sSub>
                </m:den>
              </m:f>
            </m:e>
          </m:nary>
        </m:oMath>
      </m:oMathPara>
    </w:p>
    <w:p w:rsidR="00691A9F" w:rsidRDefault="00691A9F" w:rsidP="005F0DEF">
      <w:pPr>
        <w:autoSpaceDE w:val="0"/>
        <w:autoSpaceDN w:val="0"/>
        <w:adjustRightInd w:val="0"/>
        <w:jc w:val="both"/>
        <w:rPr>
          <w:color w:val="000000"/>
        </w:rPr>
      </w:pPr>
    </w:p>
    <w:p w:rsidR="00F860BF" w:rsidRDefault="00F860BF" w:rsidP="005F0DEF">
      <w:pPr>
        <w:autoSpaceDE w:val="0"/>
        <w:autoSpaceDN w:val="0"/>
        <w:adjustRightInd w:val="0"/>
        <w:jc w:val="both"/>
        <w:rPr>
          <w:color w:val="000000"/>
        </w:rPr>
      </w:pPr>
      <w:proofErr w:type="gramStart"/>
      <w:r w:rsidRPr="00E96D97">
        <w:rPr>
          <w:color w:val="000000"/>
        </w:rPr>
        <w:t>and</w:t>
      </w:r>
      <w:proofErr w:type="gramEnd"/>
      <w:r w:rsidRPr="00E96D97">
        <w:rPr>
          <w:color w:val="000000"/>
        </w:rPr>
        <w:t xml:space="preserve"> the counterfactual rate is</w:t>
      </w:r>
    </w:p>
    <w:p w:rsidR="00691A9F" w:rsidRPr="00E96D97" w:rsidRDefault="00691A9F" w:rsidP="005F0DEF">
      <w:pPr>
        <w:autoSpaceDE w:val="0"/>
        <w:autoSpaceDN w:val="0"/>
        <w:adjustRightInd w:val="0"/>
        <w:jc w:val="both"/>
        <w:rPr>
          <w:color w:val="000000"/>
        </w:rPr>
      </w:pPr>
    </w:p>
    <w:p w:rsidR="00F860BF" w:rsidRPr="00E96D97" w:rsidRDefault="009E4A85" w:rsidP="005F0DEF">
      <w:pPr>
        <w:autoSpaceDE w:val="0"/>
        <w:autoSpaceDN w:val="0"/>
        <w:adjustRightInd w:val="0"/>
        <w:jc w:val="both"/>
        <w:rPr>
          <w:color w:val="000000"/>
        </w:rPr>
      </w:pPr>
      <m:oMathPara>
        <m:oMath>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2011</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i,2011</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m</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m</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m</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i,2011</m:t>
                          </m:r>
                        </m:sub>
                      </m:sSub>
                    </m:e>
                    <m:sup>
                      <m:r>
                        <w:rPr>
                          <w:rFonts w:ascii="Cambria Math" w:hAnsi="Cambria Math"/>
                          <w:color w:val="000000"/>
                        </w:rPr>
                        <m:t>f</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f</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i,1980</m:t>
                          </m:r>
                        </m:sub>
                      </m:sSub>
                    </m:e>
                    <m:sup>
                      <m:r>
                        <w:rPr>
                          <w:rFonts w:ascii="Cambria Math" w:hAnsi="Cambria Math"/>
                          <w:color w:val="000000"/>
                        </w:rPr>
                        <m:t>f</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i,1980</m:t>
                          </m:r>
                        </m:sub>
                      </m:sSub>
                    </m:e>
                    <m:sup>
                      <m:r>
                        <w:rPr>
                          <w:rFonts w:ascii="Cambria Math" w:hAnsi="Cambria Math"/>
                          <w:color w:val="000000"/>
                        </w:rPr>
                        <m:t>f</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f</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e>
          </m:nary>
        </m:oMath>
      </m:oMathPara>
    </w:p>
    <w:p w:rsidR="00F860BF" w:rsidRDefault="00F860BF" w:rsidP="005F0DEF">
      <w:pPr>
        <w:autoSpaceDE w:val="0"/>
        <w:autoSpaceDN w:val="0"/>
        <w:adjustRightInd w:val="0"/>
        <w:jc w:val="both"/>
        <w:rPr>
          <w:color w:val="000000"/>
        </w:rPr>
      </w:pPr>
    </w:p>
    <w:p w:rsidR="00F860BF" w:rsidRDefault="00F860BF" w:rsidP="005F0DEF">
      <w:pPr>
        <w:autoSpaceDE w:val="0"/>
        <w:autoSpaceDN w:val="0"/>
        <w:adjustRightInd w:val="0"/>
        <w:jc w:val="both"/>
        <w:rPr>
          <w:color w:val="000000"/>
        </w:rPr>
      </w:pPr>
      <w:r w:rsidRPr="00E96D97">
        <w:rPr>
          <w:color w:val="000000"/>
        </w:rPr>
        <w:t>In the special case in which we allow for the increase in women’s labor force attachment to also include a</w:t>
      </w:r>
      <w:r w:rsidRPr="00E96D97">
        <w:rPr>
          <w:b/>
          <w:color w:val="000000"/>
        </w:rPr>
        <w:t xml:space="preserve"> </w:t>
      </w:r>
      <w:r w:rsidRPr="007316FC">
        <w:rPr>
          <w:color w:val="000000"/>
        </w:rPr>
        <w:t>“catch-up” effect of women’s disability receipt,</w:t>
      </w:r>
      <w:r w:rsidRPr="00E96D97">
        <w:rPr>
          <w:color w:val="000000"/>
        </w:rPr>
        <w:t xml:space="preserve"> the above equation becomes</w:t>
      </w:r>
    </w:p>
    <w:p w:rsidR="00691A9F" w:rsidRPr="00E96D97" w:rsidRDefault="00691A9F" w:rsidP="005F0DEF">
      <w:pPr>
        <w:autoSpaceDE w:val="0"/>
        <w:autoSpaceDN w:val="0"/>
        <w:adjustRightInd w:val="0"/>
        <w:jc w:val="both"/>
        <w:rPr>
          <w:color w:val="000000"/>
        </w:rPr>
      </w:pPr>
    </w:p>
    <w:p w:rsidR="00F860BF" w:rsidRPr="00E96D97" w:rsidRDefault="009E4A85" w:rsidP="005F0DEF">
      <w:pPr>
        <w:autoSpaceDE w:val="0"/>
        <w:autoSpaceDN w:val="0"/>
        <w:adjustRightInd w:val="0"/>
        <w:jc w:val="both"/>
        <w:rPr>
          <w:color w:val="000000"/>
        </w:rPr>
      </w:pPr>
      <m:oMathPara>
        <m:oMath>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2011</m:t>
              </m:r>
            </m:sub>
          </m:sSub>
          <m:r>
            <w:rPr>
              <w:rFonts w:ascii="Cambria Math" w:hAnsi="Cambria Math"/>
              <w:color w:val="000000"/>
            </w:rPr>
            <m:t>=</m:t>
          </m:r>
          <m:nary>
            <m:naryPr>
              <m:chr m:val="∑"/>
              <m:limLoc m:val="undOvr"/>
              <m:supHide m:val="on"/>
              <m:ctrlPr>
                <w:rPr>
                  <w:rFonts w:ascii="Cambria Math" w:hAnsi="Cambria Math"/>
                  <w:i/>
                  <w:color w:val="000000"/>
                </w:rPr>
              </m:ctrlPr>
            </m:naryPr>
            <m:sub>
              <m:r>
                <w:rPr>
                  <w:rFonts w:ascii="Cambria Math" w:hAnsi="Cambria Math"/>
                  <w:color w:val="000000"/>
                </w:rPr>
                <m:t>i</m:t>
              </m:r>
            </m:sub>
            <m:sup/>
            <m:e>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i,2011</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m</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m</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m</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i,2011</m:t>
                          </m:r>
                        </m:sub>
                      </m:sSub>
                    </m:e>
                    <m:sup>
                      <m:r>
                        <w:rPr>
                          <w:rFonts w:ascii="Cambria Math" w:hAnsi="Cambria Math"/>
                          <w:color w:val="000000"/>
                        </w:rPr>
                        <m:t>f</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i,2011</m:t>
                          </m:r>
                        </m:sub>
                      </m:sSub>
                    </m:e>
                    <m:sup>
                      <m:r>
                        <w:rPr>
                          <w:rFonts w:ascii="Cambria Math" w:hAnsi="Cambria Math"/>
                          <w:color w:val="000000"/>
                        </w:rPr>
                        <m:t>f</m:t>
                      </m:r>
                    </m:sup>
                  </m:sSup>
                </m:den>
              </m:f>
              <m:r>
                <m:rPr>
                  <m:sty m:val="p"/>
                </m:rP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E</m:t>
                          </m:r>
                        </m:e>
                        <m:sub>
                          <m:r>
                            <w:rPr>
                              <w:rFonts w:ascii="Cambria Math" w:hAnsi="Cambria Math"/>
                              <w:color w:val="000000"/>
                            </w:rPr>
                            <m:t>i,1980</m:t>
                          </m:r>
                        </m:sub>
                      </m:sSub>
                    </m:e>
                    <m:sup>
                      <m:r>
                        <w:rPr>
                          <w:rFonts w:ascii="Cambria Math" w:hAnsi="Cambria Math"/>
                          <w:color w:val="000000"/>
                        </w:rPr>
                        <m:t>m</m:t>
                      </m:r>
                    </m:sup>
                  </m:sSup>
                </m:num>
                <m:den>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i,1980</m:t>
                          </m:r>
                        </m:sub>
                      </m:sSub>
                    </m:e>
                    <m:sup>
                      <m:r>
                        <w:rPr>
                          <w:rFonts w:ascii="Cambria Math" w:hAnsi="Cambria Math"/>
                          <w:color w:val="000000"/>
                        </w:rPr>
                        <m:t>m</m:t>
                      </m:r>
                    </m:sup>
                  </m:sSup>
                </m:den>
              </m:f>
              <m:r>
                <w:rPr>
                  <w:rFonts w:ascii="Cambria Math" w:hAnsi="Cambria Math"/>
                  <w:color w:val="000000"/>
                </w:rPr>
                <m:t>*</m:t>
              </m:r>
              <m:f>
                <m:fPr>
                  <m:ctrlPr>
                    <w:rPr>
                      <w:rFonts w:ascii="Cambria Math" w:hAnsi="Cambria Math"/>
                      <w:i/>
                      <w:color w:val="000000"/>
                    </w:rPr>
                  </m:ctrlPr>
                </m:fPr>
                <m:num>
                  <m:sSup>
                    <m:sSupPr>
                      <m:ctrlPr>
                        <w:rPr>
                          <w:rFonts w:ascii="Cambria Math" w:hAnsi="Cambria Math"/>
                          <w:i/>
                          <w:color w:val="000000"/>
                        </w:rPr>
                      </m:ctrlPr>
                    </m:sSupPr>
                    <m:e>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i,2011</m:t>
                          </m:r>
                        </m:sub>
                      </m:sSub>
                    </m:e>
                    <m:sup>
                      <m:r>
                        <w:rPr>
                          <w:rFonts w:ascii="Cambria Math" w:hAnsi="Cambria Math"/>
                          <w:color w:val="000000"/>
                        </w:rPr>
                        <m:t>f</m:t>
                      </m:r>
                    </m:sup>
                  </m:sSup>
                </m:num>
                <m:den>
                  <m:sSub>
                    <m:sSubPr>
                      <m:ctrlPr>
                        <w:rPr>
                          <w:rFonts w:ascii="Cambria Math" w:hAnsi="Cambria Math"/>
                          <w:i/>
                          <w:color w:val="000000"/>
                        </w:rPr>
                      </m:ctrlPr>
                    </m:sSubPr>
                    <m:e>
                      <m:r>
                        <w:rPr>
                          <w:rFonts w:ascii="Cambria Math" w:hAnsi="Cambria Math"/>
                          <w:color w:val="000000"/>
                        </w:rPr>
                        <m:t>P</m:t>
                      </m:r>
                    </m:e>
                    <m:sub>
                      <m:r>
                        <w:rPr>
                          <w:rFonts w:ascii="Cambria Math" w:hAnsi="Cambria Math"/>
                          <w:color w:val="000000"/>
                        </w:rPr>
                        <m:t>2011</m:t>
                      </m:r>
                    </m:sub>
                  </m:sSub>
                </m:den>
              </m:f>
            </m:e>
          </m:nary>
        </m:oMath>
      </m:oMathPara>
    </w:p>
    <w:p w:rsidR="00F860BF" w:rsidRDefault="00F860BF" w:rsidP="005F0DEF">
      <w:pPr>
        <w:autoSpaceDE w:val="0"/>
        <w:autoSpaceDN w:val="0"/>
        <w:adjustRightInd w:val="0"/>
        <w:jc w:val="both"/>
        <w:rPr>
          <w:color w:val="000000"/>
        </w:rPr>
      </w:pPr>
    </w:p>
    <w:p w:rsidR="00691A9F" w:rsidRPr="00E96D97" w:rsidRDefault="00691A9F" w:rsidP="005F0DEF">
      <w:pPr>
        <w:autoSpaceDE w:val="0"/>
        <w:autoSpaceDN w:val="0"/>
        <w:adjustRightInd w:val="0"/>
        <w:jc w:val="both"/>
        <w:rPr>
          <w:color w:val="000000"/>
        </w:rPr>
      </w:pPr>
    </w:p>
    <w:p w:rsidR="00F860BF" w:rsidRDefault="00F860BF" w:rsidP="005F0DEF">
      <w:pPr>
        <w:jc w:val="both"/>
        <w:rPr>
          <w:b/>
        </w:rPr>
      </w:pPr>
      <w:r w:rsidRPr="00E96D97">
        <w:rPr>
          <w:b/>
        </w:rPr>
        <w:t>Percentage Point Contribution to the Increase in DI Receipt</w:t>
      </w:r>
    </w:p>
    <w:p w:rsidR="005F0DEF" w:rsidRPr="00E96D97" w:rsidRDefault="005F0DEF" w:rsidP="005F0DEF">
      <w:pPr>
        <w:jc w:val="both"/>
        <w:rPr>
          <w:b/>
        </w:rPr>
      </w:pPr>
    </w:p>
    <w:p w:rsidR="00F860BF" w:rsidRDefault="00F860BF" w:rsidP="005F0DEF">
      <w:pPr>
        <w:jc w:val="both"/>
      </w:pPr>
      <w:r w:rsidRPr="00E96D97">
        <w:t xml:space="preserve">Now that we have these counterfactual </w:t>
      </w:r>
      <w:r w:rsidR="00603DFD">
        <w:t xml:space="preserve">disability </w:t>
      </w:r>
      <w:proofErr w:type="spellStart"/>
      <w:r w:rsidRPr="00E96D97">
        <w:t>recipiency</w:t>
      </w:r>
      <w:proofErr w:type="spellEnd"/>
      <w:r w:rsidRPr="00E96D97">
        <w:t xml:space="preserve"> rates it is straightforward to calculate how much of the increase in </w:t>
      </w:r>
      <w:r w:rsidR="00603DFD">
        <w:t xml:space="preserve">the </w:t>
      </w:r>
      <w:r w:rsidRPr="00E96D97">
        <w:t xml:space="preserve">total DI </w:t>
      </w:r>
      <w:proofErr w:type="spellStart"/>
      <w:r w:rsidRPr="00E96D97">
        <w:t>recipiency</w:t>
      </w:r>
      <w:proofErr w:type="spellEnd"/>
      <w:r w:rsidRPr="00E96D97">
        <w:t xml:space="preserve"> </w:t>
      </w:r>
      <w:r w:rsidR="00603DFD">
        <w:t xml:space="preserve">rate </w:t>
      </w:r>
      <w:r w:rsidRPr="00E96D97">
        <w:t>since 1980 can be explained by each factor. The percentage point contribution of each factor to total growth is</w:t>
      </w:r>
    </w:p>
    <w:p w:rsidR="00691A9F" w:rsidRPr="00E96D97" w:rsidRDefault="00691A9F" w:rsidP="005F0DEF">
      <w:pPr>
        <w:jc w:val="both"/>
      </w:pPr>
    </w:p>
    <w:p w:rsidR="00F860BF" w:rsidRPr="00E96D97" w:rsidRDefault="00F860BF" w:rsidP="005F0DEF">
      <w:pPr>
        <w:jc w:val="both"/>
      </w:pPr>
      <m:oMathPara>
        <m:oMath>
          <m:r>
            <w:rPr>
              <w:rFonts w:ascii="Cambria Math" w:hAnsi="Cambria Math"/>
              <w:color w:val="000000"/>
            </w:rPr>
            <m:t>100*</m:t>
          </m:r>
          <m:f>
            <m:fPr>
              <m:type m:val="lin"/>
              <m:ctrlPr>
                <w:rPr>
                  <w:rFonts w:ascii="Cambria Math" w:hAnsi="Cambria Math"/>
                  <w:i/>
                  <w:color w:val="000000"/>
                </w:rPr>
              </m:ctrlPr>
            </m:fPr>
            <m:num>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R</m:t>
                      </m:r>
                    </m:e>
                  </m:acc>
                </m:e>
                <m:sub>
                  <m:r>
                    <w:rPr>
                      <w:rFonts w:ascii="Cambria Math" w:hAnsi="Cambria Math"/>
                      <w:color w:val="000000"/>
                    </w:rPr>
                    <m:t>2011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1980</m:t>
                  </m:r>
                </m:sub>
              </m:sSub>
              <m:r>
                <w:rPr>
                  <w:rFonts w:ascii="Cambria Math" w:hAnsi="Cambria Math"/>
                  <w:color w:val="000000"/>
                </w:rPr>
                <m:t>)</m:t>
              </m:r>
            </m:num>
            <m:den>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2011</m:t>
                  </m:r>
                </m:sub>
              </m:sSub>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1980</m:t>
                  </m:r>
                </m:sub>
              </m:sSub>
              <m:r>
                <w:rPr>
                  <w:rFonts w:ascii="Cambria Math" w:hAnsi="Cambria Math"/>
                  <w:color w:val="000000"/>
                </w:rPr>
                <m:t>)</m:t>
              </m:r>
            </m:den>
          </m:f>
        </m:oMath>
      </m:oMathPara>
    </w:p>
    <w:p w:rsidR="007316FC" w:rsidRDefault="007316FC" w:rsidP="005F0DEF">
      <w:pPr>
        <w:jc w:val="both"/>
      </w:pPr>
    </w:p>
    <w:p w:rsidR="00691A9F" w:rsidRDefault="00691A9F" w:rsidP="005F0DEF">
      <w:pPr>
        <w:jc w:val="both"/>
      </w:pPr>
    </w:p>
    <w:p w:rsidR="00691A9F" w:rsidRDefault="00F860BF" w:rsidP="005F0DEF">
      <w:pPr>
        <w:jc w:val="both"/>
        <w:rPr>
          <w:b/>
        </w:rPr>
      </w:pPr>
      <w:r w:rsidRPr="007316FC">
        <w:rPr>
          <w:b/>
        </w:rPr>
        <w:t xml:space="preserve">Additional </w:t>
      </w:r>
      <w:r w:rsidR="007316FC">
        <w:rPr>
          <w:b/>
        </w:rPr>
        <w:t>D</w:t>
      </w:r>
      <w:r w:rsidRPr="007316FC">
        <w:rPr>
          <w:b/>
        </w:rPr>
        <w:t xml:space="preserve">etails for </w:t>
      </w:r>
      <w:r w:rsidR="00691A9F">
        <w:rPr>
          <w:b/>
        </w:rPr>
        <w:t xml:space="preserve">Australia </w:t>
      </w:r>
    </w:p>
    <w:p w:rsidR="009B45B9" w:rsidRPr="00691A9F" w:rsidRDefault="00603DFD" w:rsidP="005F0DEF">
      <w:pPr>
        <w:jc w:val="both"/>
        <w:rPr>
          <w:b/>
        </w:rPr>
      </w:pPr>
      <w:r>
        <w:t>Through</w:t>
      </w:r>
      <w:r w:rsidR="009B45B9">
        <w:t xml:space="preserve"> 1995, women were eligible for the Age Pension </w:t>
      </w:r>
      <w:r>
        <w:t>beginning at</w:t>
      </w:r>
      <w:r w:rsidR="009B45B9">
        <w:t xml:space="preserve"> </w:t>
      </w:r>
      <w:r>
        <w:t xml:space="preserve">the </w:t>
      </w:r>
      <w:r w:rsidR="009B45B9">
        <w:t xml:space="preserve">age of 60. Since </w:t>
      </w:r>
      <w:r>
        <w:t>then</w:t>
      </w:r>
      <w:r w:rsidR="009B45B9">
        <w:t xml:space="preserve"> this minimum </w:t>
      </w:r>
      <w:r>
        <w:t xml:space="preserve">eligibility </w:t>
      </w:r>
      <w:r w:rsidR="009B45B9">
        <w:t xml:space="preserve">age has been increased in six-monthly steps every 2 years. The final step is in January 2014, when women, like men, will only be eligible for the Age Pension from </w:t>
      </w:r>
      <w:r>
        <w:t xml:space="preserve">beginning at </w:t>
      </w:r>
      <w:r w:rsidR="009B45B9">
        <w:t xml:space="preserve">the age of 65. At each step, there is a clear increase in the number of female </w:t>
      </w:r>
      <w:proofErr w:type="spellStart"/>
      <w:r w:rsidR="009B45B9">
        <w:t>DSP</w:t>
      </w:r>
      <w:proofErr w:type="spellEnd"/>
      <w:r w:rsidR="009B45B9">
        <w:t xml:space="preserve"> recipients aged 60–64 years, from fewer than 1,000 in 1995 to almost 80,000 in 2011. Following Daly, Lucking and </w:t>
      </w:r>
      <w:proofErr w:type="spellStart"/>
      <w:r w:rsidR="009B45B9">
        <w:t>Schwabish</w:t>
      </w:r>
      <w:proofErr w:type="spellEnd"/>
      <w:r w:rsidR="009B45B9">
        <w:t xml:space="preserve"> (2013), we can reasonably assume that all additional 60–64 year old female </w:t>
      </w:r>
      <w:proofErr w:type="spellStart"/>
      <w:r w:rsidR="009B45B9">
        <w:t>DSP</w:t>
      </w:r>
      <w:proofErr w:type="spellEnd"/>
      <w:r w:rsidR="009B45B9">
        <w:t xml:space="preserve"> recipients </w:t>
      </w:r>
      <w:r>
        <w:t>beginning in</w:t>
      </w:r>
      <w:r w:rsidR="009B45B9">
        <w:t xml:space="preserve"> 1996 (that is, 79,000 by 2011) joined the roll because of the increase in the Age Pension age. This has therefore been a major factor in the growth of the female </w:t>
      </w:r>
      <w:proofErr w:type="spellStart"/>
      <w:r w:rsidR="009B45B9">
        <w:t>DSP</w:t>
      </w:r>
      <w:proofErr w:type="spellEnd"/>
      <w:r w:rsidR="009B45B9">
        <w:t xml:space="preserve"> roll, particularly over the period from 2002 to 2011, where it accounts for almost 70 per cent of the increase in the female </w:t>
      </w:r>
      <w:r>
        <w:t xml:space="preserve">disability </w:t>
      </w:r>
      <w:proofErr w:type="spellStart"/>
      <w:r w:rsidR="009B45B9">
        <w:t>recipiency</w:t>
      </w:r>
      <w:proofErr w:type="spellEnd"/>
      <w:r w:rsidR="009B45B9">
        <w:t xml:space="preserve"> rate. </w:t>
      </w:r>
    </w:p>
    <w:p w:rsidR="00691A9F" w:rsidRDefault="00691A9F" w:rsidP="005F0DEF">
      <w:pPr>
        <w:ind w:firstLine="720"/>
        <w:jc w:val="both"/>
      </w:pPr>
    </w:p>
    <w:p w:rsidR="00691A9F" w:rsidRDefault="00F860BF" w:rsidP="005F0DEF">
      <w:pPr>
        <w:jc w:val="both"/>
        <w:rPr>
          <w:b/>
        </w:rPr>
      </w:pPr>
      <w:r w:rsidRPr="007316FC">
        <w:rPr>
          <w:b/>
        </w:rPr>
        <w:t>Addit</w:t>
      </w:r>
      <w:r w:rsidR="00691A9F">
        <w:rPr>
          <w:b/>
        </w:rPr>
        <w:t>ional Details for Great Britain</w:t>
      </w:r>
    </w:p>
    <w:p w:rsidR="00691A9F" w:rsidRDefault="000E17D4" w:rsidP="005F0DEF">
      <w:pPr>
        <w:jc w:val="both"/>
      </w:pPr>
      <w:r>
        <w:t>Similarly to Australia, women in G</w:t>
      </w:r>
      <w:r w:rsidR="00603DFD">
        <w:t xml:space="preserve">reat </w:t>
      </w:r>
      <w:r>
        <w:t>B</w:t>
      </w:r>
      <w:r w:rsidR="00603DFD">
        <w:t>ritain</w:t>
      </w:r>
      <w:r>
        <w:t xml:space="preserve"> were eligible for the state (age) pension at the age of 60 until May 2010</w:t>
      </w:r>
      <w:r w:rsidR="00603DFD">
        <w:t>. S</w:t>
      </w:r>
      <w:r>
        <w:t xml:space="preserve">ince </w:t>
      </w:r>
      <w:r w:rsidR="00603DFD">
        <w:t>t</w:t>
      </w:r>
      <w:r>
        <w:t xml:space="preserve">hen the state pension age has increased by one month every second month, a process which will be complete when the female pension age reaches 65 years – the current male pension age – at the end of the current decade.  </w:t>
      </w:r>
      <w:r w:rsidR="00CC039F">
        <w:t>We make the same assumption for G</w:t>
      </w:r>
      <w:r w:rsidR="00603DFD">
        <w:t xml:space="preserve">reat </w:t>
      </w:r>
      <w:r w:rsidR="00CC039F">
        <w:t>B</w:t>
      </w:r>
      <w:r w:rsidR="00603DFD">
        <w:t>ritain</w:t>
      </w:r>
      <w:r w:rsidR="00CC039F">
        <w:t xml:space="preserve"> as for Australia, i.e. that all additional female disability recipients over the age of 59 since May 2010 joined the roll because of the increase in the state pension age. In contrast to Australia this has not yet been a major driver of the disability roll in G</w:t>
      </w:r>
      <w:r w:rsidR="00603DFD">
        <w:t>reat Britain</w:t>
      </w:r>
      <w:r w:rsidR="00CC039F">
        <w:t>, but its contribution is likely to grow as the process continues over the coming years.</w:t>
      </w:r>
    </w:p>
    <w:p w:rsidR="004C0AED" w:rsidRDefault="004C0AED" w:rsidP="005F0DEF">
      <w:pPr>
        <w:jc w:val="both"/>
        <w:sectPr w:rsidR="004C0AED" w:rsidSect="004C0AED">
          <w:footerReference w:type="default" r:id="rId11"/>
          <w:footerReference w:type="first" r:id="rId12"/>
          <w:endnotePr>
            <w:numFmt w:val="decimal"/>
          </w:endnotePr>
          <w:type w:val="continuous"/>
          <w:pgSz w:w="12240" w:h="15840"/>
          <w:pgMar w:top="1440" w:right="1440" w:bottom="1440" w:left="1440" w:header="720" w:footer="720" w:gutter="0"/>
          <w:cols w:space="720"/>
          <w:titlePg/>
          <w:docGrid w:linePitch="360"/>
        </w:sectPr>
      </w:pPr>
    </w:p>
    <w:p w:rsidR="004C0AED" w:rsidRDefault="006A041A" w:rsidP="005F0DEF">
      <w:pPr>
        <w:jc w:val="both"/>
        <w:sectPr w:rsidR="004C0AED" w:rsidSect="004C0AED">
          <w:endnotePr>
            <w:numFmt w:val="decimal"/>
          </w:endnotePr>
          <w:pgSz w:w="15840" w:h="12240" w:orient="landscape"/>
          <w:pgMar w:top="1440" w:right="1440" w:bottom="1440" w:left="1440" w:header="720" w:footer="720" w:gutter="0"/>
          <w:cols w:space="720"/>
          <w:titlePg/>
          <w:docGrid w:linePitch="360"/>
        </w:sectPr>
      </w:pPr>
      <w:r w:rsidRPr="006A041A">
        <w:rPr>
          <w:noProof/>
        </w:rPr>
        <w:lastRenderedPageBreak/>
        <w:drawing>
          <wp:inline distT="0" distB="0" distL="0" distR="0">
            <wp:extent cx="8229600" cy="5959095"/>
            <wp:effectExtent l="0" t="0" r="0" b="0"/>
            <wp:docPr id="1" name="Picture 1" descr="FRBShape; FRBDatabase=None; Key=0; Date Inserted=01/01/1900; Inserted by=Nobody; Date updated=01/01/1900; Updated by=N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29600" cy="5959095"/>
                    </a:xfrm>
                    <a:prstGeom prst="rect">
                      <a:avLst/>
                    </a:prstGeom>
                    <a:noFill/>
                    <a:ln>
                      <a:noFill/>
                    </a:ln>
                  </pic:spPr>
                </pic:pic>
              </a:graphicData>
            </a:graphic>
          </wp:inline>
        </w:drawing>
      </w:r>
    </w:p>
    <w:p w:rsidR="0097514A" w:rsidRDefault="0097514A" w:rsidP="004C0AED">
      <w:pPr>
        <w:jc w:val="center"/>
        <w:rPr>
          <w:b/>
          <w:color w:val="000000" w:themeColor="text1"/>
        </w:rPr>
      </w:pPr>
    </w:p>
    <w:p w:rsidR="0097514A" w:rsidRDefault="0097514A" w:rsidP="004C0AED">
      <w:pPr>
        <w:jc w:val="center"/>
        <w:rPr>
          <w:b/>
          <w:color w:val="000000" w:themeColor="text1"/>
        </w:rPr>
      </w:pPr>
    </w:p>
    <w:p w:rsidR="0097514A" w:rsidRDefault="0097514A" w:rsidP="004C0AED">
      <w:pPr>
        <w:jc w:val="center"/>
        <w:rPr>
          <w:b/>
          <w:color w:val="000000" w:themeColor="text1"/>
        </w:rPr>
      </w:pPr>
    </w:p>
    <w:p w:rsidR="003617EA" w:rsidRDefault="0085097E" w:rsidP="004C0AED">
      <w:pPr>
        <w:jc w:val="center"/>
        <w:rPr>
          <w:b/>
          <w:color w:val="000000" w:themeColor="text1"/>
        </w:rPr>
      </w:pPr>
      <w:r w:rsidRPr="0085097E">
        <w:rPr>
          <w:noProof/>
        </w:rPr>
        <w:drawing>
          <wp:inline distT="0" distB="0" distL="0" distR="0">
            <wp:extent cx="5629275" cy="2870200"/>
            <wp:effectExtent l="0" t="0" r="9525" b="6350"/>
            <wp:docPr id="6" name="Picture 6" descr="FRBShape; FRBDatabase=None; Key=0; Date Inserted=01/01/1900; Inserted by=Nobody; Date updated=01/01/1900; Updated by=No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29275" cy="2870200"/>
                    </a:xfrm>
                    <a:prstGeom prst="rect">
                      <a:avLst/>
                    </a:prstGeom>
                    <a:noFill/>
                    <a:ln>
                      <a:noFill/>
                    </a:ln>
                  </pic:spPr>
                </pic:pic>
              </a:graphicData>
            </a:graphic>
          </wp:inline>
        </w:drawing>
      </w:r>
    </w:p>
    <w:sectPr w:rsidR="003617EA" w:rsidSect="00D10A99">
      <w:endnotePr>
        <w:numFmt w:val="decimal"/>
      </w:endnotePr>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CB9" w:rsidRDefault="004C0CB9" w:rsidP="0075272B">
      <w:r>
        <w:separator/>
      </w:r>
    </w:p>
  </w:endnote>
  <w:endnote w:type="continuationSeparator" w:id="0">
    <w:p w:rsidR="004C0CB9" w:rsidRDefault="004C0CB9" w:rsidP="007527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4716754"/>
      <w:docPartObj>
        <w:docPartGallery w:val="Page Numbers (Bottom of Page)"/>
        <w:docPartUnique/>
      </w:docPartObj>
    </w:sdtPr>
    <w:sdtEndPr>
      <w:rPr>
        <w:noProof/>
      </w:rPr>
    </w:sdtEndPr>
    <w:sdtContent>
      <w:p w:rsidR="00700BA2" w:rsidRDefault="009E4A85">
        <w:pPr>
          <w:pStyle w:val="Footer"/>
          <w:jc w:val="right"/>
        </w:pPr>
        <w:r>
          <w:fldChar w:fldCharType="begin"/>
        </w:r>
        <w:r w:rsidR="00700BA2">
          <w:instrText xml:space="preserve"> PAGE   \* MERGEFORMAT </w:instrText>
        </w:r>
        <w:r>
          <w:fldChar w:fldCharType="separate"/>
        </w:r>
        <w:r w:rsidR="00640278">
          <w:rPr>
            <w:noProof/>
          </w:rPr>
          <w:t>3</w:t>
        </w:r>
        <w:r>
          <w:rPr>
            <w:noProof/>
          </w:rPr>
          <w:fldChar w:fldCharType="end"/>
        </w:r>
      </w:p>
    </w:sdtContent>
  </w:sdt>
  <w:p w:rsidR="00700BA2" w:rsidRDefault="00700B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BA2" w:rsidRDefault="00700BA2">
    <w:pPr>
      <w:pStyle w:val="Footer"/>
      <w:jc w:val="right"/>
    </w:pPr>
  </w:p>
  <w:p w:rsidR="00700BA2" w:rsidRDefault="00700BA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CB9" w:rsidRDefault="004C0CB9" w:rsidP="0075272B">
      <w:r>
        <w:separator/>
      </w:r>
    </w:p>
  </w:footnote>
  <w:footnote w:type="continuationSeparator" w:id="0">
    <w:p w:rsidR="004C0CB9" w:rsidRDefault="004C0CB9" w:rsidP="0075272B">
      <w:r>
        <w:continuationSeparator/>
      </w:r>
    </w:p>
  </w:footnote>
  <w:footnote w:id="1">
    <w:p w:rsidR="00700BA2" w:rsidRPr="00691A9F" w:rsidRDefault="00700BA2" w:rsidP="00F860BF">
      <w:pPr>
        <w:pStyle w:val="FootnoteText"/>
        <w:rPr>
          <w:sz w:val="24"/>
          <w:szCs w:val="24"/>
        </w:rPr>
      </w:pPr>
      <w:r w:rsidRPr="00691A9F">
        <w:rPr>
          <w:rStyle w:val="FootnoteReference"/>
          <w:sz w:val="24"/>
          <w:szCs w:val="24"/>
        </w:rPr>
        <w:footnoteRef/>
      </w:r>
      <w:r w:rsidRPr="00691A9F">
        <w:rPr>
          <w:sz w:val="24"/>
          <w:szCs w:val="24"/>
        </w:rPr>
        <w:t xml:space="preserve"> We use the following age groups for men and women (14 total demographic groups): 20-29, 30-39, 40-44, 45-49, 50-54 55-59, and 60-64. For the Netherlands age categories are decomposed as follows: 15-24, 25-34, 35-44, 45-54, 55-64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A0865"/>
    <w:multiLevelType w:val="hybridMultilevel"/>
    <w:tmpl w:val="52E21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733659"/>
    <w:multiLevelType w:val="multilevel"/>
    <w:tmpl w:val="87368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9560EF"/>
    <w:multiLevelType w:val="hybridMultilevel"/>
    <w:tmpl w:val="0F382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5F79DF"/>
    <w:multiLevelType w:val="hybridMultilevel"/>
    <w:tmpl w:val="8070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CE00BE"/>
    <w:multiLevelType w:val="multilevel"/>
    <w:tmpl w:val="5A04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81C6425"/>
    <w:multiLevelType w:val="multilevel"/>
    <w:tmpl w:val="4048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D2E5D"/>
    <w:multiLevelType w:val="hybridMultilevel"/>
    <w:tmpl w:val="23A851D0"/>
    <w:lvl w:ilvl="0" w:tplc="29060DA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2C79C5"/>
    <w:multiLevelType w:val="hybridMultilevel"/>
    <w:tmpl w:val="F55A1B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68DA3385"/>
    <w:multiLevelType w:val="hybridMultilevel"/>
    <w:tmpl w:val="8A8CA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445EC2"/>
    <w:multiLevelType w:val="multilevel"/>
    <w:tmpl w:val="0C58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053475"/>
    <w:multiLevelType w:val="hybridMultilevel"/>
    <w:tmpl w:val="D67AB592"/>
    <w:lvl w:ilvl="0" w:tplc="A492013C">
      <w:start w:val="21"/>
      <w:numFmt w:val="bullet"/>
      <w:lvlText w:val=""/>
      <w:lvlJc w:val="left"/>
      <w:pPr>
        <w:ind w:left="648" w:hanging="360"/>
      </w:pPr>
      <w:rPr>
        <w:rFonts w:ascii="Wingdings" w:eastAsiaTheme="minorHAnsi" w:hAnsi="Wingdings"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abstractNumId w:val="5"/>
  </w:num>
  <w:num w:numId="2">
    <w:abstractNumId w:val="7"/>
  </w:num>
  <w:num w:numId="3">
    <w:abstractNumId w:val="9"/>
  </w:num>
  <w:num w:numId="4">
    <w:abstractNumId w:val="10"/>
  </w:num>
  <w:num w:numId="5">
    <w:abstractNumId w:val="0"/>
  </w:num>
  <w:num w:numId="6">
    <w:abstractNumId w:val="8"/>
  </w:num>
  <w:num w:numId="7">
    <w:abstractNumId w:val="3"/>
  </w:num>
  <w:num w:numId="8">
    <w:abstractNumId w:val="2"/>
  </w:num>
  <w:num w:numId="9">
    <w:abstractNumId w:val="1"/>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pos w:val="sectEnd"/>
    <w:numFmt w:val="decimal"/>
    <w:endnote w:id="-1"/>
    <w:endnote w:id="0"/>
  </w:endnotePr>
  <w:compat/>
  <w:rsids>
    <w:rsidRoot w:val="002F7D4B"/>
    <w:rsid w:val="00001CF8"/>
    <w:rsid w:val="00005EE3"/>
    <w:rsid w:val="00006B51"/>
    <w:rsid w:val="00007FEE"/>
    <w:rsid w:val="00010310"/>
    <w:rsid w:val="00011599"/>
    <w:rsid w:val="00014AA0"/>
    <w:rsid w:val="00015E87"/>
    <w:rsid w:val="000165C6"/>
    <w:rsid w:val="000165D8"/>
    <w:rsid w:val="00016EE3"/>
    <w:rsid w:val="00020777"/>
    <w:rsid w:val="000207B3"/>
    <w:rsid w:val="00021905"/>
    <w:rsid w:val="00021BBF"/>
    <w:rsid w:val="00022ACD"/>
    <w:rsid w:val="00023098"/>
    <w:rsid w:val="00026E8A"/>
    <w:rsid w:val="00027926"/>
    <w:rsid w:val="000303C2"/>
    <w:rsid w:val="00030E5B"/>
    <w:rsid w:val="00031130"/>
    <w:rsid w:val="00033CC5"/>
    <w:rsid w:val="00034473"/>
    <w:rsid w:val="0003561A"/>
    <w:rsid w:val="0004318A"/>
    <w:rsid w:val="0004354D"/>
    <w:rsid w:val="000439D9"/>
    <w:rsid w:val="000472B0"/>
    <w:rsid w:val="00050D07"/>
    <w:rsid w:val="00050D0A"/>
    <w:rsid w:val="0005155A"/>
    <w:rsid w:val="00051B56"/>
    <w:rsid w:val="000522F3"/>
    <w:rsid w:val="000563AD"/>
    <w:rsid w:val="00057C7A"/>
    <w:rsid w:val="000600F6"/>
    <w:rsid w:val="00060557"/>
    <w:rsid w:val="00062859"/>
    <w:rsid w:val="000632F7"/>
    <w:rsid w:val="00063ED0"/>
    <w:rsid w:val="00063F97"/>
    <w:rsid w:val="00064A20"/>
    <w:rsid w:val="00064AF9"/>
    <w:rsid w:val="00064E63"/>
    <w:rsid w:val="000673C7"/>
    <w:rsid w:val="00070086"/>
    <w:rsid w:val="00072073"/>
    <w:rsid w:val="0007252C"/>
    <w:rsid w:val="00072E96"/>
    <w:rsid w:val="0007563E"/>
    <w:rsid w:val="00077768"/>
    <w:rsid w:val="00077A83"/>
    <w:rsid w:val="00080765"/>
    <w:rsid w:val="00081C97"/>
    <w:rsid w:val="00085323"/>
    <w:rsid w:val="00085727"/>
    <w:rsid w:val="0009015A"/>
    <w:rsid w:val="000A53D0"/>
    <w:rsid w:val="000A6CBA"/>
    <w:rsid w:val="000B0BE7"/>
    <w:rsid w:val="000B0D25"/>
    <w:rsid w:val="000B0F01"/>
    <w:rsid w:val="000B11C4"/>
    <w:rsid w:val="000B31F9"/>
    <w:rsid w:val="000B3C04"/>
    <w:rsid w:val="000B4DAA"/>
    <w:rsid w:val="000B4EAF"/>
    <w:rsid w:val="000B779D"/>
    <w:rsid w:val="000C302E"/>
    <w:rsid w:val="000C3665"/>
    <w:rsid w:val="000C36D9"/>
    <w:rsid w:val="000C58CF"/>
    <w:rsid w:val="000C75F3"/>
    <w:rsid w:val="000D06C3"/>
    <w:rsid w:val="000D0BF2"/>
    <w:rsid w:val="000D2293"/>
    <w:rsid w:val="000D2AB2"/>
    <w:rsid w:val="000D3042"/>
    <w:rsid w:val="000D31A2"/>
    <w:rsid w:val="000D340E"/>
    <w:rsid w:val="000D3543"/>
    <w:rsid w:val="000D3786"/>
    <w:rsid w:val="000D47CF"/>
    <w:rsid w:val="000D5623"/>
    <w:rsid w:val="000D7671"/>
    <w:rsid w:val="000D78BD"/>
    <w:rsid w:val="000E17D4"/>
    <w:rsid w:val="000E1F45"/>
    <w:rsid w:val="000E750C"/>
    <w:rsid w:val="000F2880"/>
    <w:rsid w:val="000F3796"/>
    <w:rsid w:val="000F4BD0"/>
    <w:rsid w:val="000F58EF"/>
    <w:rsid w:val="000F5A34"/>
    <w:rsid w:val="000F69EC"/>
    <w:rsid w:val="000F6E1D"/>
    <w:rsid w:val="000F7922"/>
    <w:rsid w:val="00100885"/>
    <w:rsid w:val="001009DD"/>
    <w:rsid w:val="00100D0F"/>
    <w:rsid w:val="00101B23"/>
    <w:rsid w:val="001041D4"/>
    <w:rsid w:val="001062A0"/>
    <w:rsid w:val="00110871"/>
    <w:rsid w:val="00110EDC"/>
    <w:rsid w:val="00112FE8"/>
    <w:rsid w:val="00113611"/>
    <w:rsid w:val="00116319"/>
    <w:rsid w:val="00120812"/>
    <w:rsid w:val="001227DB"/>
    <w:rsid w:val="001258B8"/>
    <w:rsid w:val="00126B57"/>
    <w:rsid w:val="0013080C"/>
    <w:rsid w:val="0013356B"/>
    <w:rsid w:val="00133744"/>
    <w:rsid w:val="00133C04"/>
    <w:rsid w:val="001359D2"/>
    <w:rsid w:val="00136165"/>
    <w:rsid w:val="00142467"/>
    <w:rsid w:val="00143BFE"/>
    <w:rsid w:val="001442FE"/>
    <w:rsid w:val="00147549"/>
    <w:rsid w:val="00147A0E"/>
    <w:rsid w:val="00150C47"/>
    <w:rsid w:val="00153301"/>
    <w:rsid w:val="001549E6"/>
    <w:rsid w:val="0015518A"/>
    <w:rsid w:val="00155CCF"/>
    <w:rsid w:val="00156DC9"/>
    <w:rsid w:val="00157056"/>
    <w:rsid w:val="0015767F"/>
    <w:rsid w:val="00157D23"/>
    <w:rsid w:val="00160897"/>
    <w:rsid w:val="00160B9C"/>
    <w:rsid w:val="0016129C"/>
    <w:rsid w:val="001625B7"/>
    <w:rsid w:val="0016302A"/>
    <w:rsid w:val="00164398"/>
    <w:rsid w:val="0016463B"/>
    <w:rsid w:val="00167451"/>
    <w:rsid w:val="001704A8"/>
    <w:rsid w:val="00170691"/>
    <w:rsid w:val="0017109E"/>
    <w:rsid w:val="00172E74"/>
    <w:rsid w:val="00173A92"/>
    <w:rsid w:val="00174D85"/>
    <w:rsid w:val="001756DD"/>
    <w:rsid w:val="00176F31"/>
    <w:rsid w:val="00181AA4"/>
    <w:rsid w:val="001820EA"/>
    <w:rsid w:val="00182245"/>
    <w:rsid w:val="00182D59"/>
    <w:rsid w:val="001846BC"/>
    <w:rsid w:val="00185244"/>
    <w:rsid w:val="00185655"/>
    <w:rsid w:val="00187063"/>
    <w:rsid w:val="00187187"/>
    <w:rsid w:val="001873C4"/>
    <w:rsid w:val="001902F8"/>
    <w:rsid w:val="00193732"/>
    <w:rsid w:val="001938C8"/>
    <w:rsid w:val="00193CDF"/>
    <w:rsid w:val="00194140"/>
    <w:rsid w:val="001971E8"/>
    <w:rsid w:val="00197B6E"/>
    <w:rsid w:val="001A083F"/>
    <w:rsid w:val="001A1FAA"/>
    <w:rsid w:val="001B2C05"/>
    <w:rsid w:val="001B3B35"/>
    <w:rsid w:val="001C003E"/>
    <w:rsid w:val="001C1039"/>
    <w:rsid w:val="001C16AA"/>
    <w:rsid w:val="001C3013"/>
    <w:rsid w:val="001C5240"/>
    <w:rsid w:val="001C5BD7"/>
    <w:rsid w:val="001D0128"/>
    <w:rsid w:val="001D03E7"/>
    <w:rsid w:val="001D2C2D"/>
    <w:rsid w:val="001D3C33"/>
    <w:rsid w:val="001D4F81"/>
    <w:rsid w:val="001D5DE1"/>
    <w:rsid w:val="001D5EC5"/>
    <w:rsid w:val="001D6145"/>
    <w:rsid w:val="001D6727"/>
    <w:rsid w:val="001D7C69"/>
    <w:rsid w:val="001E38FD"/>
    <w:rsid w:val="001E4047"/>
    <w:rsid w:val="001E57E7"/>
    <w:rsid w:val="001E6232"/>
    <w:rsid w:val="001F08CB"/>
    <w:rsid w:val="001F19DA"/>
    <w:rsid w:val="001F2B0A"/>
    <w:rsid w:val="001F2C92"/>
    <w:rsid w:val="001F4E06"/>
    <w:rsid w:val="001F6AF3"/>
    <w:rsid w:val="001F7463"/>
    <w:rsid w:val="0020020E"/>
    <w:rsid w:val="002012CB"/>
    <w:rsid w:val="0020169B"/>
    <w:rsid w:val="00201CA8"/>
    <w:rsid w:val="0020236C"/>
    <w:rsid w:val="00205459"/>
    <w:rsid w:val="002055C9"/>
    <w:rsid w:val="002062ED"/>
    <w:rsid w:val="00206907"/>
    <w:rsid w:val="00210455"/>
    <w:rsid w:val="00210B39"/>
    <w:rsid w:val="00212DEC"/>
    <w:rsid w:val="002142E6"/>
    <w:rsid w:val="00215A10"/>
    <w:rsid w:val="002168CB"/>
    <w:rsid w:val="00216F43"/>
    <w:rsid w:val="00217628"/>
    <w:rsid w:val="00220D0E"/>
    <w:rsid w:val="0022130E"/>
    <w:rsid w:val="0022261C"/>
    <w:rsid w:val="00223645"/>
    <w:rsid w:val="0022415D"/>
    <w:rsid w:val="002255AF"/>
    <w:rsid w:val="00225D5C"/>
    <w:rsid w:val="00233C17"/>
    <w:rsid w:val="0023471D"/>
    <w:rsid w:val="00235758"/>
    <w:rsid w:val="0023612D"/>
    <w:rsid w:val="00236F0F"/>
    <w:rsid w:val="00240DD7"/>
    <w:rsid w:val="002426A9"/>
    <w:rsid w:val="00244664"/>
    <w:rsid w:val="00246978"/>
    <w:rsid w:val="002500FF"/>
    <w:rsid w:val="00250528"/>
    <w:rsid w:val="00250CF0"/>
    <w:rsid w:val="0025364E"/>
    <w:rsid w:val="002538A3"/>
    <w:rsid w:val="00253D89"/>
    <w:rsid w:val="002552D2"/>
    <w:rsid w:val="0025571E"/>
    <w:rsid w:val="002562D3"/>
    <w:rsid w:val="00257B60"/>
    <w:rsid w:val="00257C8E"/>
    <w:rsid w:val="002625B5"/>
    <w:rsid w:val="00263CDD"/>
    <w:rsid w:val="00264150"/>
    <w:rsid w:val="002669B3"/>
    <w:rsid w:val="002677DF"/>
    <w:rsid w:val="00267BB7"/>
    <w:rsid w:val="00270F04"/>
    <w:rsid w:val="00271493"/>
    <w:rsid w:val="00274087"/>
    <w:rsid w:val="00275B8E"/>
    <w:rsid w:val="00275C69"/>
    <w:rsid w:val="00276BAA"/>
    <w:rsid w:val="00276CD5"/>
    <w:rsid w:val="002770A8"/>
    <w:rsid w:val="0027749C"/>
    <w:rsid w:val="00277B34"/>
    <w:rsid w:val="00277B39"/>
    <w:rsid w:val="00282529"/>
    <w:rsid w:val="00285126"/>
    <w:rsid w:val="00285FDC"/>
    <w:rsid w:val="00286577"/>
    <w:rsid w:val="002917C0"/>
    <w:rsid w:val="002947D8"/>
    <w:rsid w:val="00296092"/>
    <w:rsid w:val="002977A1"/>
    <w:rsid w:val="00297980"/>
    <w:rsid w:val="002B0006"/>
    <w:rsid w:val="002B216C"/>
    <w:rsid w:val="002B2FC1"/>
    <w:rsid w:val="002B4447"/>
    <w:rsid w:val="002B49CA"/>
    <w:rsid w:val="002B582C"/>
    <w:rsid w:val="002B5914"/>
    <w:rsid w:val="002B5AD5"/>
    <w:rsid w:val="002C0898"/>
    <w:rsid w:val="002C1D5B"/>
    <w:rsid w:val="002C3D68"/>
    <w:rsid w:val="002C3FDC"/>
    <w:rsid w:val="002C5135"/>
    <w:rsid w:val="002D01CD"/>
    <w:rsid w:val="002D05A3"/>
    <w:rsid w:val="002D05E3"/>
    <w:rsid w:val="002D28C0"/>
    <w:rsid w:val="002D3263"/>
    <w:rsid w:val="002D369D"/>
    <w:rsid w:val="002D3E63"/>
    <w:rsid w:val="002D51D6"/>
    <w:rsid w:val="002D6681"/>
    <w:rsid w:val="002D73D2"/>
    <w:rsid w:val="002E0A5A"/>
    <w:rsid w:val="002E10A9"/>
    <w:rsid w:val="002E1823"/>
    <w:rsid w:val="002E3795"/>
    <w:rsid w:val="002E5707"/>
    <w:rsid w:val="002E582E"/>
    <w:rsid w:val="002E77E3"/>
    <w:rsid w:val="002F1C8D"/>
    <w:rsid w:val="002F1FFA"/>
    <w:rsid w:val="002F26F6"/>
    <w:rsid w:val="002F310E"/>
    <w:rsid w:val="002F3A1C"/>
    <w:rsid w:val="002F4844"/>
    <w:rsid w:val="002F4A18"/>
    <w:rsid w:val="002F5224"/>
    <w:rsid w:val="002F7B02"/>
    <w:rsid w:val="002F7D4B"/>
    <w:rsid w:val="00300342"/>
    <w:rsid w:val="003024AB"/>
    <w:rsid w:val="003065D2"/>
    <w:rsid w:val="00306706"/>
    <w:rsid w:val="00310B4C"/>
    <w:rsid w:val="00311BE5"/>
    <w:rsid w:val="003132CA"/>
    <w:rsid w:val="00313960"/>
    <w:rsid w:val="0031602E"/>
    <w:rsid w:val="003169E5"/>
    <w:rsid w:val="003174BB"/>
    <w:rsid w:val="003200F8"/>
    <w:rsid w:val="00320303"/>
    <w:rsid w:val="003228DF"/>
    <w:rsid w:val="00322B03"/>
    <w:rsid w:val="0032367A"/>
    <w:rsid w:val="00324690"/>
    <w:rsid w:val="003315F0"/>
    <w:rsid w:val="00331D35"/>
    <w:rsid w:val="00332290"/>
    <w:rsid w:val="0033315A"/>
    <w:rsid w:val="003335C7"/>
    <w:rsid w:val="00333E4F"/>
    <w:rsid w:val="00334F16"/>
    <w:rsid w:val="00336D9A"/>
    <w:rsid w:val="00340F85"/>
    <w:rsid w:val="00341E60"/>
    <w:rsid w:val="003428E2"/>
    <w:rsid w:val="00343770"/>
    <w:rsid w:val="003443AB"/>
    <w:rsid w:val="0034462D"/>
    <w:rsid w:val="0034582B"/>
    <w:rsid w:val="0035061A"/>
    <w:rsid w:val="00350F16"/>
    <w:rsid w:val="003520FA"/>
    <w:rsid w:val="00355C3A"/>
    <w:rsid w:val="003563DC"/>
    <w:rsid w:val="00357996"/>
    <w:rsid w:val="00357C66"/>
    <w:rsid w:val="003602DC"/>
    <w:rsid w:val="00360647"/>
    <w:rsid w:val="00360BF8"/>
    <w:rsid w:val="003617EA"/>
    <w:rsid w:val="003618CB"/>
    <w:rsid w:val="00361A39"/>
    <w:rsid w:val="003622F6"/>
    <w:rsid w:val="003626DE"/>
    <w:rsid w:val="00363172"/>
    <w:rsid w:val="003637FF"/>
    <w:rsid w:val="00364D68"/>
    <w:rsid w:val="0037277B"/>
    <w:rsid w:val="00372995"/>
    <w:rsid w:val="0037434B"/>
    <w:rsid w:val="00374395"/>
    <w:rsid w:val="003756C9"/>
    <w:rsid w:val="00377292"/>
    <w:rsid w:val="003810EB"/>
    <w:rsid w:val="003814A1"/>
    <w:rsid w:val="00383AC5"/>
    <w:rsid w:val="0038676C"/>
    <w:rsid w:val="00386887"/>
    <w:rsid w:val="00386E3A"/>
    <w:rsid w:val="00387A4D"/>
    <w:rsid w:val="0039027D"/>
    <w:rsid w:val="00390932"/>
    <w:rsid w:val="00394E77"/>
    <w:rsid w:val="00397FE1"/>
    <w:rsid w:val="003A220A"/>
    <w:rsid w:val="003A2EE5"/>
    <w:rsid w:val="003A4ACA"/>
    <w:rsid w:val="003A593A"/>
    <w:rsid w:val="003A74EA"/>
    <w:rsid w:val="003B00FB"/>
    <w:rsid w:val="003B1C01"/>
    <w:rsid w:val="003B2EAB"/>
    <w:rsid w:val="003B3A0A"/>
    <w:rsid w:val="003B5494"/>
    <w:rsid w:val="003B5851"/>
    <w:rsid w:val="003B747B"/>
    <w:rsid w:val="003C13E8"/>
    <w:rsid w:val="003C14CE"/>
    <w:rsid w:val="003C2358"/>
    <w:rsid w:val="003C2DC9"/>
    <w:rsid w:val="003C55A1"/>
    <w:rsid w:val="003C7330"/>
    <w:rsid w:val="003D0B3B"/>
    <w:rsid w:val="003D21B5"/>
    <w:rsid w:val="003D283D"/>
    <w:rsid w:val="003D29F6"/>
    <w:rsid w:val="003D7CD9"/>
    <w:rsid w:val="003E205F"/>
    <w:rsid w:val="003E314C"/>
    <w:rsid w:val="003E3996"/>
    <w:rsid w:val="003E3F87"/>
    <w:rsid w:val="003E4922"/>
    <w:rsid w:val="003E559B"/>
    <w:rsid w:val="003E7496"/>
    <w:rsid w:val="003E7CEE"/>
    <w:rsid w:val="003F1ACA"/>
    <w:rsid w:val="003F2C55"/>
    <w:rsid w:val="003F555D"/>
    <w:rsid w:val="003F5D70"/>
    <w:rsid w:val="003F7378"/>
    <w:rsid w:val="004000BF"/>
    <w:rsid w:val="00401099"/>
    <w:rsid w:val="004011C3"/>
    <w:rsid w:val="00401CFF"/>
    <w:rsid w:val="004036B2"/>
    <w:rsid w:val="0040628C"/>
    <w:rsid w:val="004064CF"/>
    <w:rsid w:val="00406AFE"/>
    <w:rsid w:val="00410143"/>
    <w:rsid w:val="0041295B"/>
    <w:rsid w:val="00412B56"/>
    <w:rsid w:val="00413DBD"/>
    <w:rsid w:val="00414690"/>
    <w:rsid w:val="004169A1"/>
    <w:rsid w:val="00416CE9"/>
    <w:rsid w:val="00420966"/>
    <w:rsid w:val="00420DE2"/>
    <w:rsid w:val="004212C8"/>
    <w:rsid w:val="00422766"/>
    <w:rsid w:val="00422A5E"/>
    <w:rsid w:val="00423496"/>
    <w:rsid w:val="00425008"/>
    <w:rsid w:val="00425C03"/>
    <w:rsid w:val="00425E4C"/>
    <w:rsid w:val="0042761C"/>
    <w:rsid w:val="00427827"/>
    <w:rsid w:val="0043091C"/>
    <w:rsid w:val="00430D15"/>
    <w:rsid w:val="0043445F"/>
    <w:rsid w:val="00434715"/>
    <w:rsid w:val="004357B4"/>
    <w:rsid w:val="00435C7C"/>
    <w:rsid w:val="00441C5A"/>
    <w:rsid w:val="004446AA"/>
    <w:rsid w:val="0044501B"/>
    <w:rsid w:val="004461D7"/>
    <w:rsid w:val="00446B8D"/>
    <w:rsid w:val="0045077C"/>
    <w:rsid w:val="00450B66"/>
    <w:rsid w:val="00452853"/>
    <w:rsid w:val="0045562B"/>
    <w:rsid w:val="0045694F"/>
    <w:rsid w:val="00460388"/>
    <w:rsid w:val="00461653"/>
    <w:rsid w:val="0046386E"/>
    <w:rsid w:val="004654A8"/>
    <w:rsid w:val="00467495"/>
    <w:rsid w:val="00467AB0"/>
    <w:rsid w:val="00477305"/>
    <w:rsid w:val="00481090"/>
    <w:rsid w:val="00482320"/>
    <w:rsid w:val="00482994"/>
    <w:rsid w:val="004900FC"/>
    <w:rsid w:val="004906B7"/>
    <w:rsid w:val="004907DC"/>
    <w:rsid w:val="00490BD8"/>
    <w:rsid w:val="0049420F"/>
    <w:rsid w:val="00494595"/>
    <w:rsid w:val="00494BE3"/>
    <w:rsid w:val="00496C1A"/>
    <w:rsid w:val="004973DD"/>
    <w:rsid w:val="004A09CD"/>
    <w:rsid w:val="004A450C"/>
    <w:rsid w:val="004A47CB"/>
    <w:rsid w:val="004A47DE"/>
    <w:rsid w:val="004A5A29"/>
    <w:rsid w:val="004A6D7A"/>
    <w:rsid w:val="004B0D78"/>
    <w:rsid w:val="004B3D73"/>
    <w:rsid w:val="004B40E9"/>
    <w:rsid w:val="004B773D"/>
    <w:rsid w:val="004B7B4C"/>
    <w:rsid w:val="004C0AED"/>
    <w:rsid w:val="004C0CB9"/>
    <w:rsid w:val="004C3463"/>
    <w:rsid w:val="004C3F72"/>
    <w:rsid w:val="004C400E"/>
    <w:rsid w:val="004C4977"/>
    <w:rsid w:val="004C4A1A"/>
    <w:rsid w:val="004C5EBD"/>
    <w:rsid w:val="004D3309"/>
    <w:rsid w:val="004D3437"/>
    <w:rsid w:val="004D4C09"/>
    <w:rsid w:val="004D523E"/>
    <w:rsid w:val="004D5930"/>
    <w:rsid w:val="004E13FF"/>
    <w:rsid w:val="004E470C"/>
    <w:rsid w:val="004F0C60"/>
    <w:rsid w:val="004F2C96"/>
    <w:rsid w:val="004F3523"/>
    <w:rsid w:val="004F4C21"/>
    <w:rsid w:val="004F75E9"/>
    <w:rsid w:val="00500EEA"/>
    <w:rsid w:val="0050263B"/>
    <w:rsid w:val="00503614"/>
    <w:rsid w:val="00504416"/>
    <w:rsid w:val="00504542"/>
    <w:rsid w:val="00507659"/>
    <w:rsid w:val="005076FC"/>
    <w:rsid w:val="005108FD"/>
    <w:rsid w:val="00510E30"/>
    <w:rsid w:val="0051103A"/>
    <w:rsid w:val="00511F04"/>
    <w:rsid w:val="00514857"/>
    <w:rsid w:val="0052173A"/>
    <w:rsid w:val="00522CF8"/>
    <w:rsid w:val="00522EC2"/>
    <w:rsid w:val="00524607"/>
    <w:rsid w:val="00525DC3"/>
    <w:rsid w:val="005260F6"/>
    <w:rsid w:val="00526602"/>
    <w:rsid w:val="00527233"/>
    <w:rsid w:val="0053036F"/>
    <w:rsid w:val="00533447"/>
    <w:rsid w:val="005335B6"/>
    <w:rsid w:val="005355DA"/>
    <w:rsid w:val="00536E92"/>
    <w:rsid w:val="005409AE"/>
    <w:rsid w:val="0054125A"/>
    <w:rsid w:val="0054149A"/>
    <w:rsid w:val="00541D53"/>
    <w:rsid w:val="00542E4B"/>
    <w:rsid w:val="00544478"/>
    <w:rsid w:val="0054652B"/>
    <w:rsid w:val="00546AE8"/>
    <w:rsid w:val="00546F3F"/>
    <w:rsid w:val="005514C1"/>
    <w:rsid w:val="0055409A"/>
    <w:rsid w:val="00554493"/>
    <w:rsid w:val="005569E1"/>
    <w:rsid w:val="00561681"/>
    <w:rsid w:val="0056698E"/>
    <w:rsid w:val="00566B42"/>
    <w:rsid w:val="00567357"/>
    <w:rsid w:val="0056790A"/>
    <w:rsid w:val="00571C5F"/>
    <w:rsid w:val="005747F7"/>
    <w:rsid w:val="0057671D"/>
    <w:rsid w:val="005775D6"/>
    <w:rsid w:val="00577B70"/>
    <w:rsid w:val="00577BEC"/>
    <w:rsid w:val="00581E33"/>
    <w:rsid w:val="005821B2"/>
    <w:rsid w:val="005828DE"/>
    <w:rsid w:val="00585557"/>
    <w:rsid w:val="00586B46"/>
    <w:rsid w:val="00586CC1"/>
    <w:rsid w:val="0059048B"/>
    <w:rsid w:val="00593735"/>
    <w:rsid w:val="00593DDF"/>
    <w:rsid w:val="005947BD"/>
    <w:rsid w:val="0059710D"/>
    <w:rsid w:val="00597FDC"/>
    <w:rsid w:val="005A0171"/>
    <w:rsid w:val="005A1B7E"/>
    <w:rsid w:val="005A3022"/>
    <w:rsid w:val="005A3EA1"/>
    <w:rsid w:val="005A46AD"/>
    <w:rsid w:val="005A5161"/>
    <w:rsid w:val="005A572D"/>
    <w:rsid w:val="005A5A48"/>
    <w:rsid w:val="005A5A9A"/>
    <w:rsid w:val="005A7D6D"/>
    <w:rsid w:val="005B07BF"/>
    <w:rsid w:val="005B0EE1"/>
    <w:rsid w:val="005B43B8"/>
    <w:rsid w:val="005B4DD9"/>
    <w:rsid w:val="005B58D5"/>
    <w:rsid w:val="005B5AE6"/>
    <w:rsid w:val="005C1731"/>
    <w:rsid w:val="005C214C"/>
    <w:rsid w:val="005C6815"/>
    <w:rsid w:val="005C7797"/>
    <w:rsid w:val="005C7B14"/>
    <w:rsid w:val="005D02A6"/>
    <w:rsid w:val="005D0867"/>
    <w:rsid w:val="005D1C6F"/>
    <w:rsid w:val="005D25D5"/>
    <w:rsid w:val="005D6AF7"/>
    <w:rsid w:val="005D76ED"/>
    <w:rsid w:val="005D7B03"/>
    <w:rsid w:val="005E16D5"/>
    <w:rsid w:val="005E2923"/>
    <w:rsid w:val="005E2D0C"/>
    <w:rsid w:val="005E5A6F"/>
    <w:rsid w:val="005E5C8F"/>
    <w:rsid w:val="005E5E75"/>
    <w:rsid w:val="005F0892"/>
    <w:rsid w:val="005F0DEF"/>
    <w:rsid w:val="005F2E10"/>
    <w:rsid w:val="005F39EC"/>
    <w:rsid w:val="005F6DD6"/>
    <w:rsid w:val="005F7972"/>
    <w:rsid w:val="00602606"/>
    <w:rsid w:val="00603946"/>
    <w:rsid w:val="00603DFD"/>
    <w:rsid w:val="00605E7D"/>
    <w:rsid w:val="0061089C"/>
    <w:rsid w:val="00611A7A"/>
    <w:rsid w:val="00613E7B"/>
    <w:rsid w:val="00615278"/>
    <w:rsid w:val="0061759F"/>
    <w:rsid w:val="00621D9F"/>
    <w:rsid w:val="00623391"/>
    <w:rsid w:val="006239FE"/>
    <w:rsid w:val="00623CD9"/>
    <w:rsid w:val="00624402"/>
    <w:rsid w:val="0062533D"/>
    <w:rsid w:val="00625DBA"/>
    <w:rsid w:val="00627620"/>
    <w:rsid w:val="00631C36"/>
    <w:rsid w:val="006337C2"/>
    <w:rsid w:val="00640278"/>
    <w:rsid w:val="0064240F"/>
    <w:rsid w:val="00643C13"/>
    <w:rsid w:val="00645B74"/>
    <w:rsid w:val="00645CF6"/>
    <w:rsid w:val="00647243"/>
    <w:rsid w:val="00651845"/>
    <w:rsid w:val="0065202A"/>
    <w:rsid w:val="00655628"/>
    <w:rsid w:val="006556F5"/>
    <w:rsid w:val="0065590D"/>
    <w:rsid w:val="00656326"/>
    <w:rsid w:val="00662020"/>
    <w:rsid w:val="0066389E"/>
    <w:rsid w:val="00664529"/>
    <w:rsid w:val="00665AAD"/>
    <w:rsid w:val="00665D53"/>
    <w:rsid w:val="0066685F"/>
    <w:rsid w:val="00667A36"/>
    <w:rsid w:val="006705B6"/>
    <w:rsid w:val="0067178D"/>
    <w:rsid w:val="00672AC7"/>
    <w:rsid w:val="00677A7A"/>
    <w:rsid w:val="006829AB"/>
    <w:rsid w:val="00684A1A"/>
    <w:rsid w:val="006865C5"/>
    <w:rsid w:val="0068717E"/>
    <w:rsid w:val="0068752B"/>
    <w:rsid w:val="006919A4"/>
    <w:rsid w:val="00691A9F"/>
    <w:rsid w:val="006928C8"/>
    <w:rsid w:val="00694621"/>
    <w:rsid w:val="00694880"/>
    <w:rsid w:val="00695798"/>
    <w:rsid w:val="00695CDC"/>
    <w:rsid w:val="0069762C"/>
    <w:rsid w:val="006A041A"/>
    <w:rsid w:val="006A111F"/>
    <w:rsid w:val="006A22AC"/>
    <w:rsid w:val="006A6702"/>
    <w:rsid w:val="006A739F"/>
    <w:rsid w:val="006B0DF7"/>
    <w:rsid w:val="006B2116"/>
    <w:rsid w:val="006B3AEB"/>
    <w:rsid w:val="006B4C3C"/>
    <w:rsid w:val="006B4E6D"/>
    <w:rsid w:val="006B4F04"/>
    <w:rsid w:val="006B650D"/>
    <w:rsid w:val="006B6F67"/>
    <w:rsid w:val="006C2006"/>
    <w:rsid w:val="006C3887"/>
    <w:rsid w:val="006C3919"/>
    <w:rsid w:val="006C3ABE"/>
    <w:rsid w:val="006C720F"/>
    <w:rsid w:val="006D1897"/>
    <w:rsid w:val="006D32E8"/>
    <w:rsid w:val="006D3443"/>
    <w:rsid w:val="006D3B54"/>
    <w:rsid w:val="006D4ADD"/>
    <w:rsid w:val="006D6602"/>
    <w:rsid w:val="006D684B"/>
    <w:rsid w:val="006D6ED2"/>
    <w:rsid w:val="006D7C7C"/>
    <w:rsid w:val="006E19A3"/>
    <w:rsid w:val="006E2300"/>
    <w:rsid w:val="006E3D6C"/>
    <w:rsid w:val="006E531F"/>
    <w:rsid w:val="006E6650"/>
    <w:rsid w:val="006E726C"/>
    <w:rsid w:val="006E72E0"/>
    <w:rsid w:val="006E76C4"/>
    <w:rsid w:val="006E7F6E"/>
    <w:rsid w:val="006F04A4"/>
    <w:rsid w:val="006F0F9D"/>
    <w:rsid w:val="006F14E3"/>
    <w:rsid w:val="006F2EB9"/>
    <w:rsid w:val="006F416C"/>
    <w:rsid w:val="006F619D"/>
    <w:rsid w:val="006F727F"/>
    <w:rsid w:val="006F734D"/>
    <w:rsid w:val="006F76F3"/>
    <w:rsid w:val="007006B9"/>
    <w:rsid w:val="00700BA2"/>
    <w:rsid w:val="00700FD4"/>
    <w:rsid w:val="00705371"/>
    <w:rsid w:val="00706349"/>
    <w:rsid w:val="00706687"/>
    <w:rsid w:val="007110E4"/>
    <w:rsid w:val="00714EC8"/>
    <w:rsid w:val="00716018"/>
    <w:rsid w:val="007164DF"/>
    <w:rsid w:val="00717524"/>
    <w:rsid w:val="00717817"/>
    <w:rsid w:val="00717DC9"/>
    <w:rsid w:val="0072088F"/>
    <w:rsid w:val="00721304"/>
    <w:rsid w:val="00721501"/>
    <w:rsid w:val="00723D96"/>
    <w:rsid w:val="00725028"/>
    <w:rsid w:val="00726D50"/>
    <w:rsid w:val="00730B7F"/>
    <w:rsid w:val="007316FC"/>
    <w:rsid w:val="00731A18"/>
    <w:rsid w:val="0073270F"/>
    <w:rsid w:val="00734B2B"/>
    <w:rsid w:val="00735A70"/>
    <w:rsid w:val="0073719F"/>
    <w:rsid w:val="00740780"/>
    <w:rsid w:val="0074100C"/>
    <w:rsid w:val="00744D05"/>
    <w:rsid w:val="00746220"/>
    <w:rsid w:val="007467F7"/>
    <w:rsid w:val="007469F8"/>
    <w:rsid w:val="0075091E"/>
    <w:rsid w:val="00750DAE"/>
    <w:rsid w:val="0075272B"/>
    <w:rsid w:val="00753842"/>
    <w:rsid w:val="00755417"/>
    <w:rsid w:val="00755451"/>
    <w:rsid w:val="00755CBB"/>
    <w:rsid w:val="007563EC"/>
    <w:rsid w:val="00756AD4"/>
    <w:rsid w:val="007573FF"/>
    <w:rsid w:val="00757AD1"/>
    <w:rsid w:val="0076175E"/>
    <w:rsid w:val="00762DB6"/>
    <w:rsid w:val="00764CE6"/>
    <w:rsid w:val="00765376"/>
    <w:rsid w:val="007655B8"/>
    <w:rsid w:val="00767A6E"/>
    <w:rsid w:val="00770874"/>
    <w:rsid w:val="00771709"/>
    <w:rsid w:val="0077234E"/>
    <w:rsid w:val="0077493C"/>
    <w:rsid w:val="00774DE6"/>
    <w:rsid w:val="00780EFC"/>
    <w:rsid w:val="00780F8D"/>
    <w:rsid w:val="007810BE"/>
    <w:rsid w:val="007817D4"/>
    <w:rsid w:val="00782C3A"/>
    <w:rsid w:val="00783302"/>
    <w:rsid w:val="00783568"/>
    <w:rsid w:val="0078590F"/>
    <w:rsid w:val="00786D1B"/>
    <w:rsid w:val="00787364"/>
    <w:rsid w:val="00787EFF"/>
    <w:rsid w:val="007939AA"/>
    <w:rsid w:val="0079626B"/>
    <w:rsid w:val="0079640F"/>
    <w:rsid w:val="007973BB"/>
    <w:rsid w:val="0079790C"/>
    <w:rsid w:val="00797D10"/>
    <w:rsid w:val="007A1756"/>
    <w:rsid w:val="007A28A7"/>
    <w:rsid w:val="007A3389"/>
    <w:rsid w:val="007A3AE8"/>
    <w:rsid w:val="007A443B"/>
    <w:rsid w:val="007A7215"/>
    <w:rsid w:val="007A7496"/>
    <w:rsid w:val="007A77AE"/>
    <w:rsid w:val="007B1ED1"/>
    <w:rsid w:val="007B1F16"/>
    <w:rsid w:val="007B4CDE"/>
    <w:rsid w:val="007B521F"/>
    <w:rsid w:val="007B710E"/>
    <w:rsid w:val="007C01A4"/>
    <w:rsid w:val="007C10F5"/>
    <w:rsid w:val="007C1157"/>
    <w:rsid w:val="007C2015"/>
    <w:rsid w:val="007C5711"/>
    <w:rsid w:val="007C6F05"/>
    <w:rsid w:val="007C749C"/>
    <w:rsid w:val="007D04C5"/>
    <w:rsid w:val="007D127A"/>
    <w:rsid w:val="007D15F4"/>
    <w:rsid w:val="007D2FA9"/>
    <w:rsid w:val="007D3D36"/>
    <w:rsid w:val="007D598D"/>
    <w:rsid w:val="007D678B"/>
    <w:rsid w:val="007E3995"/>
    <w:rsid w:val="007E4C59"/>
    <w:rsid w:val="007E54BD"/>
    <w:rsid w:val="007E6A8B"/>
    <w:rsid w:val="007E6E57"/>
    <w:rsid w:val="007E77B2"/>
    <w:rsid w:val="007F3449"/>
    <w:rsid w:val="007F38C3"/>
    <w:rsid w:val="007F5307"/>
    <w:rsid w:val="007F5B47"/>
    <w:rsid w:val="007F7B33"/>
    <w:rsid w:val="00801C51"/>
    <w:rsid w:val="008039C4"/>
    <w:rsid w:val="00805D1A"/>
    <w:rsid w:val="00806783"/>
    <w:rsid w:val="00806D4A"/>
    <w:rsid w:val="00807EB4"/>
    <w:rsid w:val="0081199E"/>
    <w:rsid w:val="00812AFD"/>
    <w:rsid w:val="00813D4B"/>
    <w:rsid w:val="00815396"/>
    <w:rsid w:val="00816E22"/>
    <w:rsid w:val="00821614"/>
    <w:rsid w:val="00821F11"/>
    <w:rsid w:val="008228C5"/>
    <w:rsid w:val="0082320A"/>
    <w:rsid w:val="008239FF"/>
    <w:rsid w:val="00823CEB"/>
    <w:rsid w:val="00824C0C"/>
    <w:rsid w:val="008301DC"/>
    <w:rsid w:val="00830D55"/>
    <w:rsid w:val="00830F4F"/>
    <w:rsid w:val="0083233D"/>
    <w:rsid w:val="00832B31"/>
    <w:rsid w:val="00832EB9"/>
    <w:rsid w:val="008338DA"/>
    <w:rsid w:val="008353D8"/>
    <w:rsid w:val="00836A14"/>
    <w:rsid w:val="00841217"/>
    <w:rsid w:val="00843CD4"/>
    <w:rsid w:val="008443CE"/>
    <w:rsid w:val="0085014A"/>
    <w:rsid w:val="0085097E"/>
    <w:rsid w:val="00853698"/>
    <w:rsid w:val="00854303"/>
    <w:rsid w:val="008568AC"/>
    <w:rsid w:val="00860087"/>
    <w:rsid w:val="00862344"/>
    <w:rsid w:val="008640CF"/>
    <w:rsid w:val="008649E8"/>
    <w:rsid w:val="00865581"/>
    <w:rsid w:val="00866FB4"/>
    <w:rsid w:val="00870438"/>
    <w:rsid w:val="00870F6D"/>
    <w:rsid w:val="008734DD"/>
    <w:rsid w:val="008745B2"/>
    <w:rsid w:val="008745EE"/>
    <w:rsid w:val="00875FBE"/>
    <w:rsid w:val="00876AF1"/>
    <w:rsid w:val="00880935"/>
    <w:rsid w:val="0088133C"/>
    <w:rsid w:val="00881BD1"/>
    <w:rsid w:val="00884D29"/>
    <w:rsid w:val="00884FE4"/>
    <w:rsid w:val="00885CAD"/>
    <w:rsid w:val="00886D76"/>
    <w:rsid w:val="00890456"/>
    <w:rsid w:val="00890BF6"/>
    <w:rsid w:val="00891DF6"/>
    <w:rsid w:val="0089247F"/>
    <w:rsid w:val="00894C9D"/>
    <w:rsid w:val="0089559F"/>
    <w:rsid w:val="008955DF"/>
    <w:rsid w:val="00897747"/>
    <w:rsid w:val="008A1255"/>
    <w:rsid w:val="008A1D19"/>
    <w:rsid w:val="008A3C15"/>
    <w:rsid w:val="008A452A"/>
    <w:rsid w:val="008A67AC"/>
    <w:rsid w:val="008A6972"/>
    <w:rsid w:val="008B0BA0"/>
    <w:rsid w:val="008B0E63"/>
    <w:rsid w:val="008B1249"/>
    <w:rsid w:val="008B4D80"/>
    <w:rsid w:val="008B6384"/>
    <w:rsid w:val="008C08C9"/>
    <w:rsid w:val="008C35C1"/>
    <w:rsid w:val="008C42CE"/>
    <w:rsid w:val="008C5846"/>
    <w:rsid w:val="008C6574"/>
    <w:rsid w:val="008C7F7D"/>
    <w:rsid w:val="008D21FB"/>
    <w:rsid w:val="008D2458"/>
    <w:rsid w:val="008D3058"/>
    <w:rsid w:val="008D379D"/>
    <w:rsid w:val="008E304F"/>
    <w:rsid w:val="008E3284"/>
    <w:rsid w:val="008E5039"/>
    <w:rsid w:val="008E5DAF"/>
    <w:rsid w:val="008E6951"/>
    <w:rsid w:val="008E7D10"/>
    <w:rsid w:val="008F2DDC"/>
    <w:rsid w:val="008F5B21"/>
    <w:rsid w:val="008F6531"/>
    <w:rsid w:val="00900C5B"/>
    <w:rsid w:val="009010B1"/>
    <w:rsid w:val="00901685"/>
    <w:rsid w:val="00904771"/>
    <w:rsid w:val="00904D2F"/>
    <w:rsid w:val="00905BA3"/>
    <w:rsid w:val="00905CDD"/>
    <w:rsid w:val="00905DC0"/>
    <w:rsid w:val="00906AE2"/>
    <w:rsid w:val="009071F3"/>
    <w:rsid w:val="00907ACE"/>
    <w:rsid w:val="009155AA"/>
    <w:rsid w:val="009161BC"/>
    <w:rsid w:val="00917B8B"/>
    <w:rsid w:val="00917F12"/>
    <w:rsid w:val="00920CAA"/>
    <w:rsid w:val="00921069"/>
    <w:rsid w:val="00921A16"/>
    <w:rsid w:val="00922615"/>
    <w:rsid w:val="0092271E"/>
    <w:rsid w:val="00922B87"/>
    <w:rsid w:val="00923121"/>
    <w:rsid w:val="0092328F"/>
    <w:rsid w:val="009250FD"/>
    <w:rsid w:val="00926B83"/>
    <w:rsid w:val="00927A79"/>
    <w:rsid w:val="00930AA9"/>
    <w:rsid w:val="00935949"/>
    <w:rsid w:val="00935AEB"/>
    <w:rsid w:val="00936EB9"/>
    <w:rsid w:val="0093716B"/>
    <w:rsid w:val="00940247"/>
    <w:rsid w:val="00940A54"/>
    <w:rsid w:val="009429F6"/>
    <w:rsid w:val="0094347B"/>
    <w:rsid w:val="0094512D"/>
    <w:rsid w:val="00945A10"/>
    <w:rsid w:val="0094678C"/>
    <w:rsid w:val="0094690E"/>
    <w:rsid w:val="0094778A"/>
    <w:rsid w:val="00947DD3"/>
    <w:rsid w:val="00950BAA"/>
    <w:rsid w:val="0095123A"/>
    <w:rsid w:val="00951477"/>
    <w:rsid w:val="009528D5"/>
    <w:rsid w:val="00953947"/>
    <w:rsid w:val="00954856"/>
    <w:rsid w:val="009634F5"/>
    <w:rsid w:val="00965351"/>
    <w:rsid w:val="00965807"/>
    <w:rsid w:val="00966D24"/>
    <w:rsid w:val="0097112D"/>
    <w:rsid w:val="009717E1"/>
    <w:rsid w:val="00971F50"/>
    <w:rsid w:val="00974B93"/>
    <w:rsid w:val="00974CA9"/>
    <w:rsid w:val="0097514A"/>
    <w:rsid w:val="0097668B"/>
    <w:rsid w:val="00976878"/>
    <w:rsid w:val="009811E0"/>
    <w:rsid w:val="009820AE"/>
    <w:rsid w:val="00982F32"/>
    <w:rsid w:val="009838F6"/>
    <w:rsid w:val="00985925"/>
    <w:rsid w:val="00985B81"/>
    <w:rsid w:val="00986F04"/>
    <w:rsid w:val="00986F18"/>
    <w:rsid w:val="00987C65"/>
    <w:rsid w:val="0099301D"/>
    <w:rsid w:val="0099351D"/>
    <w:rsid w:val="00996EF7"/>
    <w:rsid w:val="009A40F9"/>
    <w:rsid w:val="009A6126"/>
    <w:rsid w:val="009A61F9"/>
    <w:rsid w:val="009A76AC"/>
    <w:rsid w:val="009A7EB0"/>
    <w:rsid w:val="009B3009"/>
    <w:rsid w:val="009B45B9"/>
    <w:rsid w:val="009B5D29"/>
    <w:rsid w:val="009B7B2A"/>
    <w:rsid w:val="009C0257"/>
    <w:rsid w:val="009C046A"/>
    <w:rsid w:val="009C0D1D"/>
    <w:rsid w:val="009C0FDD"/>
    <w:rsid w:val="009C1009"/>
    <w:rsid w:val="009C10C1"/>
    <w:rsid w:val="009C1435"/>
    <w:rsid w:val="009C1AE6"/>
    <w:rsid w:val="009C229B"/>
    <w:rsid w:val="009C52E0"/>
    <w:rsid w:val="009C620F"/>
    <w:rsid w:val="009D665F"/>
    <w:rsid w:val="009D7E0A"/>
    <w:rsid w:val="009E3FA6"/>
    <w:rsid w:val="009E4463"/>
    <w:rsid w:val="009E4A85"/>
    <w:rsid w:val="009E4BCC"/>
    <w:rsid w:val="009E5831"/>
    <w:rsid w:val="009E75D6"/>
    <w:rsid w:val="009F0C43"/>
    <w:rsid w:val="009F1D8F"/>
    <w:rsid w:val="009F220F"/>
    <w:rsid w:val="009F231D"/>
    <w:rsid w:val="009F3329"/>
    <w:rsid w:val="009F3F30"/>
    <w:rsid w:val="009F562F"/>
    <w:rsid w:val="00A03A0D"/>
    <w:rsid w:val="00A03EB1"/>
    <w:rsid w:val="00A0793A"/>
    <w:rsid w:val="00A11604"/>
    <w:rsid w:val="00A11666"/>
    <w:rsid w:val="00A127A9"/>
    <w:rsid w:val="00A15B51"/>
    <w:rsid w:val="00A1628E"/>
    <w:rsid w:val="00A16674"/>
    <w:rsid w:val="00A21ABB"/>
    <w:rsid w:val="00A23763"/>
    <w:rsid w:val="00A23A23"/>
    <w:rsid w:val="00A23A47"/>
    <w:rsid w:val="00A246D8"/>
    <w:rsid w:val="00A25BD6"/>
    <w:rsid w:val="00A3083B"/>
    <w:rsid w:val="00A33290"/>
    <w:rsid w:val="00A33436"/>
    <w:rsid w:val="00A34817"/>
    <w:rsid w:val="00A350B8"/>
    <w:rsid w:val="00A36FAC"/>
    <w:rsid w:val="00A37C81"/>
    <w:rsid w:val="00A403B1"/>
    <w:rsid w:val="00A40B57"/>
    <w:rsid w:val="00A444F6"/>
    <w:rsid w:val="00A465BB"/>
    <w:rsid w:val="00A46884"/>
    <w:rsid w:val="00A47D11"/>
    <w:rsid w:val="00A50767"/>
    <w:rsid w:val="00A50C26"/>
    <w:rsid w:val="00A50EB1"/>
    <w:rsid w:val="00A5107B"/>
    <w:rsid w:val="00A639B5"/>
    <w:rsid w:val="00A64110"/>
    <w:rsid w:val="00A73241"/>
    <w:rsid w:val="00A74F7A"/>
    <w:rsid w:val="00A75DEA"/>
    <w:rsid w:val="00A766EF"/>
    <w:rsid w:val="00A774B5"/>
    <w:rsid w:val="00A77861"/>
    <w:rsid w:val="00A808F9"/>
    <w:rsid w:val="00A8181E"/>
    <w:rsid w:val="00A83CFB"/>
    <w:rsid w:val="00A853F9"/>
    <w:rsid w:val="00A86C1B"/>
    <w:rsid w:val="00A870DE"/>
    <w:rsid w:val="00A9021E"/>
    <w:rsid w:val="00A91BBE"/>
    <w:rsid w:val="00A91C62"/>
    <w:rsid w:val="00A91F39"/>
    <w:rsid w:val="00A92E2F"/>
    <w:rsid w:val="00A94ADB"/>
    <w:rsid w:val="00A951CC"/>
    <w:rsid w:val="00AA2CF1"/>
    <w:rsid w:val="00AA39C2"/>
    <w:rsid w:val="00AB05FE"/>
    <w:rsid w:val="00AB0E81"/>
    <w:rsid w:val="00AB2840"/>
    <w:rsid w:val="00AB2FA8"/>
    <w:rsid w:val="00AB5955"/>
    <w:rsid w:val="00AB67F0"/>
    <w:rsid w:val="00AB76BA"/>
    <w:rsid w:val="00AB7E8C"/>
    <w:rsid w:val="00AC0032"/>
    <w:rsid w:val="00AC0D46"/>
    <w:rsid w:val="00AC1576"/>
    <w:rsid w:val="00AC1BB1"/>
    <w:rsid w:val="00AC21AD"/>
    <w:rsid w:val="00AC2F76"/>
    <w:rsid w:val="00AC422C"/>
    <w:rsid w:val="00AC701A"/>
    <w:rsid w:val="00AD2B51"/>
    <w:rsid w:val="00AD4C05"/>
    <w:rsid w:val="00AD5030"/>
    <w:rsid w:val="00AD67A5"/>
    <w:rsid w:val="00AD79E0"/>
    <w:rsid w:val="00AE0E66"/>
    <w:rsid w:val="00AE131A"/>
    <w:rsid w:val="00AE2F57"/>
    <w:rsid w:val="00AE3E33"/>
    <w:rsid w:val="00AE480F"/>
    <w:rsid w:val="00AE55C1"/>
    <w:rsid w:val="00AE71B1"/>
    <w:rsid w:val="00AF0C1D"/>
    <w:rsid w:val="00AF10FC"/>
    <w:rsid w:val="00AF11AD"/>
    <w:rsid w:val="00AF20DB"/>
    <w:rsid w:val="00AF27FC"/>
    <w:rsid w:val="00AF3FCB"/>
    <w:rsid w:val="00AF43E8"/>
    <w:rsid w:val="00AF72CA"/>
    <w:rsid w:val="00B00A3B"/>
    <w:rsid w:val="00B01217"/>
    <w:rsid w:val="00B015AD"/>
    <w:rsid w:val="00B01CB6"/>
    <w:rsid w:val="00B03047"/>
    <w:rsid w:val="00B058AF"/>
    <w:rsid w:val="00B1161E"/>
    <w:rsid w:val="00B1287F"/>
    <w:rsid w:val="00B13BA0"/>
    <w:rsid w:val="00B1475E"/>
    <w:rsid w:val="00B149DA"/>
    <w:rsid w:val="00B155EC"/>
    <w:rsid w:val="00B16E04"/>
    <w:rsid w:val="00B17AD8"/>
    <w:rsid w:val="00B17C2B"/>
    <w:rsid w:val="00B22423"/>
    <w:rsid w:val="00B23915"/>
    <w:rsid w:val="00B23C5A"/>
    <w:rsid w:val="00B24038"/>
    <w:rsid w:val="00B25329"/>
    <w:rsid w:val="00B25514"/>
    <w:rsid w:val="00B37563"/>
    <w:rsid w:val="00B420FA"/>
    <w:rsid w:val="00B421FE"/>
    <w:rsid w:val="00B44083"/>
    <w:rsid w:val="00B53F53"/>
    <w:rsid w:val="00B543B1"/>
    <w:rsid w:val="00B5469F"/>
    <w:rsid w:val="00B55C0F"/>
    <w:rsid w:val="00B56772"/>
    <w:rsid w:val="00B5726D"/>
    <w:rsid w:val="00B6452F"/>
    <w:rsid w:val="00B6526F"/>
    <w:rsid w:val="00B67FD9"/>
    <w:rsid w:val="00B7161D"/>
    <w:rsid w:val="00B7360C"/>
    <w:rsid w:val="00B823CE"/>
    <w:rsid w:val="00B83115"/>
    <w:rsid w:val="00B83127"/>
    <w:rsid w:val="00B86C12"/>
    <w:rsid w:val="00B9109F"/>
    <w:rsid w:val="00B928A6"/>
    <w:rsid w:val="00B94618"/>
    <w:rsid w:val="00B94A19"/>
    <w:rsid w:val="00B9545B"/>
    <w:rsid w:val="00B95D22"/>
    <w:rsid w:val="00B97CE0"/>
    <w:rsid w:val="00BA3189"/>
    <w:rsid w:val="00BA33EE"/>
    <w:rsid w:val="00BA5343"/>
    <w:rsid w:val="00BA5895"/>
    <w:rsid w:val="00BA6E3D"/>
    <w:rsid w:val="00BB2496"/>
    <w:rsid w:val="00BB2CAA"/>
    <w:rsid w:val="00BB3043"/>
    <w:rsid w:val="00BB37E1"/>
    <w:rsid w:val="00BB63CF"/>
    <w:rsid w:val="00BB70EC"/>
    <w:rsid w:val="00BC07F3"/>
    <w:rsid w:val="00BC1741"/>
    <w:rsid w:val="00BC27CC"/>
    <w:rsid w:val="00BC3037"/>
    <w:rsid w:val="00BC5936"/>
    <w:rsid w:val="00BC701A"/>
    <w:rsid w:val="00BC76A5"/>
    <w:rsid w:val="00BD0331"/>
    <w:rsid w:val="00BD131D"/>
    <w:rsid w:val="00BD2C5F"/>
    <w:rsid w:val="00BD3343"/>
    <w:rsid w:val="00BD3C69"/>
    <w:rsid w:val="00BD4764"/>
    <w:rsid w:val="00BD4E6C"/>
    <w:rsid w:val="00BD515A"/>
    <w:rsid w:val="00BD5EA5"/>
    <w:rsid w:val="00BD621B"/>
    <w:rsid w:val="00BD6222"/>
    <w:rsid w:val="00BD79D2"/>
    <w:rsid w:val="00BE0044"/>
    <w:rsid w:val="00BE0AAF"/>
    <w:rsid w:val="00BE0C58"/>
    <w:rsid w:val="00BE3DA8"/>
    <w:rsid w:val="00BF019D"/>
    <w:rsid w:val="00BF0334"/>
    <w:rsid w:val="00BF1103"/>
    <w:rsid w:val="00BF4D17"/>
    <w:rsid w:val="00BF5DDD"/>
    <w:rsid w:val="00BF694A"/>
    <w:rsid w:val="00C14CF1"/>
    <w:rsid w:val="00C1579F"/>
    <w:rsid w:val="00C15B4C"/>
    <w:rsid w:val="00C1641C"/>
    <w:rsid w:val="00C171EA"/>
    <w:rsid w:val="00C1759F"/>
    <w:rsid w:val="00C23182"/>
    <w:rsid w:val="00C25F8F"/>
    <w:rsid w:val="00C3060A"/>
    <w:rsid w:val="00C3498A"/>
    <w:rsid w:val="00C36056"/>
    <w:rsid w:val="00C40139"/>
    <w:rsid w:val="00C41E5A"/>
    <w:rsid w:val="00C41FA8"/>
    <w:rsid w:val="00C4241F"/>
    <w:rsid w:val="00C42C33"/>
    <w:rsid w:val="00C44443"/>
    <w:rsid w:val="00C444CD"/>
    <w:rsid w:val="00C44B1A"/>
    <w:rsid w:val="00C452B3"/>
    <w:rsid w:val="00C4574C"/>
    <w:rsid w:val="00C47123"/>
    <w:rsid w:val="00C474E1"/>
    <w:rsid w:val="00C47E82"/>
    <w:rsid w:val="00C5020F"/>
    <w:rsid w:val="00C50E18"/>
    <w:rsid w:val="00C50E24"/>
    <w:rsid w:val="00C51C0E"/>
    <w:rsid w:val="00C5449C"/>
    <w:rsid w:val="00C55205"/>
    <w:rsid w:val="00C55B2E"/>
    <w:rsid w:val="00C57BCF"/>
    <w:rsid w:val="00C57D51"/>
    <w:rsid w:val="00C63247"/>
    <w:rsid w:val="00C6450D"/>
    <w:rsid w:val="00C65744"/>
    <w:rsid w:val="00C670C5"/>
    <w:rsid w:val="00C675CB"/>
    <w:rsid w:val="00C704BD"/>
    <w:rsid w:val="00C7209D"/>
    <w:rsid w:val="00C7229D"/>
    <w:rsid w:val="00C72AA2"/>
    <w:rsid w:val="00C72D4B"/>
    <w:rsid w:val="00C7427B"/>
    <w:rsid w:val="00C750B2"/>
    <w:rsid w:val="00C768DD"/>
    <w:rsid w:val="00C80DAE"/>
    <w:rsid w:val="00C81E7F"/>
    <w:rsid w:val="00C83358"/>
    <w:rsid w:val="00C84A56"/>
    <w:rsid w:val="00C84FAE"/>
    <w:rsid w:val="00C86BD0"/>
    <w:rsid w:val="00C873AF"/>
    <w:rsid w:val="00C87523"/>
    <w:rsid w:val="00C900B1"/>
    <w:rsid w:val="00C926CC"/>
    <w:rsid w:val="00C94134"/>
    <w:rsid w:val="00C95E22"/>
    <w:rsid w:val="00CA2325"/>
    <w:rsid w:val="00CA2438"/>
    <w:rsid w:val="00CA2A6E"/>
    <w:rsid w:val="00CA311B"/>
    <w:rsid w:val="00CA4C7E"/>
    <w:rsid w:val="00CA56B3"/>
    <w:rsid w:val="00CA5C37"/>
    <w:rsid w:val="00CA636D"/>
    <w:rsid w:val="00CB3FDF"/>
    <w:rsid w:val="00CB4FB7"/>
    <w:rsid w:val="00CB5B0A"/>
    <w:rsid w:val="00CC039F"/>
    <w:rsid w:val="00CC1911"/>
    <w:rsid w:val="00CC2D44"/>
    <w:rsid w:val="00CC2DC3"/>
    <w:rsid w:val="00CC4310"/>
    <w:rsid w:val="00CC4860"/>
    <w:rsid w:val="00CC6192"/>
    <w:rsid w:val="00CC7493"/>
    <w:rsid w:val="00CD05D9"/>
    <w:rsid w:val="00CD489F"/>
    <w:rsid w:val="00CD4C60"/>
    <w:rsid w:val="00CD4DF7"/>
    <w:rsid w:val="00CD552C"/>
    <w:rsid w:val="00CD5B38"/>
    <w:rsid w:val="00CD6014"/>
    <w:rsid w:val="00CD703A"/>
    <w:rsid w:val="00CD70AB"/>
    <w:rsid w:val="00CE13E5"/>
    <w:rsid w:val="00CE4D33"/>
    <w:rsid w:val="00CE4EAF"/>
    <w:rsid w:val="00CE5F18"/>
    <w:rsid w:val="00CF448F"/>
    <w:rsid w:val="00CF45F4"/>
    <w:rsid w:val="00CF56C9"/>
    <w:rsid w:val="00CF6A02"/>
    <w:rsid w:val="00CF6B84"/>
    <w:rsid w:val="00CF6B8B"/>
    <w:rsid w:val="00D01326"/>
    <w:rsid w:val="00D02205"/>
    <w:rsid w:val="00D02489"/>
    <w:rsid w:val="00D0498A"/>
    <w:rsid w:val="00D04FC4"/>
    <w:rsid w:val="00D0624B"/>
    <w:rsid w:val="00D10313"/>
    <w:rsid w:val="00D10A99"/>
    <w:rsid w:val="00D1162A"/>
    <w:rsid w:val="00D12798"/>
    <w:rsid w:val="00D12FF6"/>
    <w:rsid w:val="00D13762"/>
    <w:rsid w:val="00D13C52"/>
    <w:rsid w:val="00D16F4F"/>
    <w:rsid w:val="00D219DB"/>
    <w:rsid w:val="00D23BC8"/>
    <w:rsid w:val="00D305AC"/>
    <w:rsid w:val="00D30765"/>
    <w:rsid w:val="00D31CEA"/>
    <w:rsid w:val="00D34B2D"/>
    <w:rsid w:val="00D34E7F"/>
    <w:rsid w:val="00D3647B"/>
    <w:rsid w:val="00D427F0"/>
    <w:rsid w:val="00D45197"/>
    <w:rsid w:val="00D456F3"/>
    <w:rsid w:val="00D46DE5"/>
    <w:rsid w:val="00D50A00"/>
    <w:rsid w:val="00D54471"/>
    <w:rsid w:val="00D556C4"/>
    <w:rsid w:val="00D56502"/>
    <w:rsid w:val="00D5678D"/>
    <w:rsid w:val="00D56E43"/>
    <w:rsid w:val="00D57EF3"/>
    <w:rsid w:val="00D61611"/>
    <w:rsid w:val="00D618F1"/>
    <w:rsid w:val="00D62CB4"/>
    <w:rsid w:val="00D67097"/>
    <w:rsid w:val="00D6756D"/>
    <w:rsid w:val="00D70599"/>
    <w:rsid w:val="00D70694"/>
    <w:rsid w:val="00D71A95"/>
    <w:rsid w:val="00D722E4"/>
    <w:rsid w:val="00D73043"/>
    <w:rsid w:val="00D734B9"/>
    <w:rsid w:val="00D74546"/>
    <w:rsid w:val="00D75FA6"/>
    <w:rsid w:val="00D77E1A"/>
    <w:rsid w:val="00D77E7A"/>
    <w:rsid w:val="00D825A1"/>
    <w:rsid w:val="00D83A28"/>
    <w:rsid w:val="00D865B7"/>
    <w:rsid w:val="00D86B13"/>
    <w:rsid w:val="00D92432"/>
    <w:rsid w:val="00D9585D"/>
    <w:rsid w:val="00D95FFB"/>
    <w:rsid w:val="00D97D3D"/>
    <w:rsid w:val="00DA35A9"/>
    <w:rsid w:val="00DA4B17"/>
    <w:rsid w:val="00DA56DB"/>
    <w:rsid w:val="00DA5ECE"/>
    <w:rsid w:val="00DA74CD"/>
    <w:rsid w:val="00DA7A93"/>
    <w:rsid w:val="00DB0CAE"/>
    <w:rsid w:val="00DB29F5"/>
    <w:rsid w:val="00DB40A1"/>
    <w:rsid w:val="00DB40F2"/>
    <w:rsid w:val="00DB4515"/>
    <w:rsid w:val="00DB50D5"/>
    <w:rsid w:val="00DB596C"/>
    <w:rsid w:val="00DB5B5F"/>
    <w:rsid w:val="00DB677A"/>
    <w:rsid w:val="00DC1C95"/>
    <w:rsid w:val="00DC423C"/>
    <w:rsid w:val="00DC442B"/>
    <w:rsid w:val="00DC448F"/>
    <w:rsid w:val="00DC4CED"/>
    <w:rsid w:val="00DD1833"/>
    <w:rsid w:val="00DD23F9"/>
    <w:rsid w:val="00DD401A"/>
    <w:rsid w:val="00DD4096"/>
    <w:rsid w:val="00DD759C"/>
    <w:rsid w:val="00DD7A40"/>
    <w:rsid w:val="00DE015C"/>
    <w:rsid w:val="00DE0875"/>
    <w:rsid w:val="00DE2AA6"/>
    <w:rsid w:val="00DE2D9E"/>
    <w:rsid w:val="00DE39C2"/>
    <w:rsid w:val="00DE5B39"/>
    <w:rsid w:val="00DE5FB7"/>
    <w:rsid w:val="00DE73C4"/>
    <w:rsid w:val="00DF11E8"/>
    <w:rsid w:val="00DF2717"/>
    <w:rsid w:val="00DF30B1"/>
    <w:rsid w:val="00DF33A6"/>
    <w:rsid w:val="00DF4D89"/>
    <w:rsid w:val="00E01651"/>
    <w:rsid w:val="00E01C53"/>
    <w:rsid w:val="00E03609"/>
    <w:rsid w:val="00E057E1"/>
    <w:rsid w:val="00E058B4"/>
    <w:rsid w:val="00E06B0B"/>
    <w:rsid w:val="00E11112"/>
    <w:rsid w:val="00E15869"/>
    <w:rsid w:val="00E17740"/>
    <w:rsid w:val="00E22217"/>
    <w:rsid w:val="00E243E9"/>
    <w:rsid w:val="00E246C9"/>
    <w:rsid w:val="00E25042"/>
    <w:rsid w:val="00E25E86"/>
    <w:rsid w:val="00E27F1C"/>
    <w:rsid w:val="00E310CD"/>
    <w:rsid w:val="00E335EE"/>
    <w:rsid w:val="00E34643"/>
    <w:rsid w:val="00E36316"/>
    <w:rsid w:val="00E41EF5"/>
    <w:rsid w:val="00E42F3C"/>
    <w:rsid w:val="00E44A00"/>
    <w:rsid w:val="00E46815"/>
    <w:rsid w:val="00E46AF2"/>
    <w:rsid w:val="00E53425"/>
    <w:rsid w:val="00E54E2F"/>
    <w:rsid w:val="00E54E5C"/>
    <w:rsid w:val="00E55C5A"/>
    <w:rsid w:val="00E6367A"/>
    <w:rsid w:val="00E703AB"/>
    <w:rsid w:val="00E71F58"/>
    <w:rsid w:val="00E72F8D"/>
    <w:rsid w:val="00E745EC"/>
    <w:rsid w:val="00E74940"/>
    <w:rsid w:val="00E776B6"/>
    <w:rsid w:val="00E81F7C"/>
    <w:rsid w:val="00E83829"/>
    <w:rsid w:val="00E84AB0"/>
    <w:rsid w:val="00E901BC"/>
    <w:rsid w:val="00E906CA"/>
    <w:rsid w:val="00E9139B"/>
    <w:rsid w:val="00E92B4F"/>
    <w:rsid w:val="00E9777A"/>
    <w:rsid w:val="00EA09A3"/>
    <w:rsid w:val="00EA0E18"/>
    <w:rsid w:val="00EA15D6"/>
    <w:rsid w:val="00EA319B"/>
    <w:rsid w:val="00EA4754"/>
    <w:rsid w:val="00EB1AB5"/>
    <w:rsid w:val="00EB2B15"/>
    <w:rsid w:val="00EB41C3"/>
    <w:rsid w:val="00EB7501"/>
    <w:rsid w:val="00EC11AF"/>
    <w:rsid w:val="00EC151E"/>
    <w:rsid w:val="00EC23B3"/>
    <w:rsid w:val="00EC2F5B"/>
    <w:rsid w:val="00EC3840"/>
    <w:rsid w:val="00EC4905"/>
    <w:rsid w:val="00EC651A"/>
    <w:rsid w:val="00ED2015"/>
    <w:rsid w:val="00ED2FB5"/>
    <w:rsid w:val="00ED45D8"/>
    <w:rsid w:val="00ED4FFC"/>
    <w:rsid w:val="00ED5BB3"/>
    <w:rsid w:val="00ED6402"/>
    <w:rsid w:val="00EE09D8"/>
    <w:rsid w:val="00EE1255"/>
    <w:rsid w:val="00EE2E2E"/>
    <w:rsid w:val="00EF075E"/>
    <w:rsid w:val="00EF0C6D"/>
    <w:rsid w:val="00EF0D00"/>
    <w:rsid w:val="00EF2E7B"/>
    <w:rsid w:val="00EF5D56"/>
    <w:rsid w:val="00EF79B7"/>
    <w:rsid w:val="00F01D9F"/>
    <w:rsid w:val="00F0314F"/>
    <w:rsid w:val="00F03EC9"/>
    <w:rsid w:val="00F041EC"/>
    <w:rsid w:val="00F04DE2"/>
    <w:rsid w:val="00F05740"/>
    <w:rsid w:val="00F061E6"/>
    <w:rsid w:val="00F10D27"/>
    <w:rsid w:val="00F11062"/>
    <w:rsid w:val="00F13E4A"/>
    <w:rsid w:val="00F1406A"/>
    <w:rsid w:val="00F14D86"/>
    <w:rsid w:val="00F158C3"/>
    <w:rsid w:val="00F1630F"/>
    <w:rsid w:val="00F165E6"/>
    <w:rsid w:val="00F179C0"/>
    <w:rsid w:val="00F238DC"/>
    <w:rsid w:val="00F26965"/>
    <w:rsid w:val="00F26CB3"/>
    <w:rsid w:val="00F271E7"/>
    <w:rsid w:val="00F31141"/>
    <w:rsid w:val="00F31717"/>
    <w:rsid w:val="00F31BB5"/>
    <w:rsid w:val="00F36125"/>
    <w:rsid w:val="00F36242"/>
    <w:rsid w:val="00F3698A"/>
    <w:rsid w:val="00F41F74"/>
    <w:rsid w:val="00F4277C"/>
    <w:rsid w:val="00F438BC"/>
    <w:rsid w:val="00F462E1"/>
    <w:rsid w:val="00F46A2C"/>
    <w:rsid w:val="00F50371"/>
    <w:rsid w:val="00F507DC"/>
    <w:rsid w:val="00F51972"/>
    <w:rsid w:val="00F52F7B"/>
    <w:rsid w:val="00F544A0"/>
    <w:rsid w:val="00F55B85"/>
    <w:rsid w:val="00F55F48"/>
    <w:rsid w:val="00F629E0"/>
    <w:rsid w:val="00F6310A"/>
    <w:rsid w:val="00F64BD4"/>
    <w:rsid w:val="00F65C67"/>
    <w:rsid w:val="00F66CEB"/>
    <w:rsid w:val="00F67AAD"/>
    <w:rsid w:val="00F70039"/>
    <w:rsid w:val="00F70D4C"/>
    <w:rsid w:val="00F70FAD"/>
    <w:rsid w:val="00F71050"/>
    <w:rsid w:val="00F73326"/>
    <w:rsid w:val="00F741E3"/>
    <w:rsid w:val="00F74CDA"/>
    <w:rsid w:val="00F75629"/>
    <w:rsid w:val="00F77746"/>
    <w:rsid w:val="00F81FD5"/>
    <w:rsid w:val="00F84705"/>
    <w:rsid w:val="00F85147"/>
    <w:rsid w:val="00F860BF"/>
    <w:rsid w:val="00F920EB"/>
    <w:rsid w:val="00F9360D"/>
    <w:rsid w:val="00F93CBD"/>
    <w:rsid w:val="00F965BE"/>
    <w:rsid w:val="00FA12DB"/>
    <w:rsid w:val="00FA2681"/>
    <w:rsid w:val="00FA501D"/>
    <w:rsid w:val="00FA75AF"/>
    <w:rsid w:val="00FB0CEE"/>
    <w:rsid w:val="00FB128E"/>
    <w:rsid w:val="00FB1F06"/>
    <w:rsid w:val="00FB5D31"/>
    <w:rsid w:val="00FB62B5"/>
    <w:rsid w:val="00FB63FF"/>
    <w:rsid w:val="00FB6CC6"/>
    <w:rsid w:val="00FB7CE0"/>
    <w:rsid w:val="00FB7E3F"/>
    <w:rsid w:val="00FC1007"/>
    <w:rsid w:val="00FC18F1"/>
    <w:rsid w:val="00FC1CF4"/>
    <w:rsid w:val="00FC2F7F"/>
    <w:rsid w:val="00FC5BC1"/>
    <w:rsid w:val="00FD0241"/>
    <w:rsid w:val="00FD0685"/>
    <w:rsid w:val="00FD154A"/>
    <w:rsid w:val="00FD503E"/>
    <w:rsid w:val="00FD6FDD"/>
    <w:rsid w:val="00FD704F"/>
    <w:rsid w:val="00FE0B89"/>
    <w:rsid w:val="00FE0BA8"/>
    <w:rsid w:val="00FE1F53"/>
    <w:rsid w:val="00FE266B"/>
    <w:rsid w:val="00FE31C3"/>
    <w:rsid w:val="00FE6AFF"/>
    <w:rsid w:val="00FF0DE1"/>
    <w:rsid w:val="00FF3491"/>
    <w:rsid w:val="00FF4F09"/>
    <w:rsid w:val="00FF686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2B"/>
    <w:rPr>
      <w:rFonts w:ascii="Times New Roman" w:hAnsi="Times New Roman" w:cs="Times New Roman"/>
      <w:sz w:val="24"/>
      <w:szCs w:val="24"/>
    </w:rPr>
  </w:style>
  <w:style w:type="paragraph" w:styleId="Heading3">
    <w:name w:val="heading 3"/>
    <w:basedOn w:val="Normal"/>
    <w:next w:val="Normal"/>
    <w:link w:val="Heading3Char"/>
    <w:uiPriority w:val="9"/>
    <w:semiHidden/>
    <w:unhideWhenUsed/>
    <w:qFormat/>
    <w:rsid w:val="00A91C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D4B"/>
    <w:rPr>
      <w:color w:val="0000FF"/>
      <w:u w:val="single"/>
    </w:rPr>
  </w:style>
  <w:style w:type="paragraph" w:styleId="FootnoteText">
    <w:name w:val="footnote text"/>
    <w:basedOn w:val="Normal"/>
    <w:link w:val="FootnoteTextChar"/>
    <w:uiPriority w:val="99"/>
    <w:unhideWhenUsed/>
    <w:rsid w:val="002F7D4B"/>
    <w:rPr>
      <w:rFonts w:eastAsiaTheme="minorEastAsia"/>
      <w:sz w:val="20"/>
      <w:szCs w:val="20"/>
      <w:lang w:bidi="en-US"/>
    </w:rPr>
  </w:style>
  <w:style w:type="character" w:customStyle="1" w:styleId="FootnoteTextChar">
    <w:name w:val="Footnote Text Char"/>
    <w:basedOn w:val="DefaultParagraphFont"/>
    <w:link w:val="FootnoteText"/>
    <w:uiPriority w:val="99"/>
    <w:rsid w:val="002F7D4B"/>
    <w:rPr>
      <w:rFonts w:eastAsiaTheme="minorEastAsia"/>
      <w:sz w:val="20"/>
      <w:szCs w:val="20"/>
      <w:lang w:bidi="en-US"/>
    </w:rPr>
  </w:style>
  <w:style w:type="character" w:styleId="FootnoteReference">
    <w:name w:val="footnote reference"/>
    <w:basedOn w:val="DefaultParagraphFont"/>
    <w:uiPriority w:val="99"/>
    <w:unhideWhenUsed/>
    <w:rsid w:val="002F7D4B"/>
    <w:rPr>
      <w:vertAlign w:val="superscript"/>
    </w:rPr>
  </w:style>
  <w:style w:type="paragraph" w:styleId="EndnoteText">
    <w:name w:val="endnote text"/>
    <w:basedOn w:val="Normal"/>
    <w:link w:val="EndnoteTextChar"/>
    <w:uiPriority w:val="99"/>
    <w:semiHidden/>
    <w:unhideWhenUsed/>
    <w:rsid w:val="001E57E7"/>
    <w:rPr>
      <w:rFonts w:eastAsiaTheme="minorEastAsia"/>
      <w:lang w:bidi="en-US"/>
    </w:rPr>
  </w:style>
  <w:style w:type="character" w:customStyle="1" w:styleId="EndnoteTextChar">
    <w:name w:val="Endnote Text Char"/>
    <w:basedOn w:val="DefaultParagraphFont"/>
    <w:link w:val="EndnoteText"/>
    <w:uiPriority w:val="99"/>
    <w:semiHidden/>
    <w:rsid w:val="001E57E7"/>
    <w:rPr>
      <w:rFonts w:eastAsiaTheme="minorEastAsia"/>
      <w:sz w:val="24"/>
      <w:szCs w:val="24"/>
      <w:lang w:bidi="en-US"/>
    </w:rPr>
  </w:style>
  <w:style w:type="character" w:styleId="EndnoteReference">
    <w:name w:val="endnote reference"/>
    <w:basedOn w:val="DefaultParagraphFont"/>
    <w:uiPriority w:val="99"/>
    <w:unhideWhenUsed/>
    <w:rsid w:val="001E57E7"/>
    <w:rPr>
      <w:vertAlign w:val="superscript"/>
    </w:rPr>
  </w:style>
  <w:style w:type="paragraph" w:styleId="Header">
    <w:name w:val="header"/>
    <w:basedOn w:val="Normal"/>
    <w:link w:val="HeaderChar"/>
    <w:uiPriority w:val="99"/>
    <w:unhideWhenUsed/>
    <w:rsid w:val="001E57E7"/>
    <w:pPr>
      <w:tabs>
        <w:tab w:val="center" w:pos="4680"/>
        <w:tab w:val="right" w:pos="9360"/>
      </w:tabs>
    </w:pPr>
  </w:style>
  <w:style w:type="character" w:customStyle="1" w:styleId="HeaderChar">
    <w:name w:val="Header Char"/>
    <w:basedOn w:val="DefaultParagraphFont"/>
    <w:link w:val="Header"/>
    <w:uiPriority w:val="99"/>
    <w:rsid w:val="001E57E7"/>
  </w:style>
  <w:style w:type="paragraph" w:styleId="Footer">
    <w:name w:val="footer"/>
    <w:basedOn w:val="Normal"/>
    <w:link w:val="FooterChar"/>
    <w:uiPriority w:val="99"/>
    <w:unhideWhenUsed/>
    <w:rsid w:val="001E57E7"/>
    <w:pPr>
      <w:tabs>
        <w:tab w:val="center" w:pos="4680"/>
        <w:tab w:val="right" w:pos="9360"/>
      </w:tabs>
    </w:pPr>
  </w:style>
  <w:style w:type="character" w:customStyle="1" w:styleId="FooterChar">
    <w:name w:val="Footer Char"/>
    <w:basedOn w:val="DefaultParagraphFont"/>
    <w:link w:val="Footer"/>
    <w:uiPriority w:val="99"/>
    <w:rsid w:val="001E57E7"/>
  </w:style>
  <w:style w:type="paragraph" w:styleId="BalloonText">
    <w:name w:val="Balloon Text"/>
    <w:basedOn w:val="Normal"/>
    <w:link w:val="BalloonTextChar"/>
    <w:uiPriority w:val="99"/>
    <w:semiHidden/>
    <w:unhideWhenUsed/>
    <w:rsid w:val="004D5930"/>
    <w:rPr>
      <w:rFonts w:ascii="Tahoma" w:hAnsi="Tahoma" w:cs="Tahoma"/>
      <w:sz w:val="16"/>
      <w:szCs w:val="16"/>
    </w:rPr>
  </w:style>
  <w:style w:type="character" w:customStyle="1" w:styleId="BalloonTextChar">
    <w:name w:val="Balloon Text Char"/>
    <w:basedOn w:val="DefaultParagraphFont"/>
    <w:link w:val="BalloonText"/>
    <w:uiPriority w:val="99"/>
    <w:semiHidden/>
    <w:rsid w:val="004D5930"/>
    <w:rPr>
      <w:rFonts w:ascii="Tahoma" w:hAnsi="Tahoma" w:cs="Tahoma"/>
      <w:sz w:val="16"/>
      <w:szCs w:val="16"/>
    </w:rPr>
  </w:style>
  <w:style w:type="character" w:styleId="CommentReference">
    <w:name w:val="annotation reference"/>
    <w:basedOn w:val="DefaultParagraphFont"/>
    <w:uiPriority w:val="99"/>
    <w:unhideWhenUsed/>
    <w:rsid w:val="00D456F3"/>
    <w:rPr>
      <w:sz w:val="16"/>
      <w:szCs w:val="16"/>
    </w:rPr>
  </w:style>
  <w:style w:type="paragraph" w:styleId="CommentText">
    <w:name w:val="annotation text"/>
    <w:basedOn w:val="Normal"/>
    <w:link w:val="CommentTextChar"/>
    <w:uiPriority w:val="99"/>
    <w:unhideWhenUsed/>
    <w:rsid w:val="00D456F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D456F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13C52"/>
    <w:pPr>
      <w:ind w:firstLine="288"/>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D13C52"/>
    <w:rPr>
      <w:rFonts w:ascii="Times New Roman" w:eastAsiaTheme="minorEastAsia" w:hAnsi="Times New Roman" w:cs="Times New Roman"/>
      <w:b/>
      <w:bCs/>
      <w:sz w:val="20"/>
      <w:szCs w:val="20"/>
    </w:rPr>
  </w:style>
  <w:style w:type="paragraph" w:styleId="Revision">
    <w:name w:val="Revision"/>
    <w:hidden/>
    <w:uiPriority w:val="99"/>
    <w:semiHidden/>
    <w:rsid w:val="006B650D"/>
    <w:rPr>
      <w:rFonts w:ascii="Times New Roman" w:hAnsi="Times New Roman" w:cs="Times New Roman"/>
      <w:sz w:val="24"/>
      <w:szCs w:val="24"/>
    </w:rPr>
  </w:style>
  <w:style w:type="paragraph" w:styleId="NormalWeb">
    <w:name w:val="Normal (Web)"/>
    <w:basedOn w:val="Normal"/>
    <w:uiPriority w:val="99"/>
    <w:semiHidden/>
    <w:unhideWhenUsed/>
    <w:rsid w:val="00C72AA2"/>
    <w:pPr>
      <w:spacing w:before="100" w:beforeAutospacing="1" w:after="100" w:afterAutospacing="1"/>
    </w:pPr>
    <w:rPr>
      <w:lang w:val="en-AU" w:eastAsia="en-AU"/>
    </w:rPr>
  </w:style>
  <w:style w:type="table" w:styleId="TableGrid">
    <w:name w:val="Table Grid"/>
    <w:basedOn w:val="TableNormal"/>
    <w:uiPriority w:val="59"/>
    <w:rsid w:val="00240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A91C62"/>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27749C"/>
    <w:pPr>
      <w:spacing w:line="276" w:lineRule="auto"/>
      <w:ind w:left="720"/>
      <w:contextualSpacing/>
    </w:pPr>
    <w:rPr>
      <w:rFonts w:asciiTheme="minorHAnsi" w:hAnsiTheme="minorHAnsi" w:cstheme="minorBidi"/>
      <w:sz w:val="22"/>
      <w:szCs w:val="22"/>
    </w:rPr>
  </w:style>
  <w:style w:type="character" w:styleId="PageNumber">
    <w:name w:val="page number"/>
    <w:basedOn w:val="DefaultParagraphFont"/>
    <w:uiPriority w:val="99"/>
    <w:semiHidden/>
    <w:unhideWhenUsed/>
    <w:rsid w:val="00D70694"/>
  </w:style>
  <w:style w:type="paragraph" w:customStyle="1" w:styleId="Default">
    <w:name w:val="Default"/>
    <w:rsid w:val="00C675CB"/>
    <w:pPr>
      <w:autoSpaceDE w:val="0"/>
      <w:autoSpaceDN w:val="0"/>
      <w:adjustRightInd w:val="0"/>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756AD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72B"/>
    <w:rPr>
      <w:rFonts w:ascii="Times New Roman" w:hAnsi="Times New Roman" w:cs="Times New Roman"/>
      <w:sz w:val="24"/>
      <w:szCs w:val="24"/>
    </w:rPr>
  </w:style>
  <w:style w:type="paragraph" w:styleId="Heading3">
    <w:name w:val="heading 3"/>
    <w:basedOn w:val="Normal"/>
    <w:next w:val="Normal"/>
    <w:link w:val="Heading3Char"/>
    <w:uiPriority w:val="9"/>
    <w:semiHidden/>
    <w:unhideWhenUsed/>
    <w:qFormat/>
    <w:rsid w:val="00A91C6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7D4B"/>
    <w:rPr>
      <w:color w:val="0000FF"/>
      <w:u w:val="single"/>
    </w:rPr>
  </w:style>
  <w:style w:type="paragraph" w:styleId="FootnoteText">
    <w:name w:val="footnote text"/>
    <w:basedOn w:val="Normal"/>
    <w:link w:val="FootnoteTextChar"/>
    <w:uiPriority w:val="99"/>
    <w:unhideWhenUsed/>
    <w:rsid w:val="002F7D4B"/>
    <w:rPr>
      <w:rFonts w:eastAsiaTheme="minorEastAsia"/>
      <w:sz w:val="20"/>
      <w:szCs w:val="20"/>
      <w:lang w:bidi="en-US"/>
    </w:rPr>
  </w:style>
  <w:style w:type="character" w:customStyle="1" w:styleId="FootnoteTextChar">
    <w:name w:val="Footnote Text Char"/>
    <w:basedOn w:val="DefaultParagraphFont"/>
    <w:link w:val="FootnoteText"/>
    <w:uiPriority w:val="99"/>
    <w:rsid w:val="002F7D4B"/>
    <w:rPr>
      <w:rFonts w:eastAsiaTheme="minorEastAsia"/>
      <w:sz w:val="20"/>
      <w:szCs w:val="20"/>
      <w:lang w:bidi="en-US"/>
    </w:rPr>
  </w:style>
  <w:style w:type="character" w:styleId="FootnoteReference">
    <w:name w:val="footnote reference"/>
    <w:basedOn w:val="DefaultParagraphFont"/>
    <w:uiPriority w:val="99"/>
    <w:unhideWhenUsed/>
    <w:rsid w:val="002F7D4B"/>
    <w:rPr>
      <w:vertAlign w:val="superscript"/>
    </w:rPr>
  </w:style>
  <w:style w:type="paragraph" w:styleId="EndnoteText">
    <w:name w:val="endnote text"/>
    <w:basedOn w:val="Normal"/>
    <w:link w:val="EndnoteTextChar"/>
    <w:uiPriority w:val="99"/>
    <w:semiHidden/>
    <w:unhideWhenUsed/>
    <w:rsid w:val="001E57E7"/>
    <w:rPr>
      <w:rFonts w:eastAsiaTheme="minorEastAsia"/>
      <w:lang w:bidi="en-US"/>
    </w:rPr>
  </w:style>
  <w:style w:type="character" w:customStyle="1" w:styleId="EndnoteTextChar">
    <w:name w:val="Endnote Text Char"/>
    <w:basedOn w:val="DefaultParagraphFont"/>
    <w:link w:val="EndnoteText"/>
    <w:uiPriority w:val="99"/>
    <w:semiHidden/>
    <w:rsid w:val="001E57E7"/>
    <w:rPr>
      <w:rFonts w:eastAsiaTheme="minorEastAsia"/>
      <w:sz w:val="24"/>
      <w:szCs w:val="24"/>
      <w:lang w:bidi="en-US"/>
    </w:rPr>
  </w:style>
  <w:style w:type="character" w:styleId="EndnoteReference">
    <w:name w:val="endnote reference"/>
    <w:basedOn w:val="DefaultParagraphFont"/>
    <w:uiPriority w:val="99"/>
    <w:unhideWhenUsed/>
    <w:rsid w:val="001E57E7"/>
    <w:rPr>
      <w:vertAlign w:val="superscript"/>
    </w:rPr>
  </w:style>
  <w:style w:type="paragraph" w:styleId="Header">
    <w:name w:val="header"/>
    <w:basedOn w:val="Normal"/>
    <w:link w:val="HeaderChar"/>
    <w:uiPriority w:val="99"/>
    <w:unhideWhenUsed/>
    <w:rsid w:val="001E57E7"/>
    <w:pPr>
      <w:tabs>
        <w:tab w:val="center" w:pos="4680"/>
        <w:tab w:val="right" w:pos="9360"/>
      </w:tabs>
    </w:pPr>
  </w:style>
  <w:style w:type="character" w:customStyle="1" w:styleId="HeaderChar">
    <w:name w:val="Header Char"/>
    <w:basedOn w:val="DefaultParagraphFont"/>
    <w:link w:val="Header"/>
    <w:uiPriority w:val="99"/>
    <w:rsid w:val="001E57E7"/>
  </w:style>
  <w:style w:type="paragraph" w:styleId="Footer">
    <w:name w:val="footer"/>
    <w:basedOn w:val="Normal"/>
    <w:link w:val="FooterChar"/>
    <w:uiPriority w:val="99"/>
    <w:unhideWhenUsed/>
    <w:rsid w:val="001E57E7"/>
    <w:pPr>
      <w:tabs>
        <w:tab w:val="center" w:pos="4680"/>
        <w:tab w:val="right" w:pos="9360"/>
      </w:tabs>
    </w:pPr>
  </w:style>
  <w:style w:type="character" w:customStyle="1" w:styleId="FooterChar">
    <w:name w:val="Footer Char"/>
    <w:basedOn w:val="DefaultParagraphFont"/>
    <w:link w:val="Footer"/>
    <w:uiPriority w:val="99"/>
    <w:rsid w:val="001E57E7"/>
  </w:style>
  <w:style w:type="paragraph" w:styleId="BalloonText">
    <w:name w:val="Balloon Text"/>
    <w:basedOn w:val="Normal"/>
    <w:link w:val="BalloonTextChar"/>
    <w:uiPriority w:val="99"/>
    <w:semiHidden/>
    <w:unhideWhenUsed/>
    <w:rsid w:val="004D5930"/>
    <w:rPr>
      <w:rFonts w:ascii="Tahoma" w:hAnsi="Tahoma" w:cs="Tahoma"/>
      <w:sz w:val="16"/>
      <w:szCs w:val="16"/>
    </w:rPr>
  </w:style>
  <w:style w:type="character" w:customStyle="1" w:styleId="BalloonTextChar">
    <w:name w:val="Balloon Text Char"/>
    <w:basedOn w:val="DefaultParagraphFont"/>
    <w:link w:val="BalloonText"/>
    <w:uiPriority w:val="99"/>
    <w:semiHidden/>
    <w:rsid w:val="004D5930"/>
    <w:rPr>
      <w:rFonts w:ascii="Tahoma" w:hAnsi="Tahoma" w:cs="Tahoma"/>
      <w:sz w:val="16"/>
      <w:szCs w:val="16"/>
    </w:rPr>
  </w:style>
  <w:style w:type="character" w:styleId="CommentReference">
    <w:name w:val="annotation reference"/>
    <w:basedOn w:val="DefaultParagraphFont"/>
    <w:uiPriority w:val="99"/>
    <w:unhideWhenUsed/>
    <w:rsid w:val="00D456F3"/>
    <w:rPr>
      <w:sz w:val="16"/>
      <w:szCs w:val="16"/>
    </w:rPr>
  </w:style>
  <w:style w:type="paragraph" w:styleId="CommentText">
    <w:name w:val="annotation text"/>
    <w:basedOn w:val="Normal"/>
    <w:link w:val="CommentTextChar"/>
    <w:uiPriority w:val="99"/>
    <w:unhideWhenUsed/>
    <w:rsid w:val="00D456F3"/>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D456F3"/>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13C52"/>
    <w:pPr>
      <w:ind w:firstLine="288"/>
    </w:pPr>
    <w:rPr>
      <w:rFonts w:ascii="Times New Roman" w:eastAsiaTheme="minorHAnsi" w:hAnsi="Times New Roman" w:cs="Times New Roman"/>
      <w:b/>
      <w:bCs/>
    </w:rPr>
  </w:style>
  <w:style w:type="character" w:customStyle="1" w:styleId="CommentSubjectChar">
    <w:name w:val="Comment Subject Char"/>
    <w:basedOn w:val="CommentTextChar"/>
    <w:link w:val="CommentSubject"/>
    <w:uiPriority w:val="99"/>
    <w:semiHidden/>
    <w:rsid w:val="00D13C52"/>
    <w:rPr>
      <w:rFonts w:ascii="Times New Roman" w:eastAsiaTheme="minorEastAsia" w:hAnsi="Times New Roman" w:cs="Times New Roman"/>
      <w:b/>
      <w:bCs/>
      <w:sz w:val="20"/>
      <w:szCs w:val="20"/>
    </w:rPr>
  </w:style>
  <w:style w:type="paragraph" w:styleId="Revision">
    <w:name w:val="Revision"/>
    <w:hidden/>
    <w:uiPriority w:val="99"/>
    <w:semiHidden/>
    <w:rsid w:val="006B650D"/>
    <w:rPr>
      <w:rFonts w:ascii="Times New Roman" w:hAnsi="Times New Roman" w:cs="Times New Roman"/>
      <w:sz w:val="24"/>
      <w:szCs w:val="24"/>
    </w:rPr>
  </w:style>
  <w:style w:type="paragraph" w:styleId="NormalWeb">
    <w:name w:val="Normal (Web)"/>
    <w:basedOn w:val="Normal"/>
    <w:uiPriority w:val="99"/>
    <w:semiHidden/>
    <w:unhideWhenUsed/>
    <w:rsid w:val="00C72AA2"/>
    <w:pPr>
      <w:spacing w:before="100" w:beforeAutospacing="1" w:after="100" w:afterAutospacing="1"/>
    </w:pPr>
    <w:rPr>
      <w:lang w:val="en-AU" w:eastAsia="en-AU"/>
    </w:rPr>
  </w:style>
  <w:style w:type="table" w:styleId="TableGrid">
    <w:name w:val="Table Grid"/>
    <w:basedOn w:val="TableNormal"/>
    <w:uiPriority w:val="59"/>
    <w:rsid w:val="00240D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A91C62"/>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27749C"/>
    <w:pPr>
      <w:spacing w:line="276" w:lineRule="auto"/>
      <w:ind w:left="720"/>
      <w:contextualSpacing/>
    </w:pPr>
    <w:rPr>
      <w:rFonts w:asciiTheme="minorHAnsi" w:hAnsiTheme="minorHAnsi" w:cstheme="minorBidi"/>
      <w:sz w:val="22"/>
      <w:szCs w:val="22"/>
    </w:rPr>
  </w:style>
  <w:style w:type="character" w:styleId="PageNumber">
    <w:name w:val="page number"/>
    <w:basedOn w:val="DefaultParagraphFont"/>
    <w:uiPriority w:val="99"/>
    <w:semiHidden/>
    <w:unhideWhenUsed/>
    <w:rsid w:val="00D70694"/>
  </w:style>
  <w:style w:type="paragraph" w:customStyle="1" w:styleId="Default">
    <w:name w:val="Default"/>
    <w:rsid w:val="00C675CB"/>
    <w:pPr>
      <w:autoSpaceDE w:val="0"/>
      <w:autoSpaceDN w:val="0"/>
      <w:adjustRightInd w:val="0"/>
    </w:pPr>
    <w:rPr>
      <w:rFonts w:ascii="Calibri" w:hAnsi="Calibri" w:cs="Calibri"/>
      <w:color w:val="000000"/>
      <w:sz w:val="24"/>
      <w:szCs w:val="24"/>
      <w:lang w:val="en-AU"/>
    </w:rPr>
  </w:style>
  <w:style w:type="character" w:styleId="FollowedHyperlink">
    <w:name w:val="FollowedHyperlink"/>
    <w:basedOn w:val="DefaultParagraphFont"/>
    <w:uiPriority w:val="99"/>
    <w:semiHidden/>
    <w:unhideWhenUsed/>
    <w:rsid w:val="00756AD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4698409">
      <w:bodyDiv w:val="1"/>
      <w:marLeft w:val="0"/>
      <w:marRight w:val="0"/>
      <w:marTop w:val="0"/>
      <w:marBottom w:val="0"/>
      <w:divBdr>
        <w:top w:val="none" w:sz="0" w:space="0" w:color="auto"/>
        <w:left w:val="none" w:sz="0" w:space="0" w:color="auto"/>
        <w:bottom w:val="none" w:sz="0" w:space="0" w:color="auto"/>
        <w:right w:val="none" w:sz="0" w:space="0" w:color="auto"/>
      </w:divBdr>
    </w:div>
    <w:div w:id="80764137">
      <w:bodyDiv w:val="1"/>
      <w:marLeft w:val="0"/>
      <w:marRight w:val="0"/>
      <w:marTop w:val="0"/>
      <w:marBottom w:val="0"/>
      <w:divBdr>
        <w:top w:val="none" w:sz="0" w:space="0" w:color="auto"/>
        <w:left w:val="none" w:sz="0" w:space="0" w:color="auto"/>
        <w:bottom w:val="none" w:sz="0" w:space="0" w:color="auto"/>
        <w:right w:val="none" w:sz="0" w:space="0" w:color="auto"/>
      </w:divBdr>
    </w:div>
    <w:div w:id="335504499">
      <w:bodyDiv w:val="1"/>
      <w:marLeft w:val="0"/>
      <w:marRight w:val="0"/>
      <w:marTop w:val="0"/>
      <w:marBottom w:val="0"/>
      <w:divBdr>
        <w:top w:val="none" w:sz="0" w:space="0" w:color="auto"/>
        <w:left w:val="none" w:sz="0" w:space="0" w:color="auto"/>
        <w:bottom w:val="none" w:sz="0" w:space="0" w:color="auto"/>
        <w:right w:val="none" w:sz="0" w:space="0" w:color="auto"/>
      </w:divBdr>
    </w:div>
    <w:div w:id="831876948">
      <w:bodyDiv w:val="1"/>
      <w:marLeft w:val="0"/>
      <w:marRight w:val="0"/>
      <w:marTop w:val="0"/>
      <w:marBottom w:val="0"/>
      <w:divBdr>
        <w:top w:val="none" w:sz="0" w:space="0" w:color="auto"/>
        <w:left w:val="none" w:sz="0" w:space="0" w:color="auto"/>
        <w:bottom w:val="none" w:sz="0" w:space="0" w:color="auto"/>
        <w:right w:val="none" w:sz="0" w:space="0" w:color="auto"/>
      </w:divBdr>
    </w:div>
    <w:div w:id="869536853">
      <w:bodyDiv w:val="1"/>
      <w:marLeft w:val="0"/>
      <w:marRight w:val="0"/>
      <w:marTop w:val="0"/>
      <w:marBottom w:val="0"/>
      <w:divBdr>
        <w:top w:val="none" w:sz="0" w:space="0" w:color="auto"/>
        <w:left w:val="none" w:sz="0" w:space="0" w:color="auto"/>
        <w:bottom w:val="none" w:sz="0" w:space="0" w:color="auto"/>
        <w:right w:val="none" w:sz="0" w:space="0" w:color="auto"/>
      </w:divBdr>
      <w:divsChild>
        <w:div w:id="1244529072">
          <w:marLeft w:val="0"/>
          <w:marRight w:val="0"/>
          <w:marTop w:val="0"/>
          <w:marBottom w:val="0"/>
          <w:divBdr>
            <w:top w:val="none" w:sz="0" w:space="0" w:color="auto"/>
            <w:left w:val="none" w:sz="0" w:space="0" w:color="auto"/>
            <w:bottom w:val="none" w:sz="0" w:space="0" w:color="auto"/>
            <w:right w:val="none" w:sz="0" w:space="0" w:color="auto"/>
          </w:divBdr>
          <w:divsChild>
            <w:div w:id="476997518">
              <w:marLeft w:val="0"/>
              <w:marRight w:val="0"/>
              <w:marTop w:val="0"/>
              <w:marBottom w:val="0"/>
              <w:divBdr>
                <w:top w:val="none" w:sz="0" w:space="0" w:color="auto"/>
                <w:left w:val="none" w:sz="0" w:space="0" w:color="auto"/>
                <w:bottom w:val="none" w:sz="0" w:space="0" w:color="auto"/>
                <w:right w:val="none" w:sz="0" w:space="0" w:color="auto"/>
              </w:divBdr>
              <w:divsChild>
                <w:div w:id="195974931">
                  <w:marLeft w:val="0"/>
                  <w:marRight w:val="0"/>
                  <w:marTop w:val="0"/>
                  <w:marBottom w:val="0"/>
                  <w:divBdr>
                    <w:top w:val="none" w:sz="0" w:space="0" w:color="auto"/>
                    <w:left w:val="none" w:sz="0" w:space="0" w:color="auto"/>
                    <w:bottom w:val="none" w:sz="0" w:space="0" w:color="auto"/>
                    <w:right w:val="none" w:sz="0" w:space="0" w:color="auto"/>
                  </w:divBdr>
                  <w:divsChild>
                    <w:div w:id="1215313887">
                      <w:marLeft w:val="0"/>
                      <w:marRight w:val="0"/>
                      <w:marTop w:val="0"/>
                      <w:marBottom w:val="0"/>
                      <w:divBdr>
                        <w:top w:val="none" w:sz="0" w:space="0" w:color="auto"/>
                        <w:left w:val="none" w:sz="0" w:space="0" w:color="auto"/>
                        <w:bottom w:val="none" w:sz="0" w:space="0" w:color="auto"/>
                        <w:right w:val="none" w:sz="0" w:space="0" w:color="auto"/>
                      </w:divBdr>
                      <w:divsChild>
                        <w:div w:id="1614904227">
                          <w:marLeft w:val="0"/>
                          <w:marRight w:val="0"/>
                          <w:marTop w:val="45"/>
                          <w:marBottom w:val="0"/>
                          <w:divBdr>
                            <w:top w:val="none" w:sz="0" w:space="0" w:color="auto"/>
                            <w:left w:val="none" w:sz="0" w:space="0" w:color="auto"/>
                            <w:bottom w:val="none" w:sz="0" w:space="0" w:color="auto"/>
                            <w:right w:val="none" w:sz="0" w:space="0" w:color="auto"/>
                          </w:divBdr>
                          <w:divsChild>
                            <w:div w:id="621421223">
                              <w:marLeft w:val="0"/>
                              <w:marRight w:val="0"/>
                              <w:marTop w:val="0"/>
                              <w:marBottom w:val="0"/>
                              <w:divBdr>
                                <w:top w:val="none" w:sz="0" w:space="0" w:color="auto"/>
                                <w:left w:val="none" w:sz="0" w:space="0" w:color="auto"/>
                                <w:bottom w:val="none" w:sz="0" w:space="0" w:color="auto"/>
                                <w:right w:val="none" w:sz="0" w:space="0" w:color="auto"/>
                              </w:divBdr>
                              <w:divsChild>
                                <w:div w:id="464615904">
                                  <w:marLeft w:val="2070"/>
                                  <w:marRight w:val="3810"/>
                                  <w:marTop w:val="0"/>
                                  <w:marBottom w:val="0"/>
                                  <w:divBdr>
                                    <w:top w:val="none" w:sz="0" w:space="0" w:color="auto"/>
                                    <w:left w:val="none" w:sz="0" w:space="0" w:color="auto"/>
                                    <w:bottom w:val="none" w:sz="0" w:space="0" w:color="auto"/>
                                    <w:right w:val="none" w:sz="0" w:space="0" w:color="auto"/>
                                  </w:divBdr>
                                  <w:divsChild>
                                    <w:div w:id="876698861">
                                      <w:marLeft w:val="0"/>
                                      <w:marRight w:val="0"/>
                                      <w:marTop w:val="0"/>
                                      <w:marBottom w:val="0"/>
                                      <w:divBdr>
                                        <w:top w:val="none" w:sz="0" w:space="0" w:color="auto"/>
                                        <w:left w:val="none" w:sz="0" w:space="0" w:color="auto"/>
                                        <w:bottom w:val="none" w:sz="0" w:space="0" w:color="auto"/>
                                        <w:right w:val="none" w:sz="0" w:space="0" w:color="auto"/>
                                      </w:divBdr>
                                      <w:divsChild>
                                        <w:div w:id="326322486">
                                          <w:marLeft w:val="0"/>
                                          <w:marRight w:val="0"/>
                                          <w:marTop w:val="0"/>
                                          <w:marBottom w:val="0"/>
                                          <w:divBdr>
                                            <w:top w:val="none" w:sz="0" w:space="0" w:color="auto"/>
                                            <w:left w:val="none" w:sz="0" w:space="0" w:color="auto"/>
                                            <w:bottom w:val="none" w:sz="0" w:space="0" w:color="auto"/>
                                            <w:right w:val="none" w:sz="0" w:space="0" w:color="auto"/>
                                          </w:divBdr>
                                          <w:divsChild>
                                            <w:div w:id="1131166291">
                                              <w:marLeft w:val="0"/>
                                              <w:marRight w:val="0"/>
                                              <w:marTop w:val="0"/>
                                              <w:marBottom w:val="0"/>
                                              <w:divBdr>
                                                <w:top w:val="none" w:sz="0" w:space="0" w:color="auto"/>
                                                <w:left w:val="none" w:sz="0" w:space="0" w:color="auto"/>
                                                <w:bottom w:val="none" w:sz="0" w:space="0" w:color="auto"/>
                                                <w:right w:val="none" w:sz="0" w:space="0" w:color="auto"/>
                                              </w:divBdr>
                                              <w:divsChild>
                                                <w:div w:id="668945905">
                                                  <w:marLeft w:val="0"/>
                                                  <w:marRight w:val="0"/>
                                                  <w:marTop w:val="0"/>
                                                  <w:marBottom w:val="0"/>
                                                  <w:divBdr>
                                                    <w:top w:val="none" w:sz="0" w:space="0" w:color="auto"/>
                                                    <w:left w:val="none" w:sz="0" w:space="0" w:color="auto"/>
                                                    <w:bottom w:val="none" w:sz="0" w:space="0" w:color="auto"/>
                                                    <w:right w:val="none" w:sz="0" w:space="0" w:color="auto"/>
                                                  </w:divBdr>
                                                  <w:divsChild>
                                                    <w:div w:id="1957449247">
                                                      <w:marLeft w:val="0"/>
                                                      <w:marRight w:val="0"/>
                                                      <w:marTop w:val="0"/>
                                                      <w:marBottom w:val="0"/>
                                                      <w:divBdr>
                                                        <w:top w:val="none" w:sz="0" w:space="0" w:color="auto"/>
                                                        <w:left w:val="none" w:sz="0" w:space="0" w:color="auto"/>
                                                        <w:bottom w:val="none" w:sz="0" w:space="0" w:color="auto"/>
                                                        <w:right w:val="none" w:sz="0" w:space="0" w:color="auto"/>
                                                      </w:divBdr>
                                                      <w:divsChild>
                                                        <w:div w:id="1512449583">
                                                          <w:marLeft w:val="0"/>
                                                          <w:marRight w:val="0"/>
                                                          <w:marTop w:val="0"/>
                                                          <w:marBottom w:val="0"/>
                                                          <w:divBdr>
                                                            <w:top w:val="none" w:sz="0" w:space="0" w:color="auto"/>
                                                            <w:left w:val="none" w:sz="0" w:space="0" w:color="auto"/>
                                                            <w:bottom w:val="none" w:sz="0" w:space="0" w:color="auto"/>
                                                            <w:right w:val="none" w:sz="0" w:space="0" w:color="auto"/>
                                                          </w:divBdr>
                                                          <w:divsChild>
                                                            <w:div w:id="831263687">
                                                              <w:marLeft w:val="0"/>
                                                              <w:marRight w:val="0"/>
                                                              <w:marTop w:val="0"/>
                                                              <w:marBottom w:val="0"/>
                                                              <w:divBdr>
                                                                <w:top w:val="none" w:sz="0" w:space="0" w:color="auto"/>
                                                                <w:left w:val="none" w:sz="0" w:space="0" w:color="auto"/>
                                                                <w:bottom w:val="none" w:sz="0" w:space="0" w:color="auto"/>
                                                                <w:right w:val="none" w:sz="0" w:space="0" w:color="auto"/>
                                                              </w:divBdr>
                                                              <w:divsChild>
                                                                <w:div w:id="90590171">
                                                                  <w:marLeft w:val="0"/>
                                                                  <w:marRight w:val="0"/>
                                                                  <w:marTop w:val="0"/>
                                                                  <w:marBottom w:val="0"/>
                                                                  <w:divBdr>
                                                                    <w:top w:val="none" w:sz="0" w:space="0" w:color="auto"/>
                                                                    <w:left w:val="none" w:sz="0" w:space="0" w:color="auto"/>
                                                                    <w:bottom w:val="none" w:sz="0" w:space="0" w:color="auto"/>
                                                                    <w:right w:val="none" w:sz="0" w:space="0" w:color="auto"/>
                                                                  </w:divBdr>
                                                                  <w:divsChild>
                                                                    <w:div w:id="68085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07300224">
      <w:bodyDiv w:val="1"/>
      <w:marLeft w:val="0"/>
      <w:marRight w:val="0"/>
      <w:marTop w:val="0"/>
      <w:marBottom w:val="0"/>
      <w:divBdr>
        <w:top w:val="none" w:sz="0" w:space="0" w:color="auto"/>
        <w:left w:val="none" w:sz="0" w:space="0" w:color="auto"/>
        <w:bottom w:val="none" w:sz="0" w:space="0" w:color="auto"/>
        <w:right w:val="none" w:sz="0" w:space="0" w:color="auto"/>
      </w:divBdr>
    </w:div>
    <w:div w:id="1224675272">
      <w:bodyDiv w:val="1"/>
      <w:marLeft w:val="0"/>
      <w:marRight w:val="0"/>
      <w:marTop w:val="0"/>
      <w:marBottom w:val="0"/>
      <w:divBdr>
        <w:top w:val="none" w:sz="0" w:space="0" w:color="auto"/>
        <w:left w:val="none" w:sz="0" w:space="0" w:color="auto"/>
        <w:bottom w:val="none" w:sz="0" w:space="0" w:color="auto"/>
        <w:right w:val="none" w:sz="0" w:space="0" w:color="auto"/>
      </w:divBdr>
    </w:div>
    <w:div w:id="1389452633">
      <w:bodyDiv w:val="1"/>
      <w:marLeft w:val="0"/>
      <w:marRight w:val="0"/>
      <w:marTop w:val="0"/>
      <w:marBottom w:val="0"/>
      <w:divBdr>
        <w:top w:val="none" w:sz="0" w:space="0" w:color="auto"/>
        <w:left w:val="none" w:sz="0" w:space="0" w:color="auto"/>
        <w:bottom w:val="none" w:sz="0" w:space="0" w:color="auto"/>
        <w:right w:val="none" w:sz="0" w:space="0" w:color="auto"/>
      </w:divBdr>
    </w:div>
    <w:div w:id="1571311373">
      <w:bodyDiv w:val="1"/>
      <w:marLeft w:val="0"/>
      <w:marRight w:val="0"/>
      <w:marTop w:val="0"/>
      <w:marBottom w:val="0"/>
      <w:divBdr>
        <w:top w:val="none" w:sz="0" w:space="0" w:color="auto"/>
        <w:left w:val="none" w:sz="0" w:space="0" w:color="auto"/>
        <w:bottom w:val="none" w:sz="0" w:space="0" w:color="auto"/>
        <w:right w:val="none" w:sz="0" w:space="0" w:color="auto"/>
      </w:divBdr>
    </w:div>
    <w:div w:id="1870070374">
      <w:bodyDiv w:val="1"/>
      <w:marLeft w:val="0"/>
      <w:marRight w:val="0"/>
      <w:marTop w:val="0"/>
      <w:marBottom w:val="0"/>
      <w:divBdr>
        <w:top w:val="none" w:sz="0" w:space="0" w:color="auto"/>
        <w:left w:val="none" w:sz="0" w:space="0" w:color="auto"/>
        <w:bottom w:val="none" w:sz="0" w:space="0" w:color="auto"/>
        <w:right w:val="none" w:sz="0" w:space="0" w:color="auto"/>
      </w:divBdr>
    </w:div>
    <w:div w:id="1886722059">
      <w:bodyDiv w:val="1"/>
      <w:marLeft w:val="0"/>
      <w:marRight w:val="0"/>
      <w:marTop w:val="0"/>
      <w:marBottom w:val="0"/>
      <w:divBdr>
        <w:top w:val="none" w:sz="0" w:space="0" w:color="auto"/>
        <w:left w:val="none" w:sz="0" w:space="0" w:color="auto"/>
        <w:bottom w:val="none" w:sz="0" w:space="0" w:color="auto"/>
        <w:right w:val="none" w:sz="0" w:space="0" w:color="auto"/>
      </w:divBdr>
    </w:div>
    <w:div w:id="2116512821">
      <w:bodyDiv w:val="1"/>
      <w:marLeft w:val="0"/>
      <w:marRight w:val="0"/>
      <w:marTop w:val="0"/>
      <w:marBottom w:val="0"/>
      <w:divBdr>
        <w:top w:val="none" w:sz="0" w:space="0" w:color="auto"/>
        <w:left w:val="none" w:sz="0" w:space="0" w:color="auto"/>
        <w:bottom w:val="none" w:sz="0" w:space="0" w:color="auto"/>
        <w:right w:val="none" w:sz="0" w:space="0" w:color="auto"/>
      </w:divBdr>
    </w:div>
    <w:div w:id="211956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wp.gov.uk" TargetMode="External"/><Relationship Id="rId4" Type="http://schemas.openxmlformats.org/officeDocument/2006/relationships/settings" Target="settings.xml"/><Relationship Id="rId9" Type="http://schemas.openxmlformats.org/officeDocument/2006/relationships/hyperlink" Target="http://www.humanservices.gov.au/"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6EFC67-DAE4-4CFA-8ECD-E017C16C0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942</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Federal Reserve System</Company>
  <LinksUpToDate>false</LinksUpToDate>
  <CharactersWithSpaces>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Daly</dc:creator>
  <cp:lastModifiedBy>atomong</cp:lastModifiedBy>
  <cp:revision>3</cp:revision>
  <cp:lastPrinted>2013-12-12T22:07:00Z</cp:lastPrinted>
  <dcterms:created xsi:type="dcterms:W3CDTF">2014-01-29T13:36:00Z</dcterms:created>
  <dcterms:modified xsi:type="dcterms:W3CDTF">2014-01-29T13:37:00Z</dcterms:modified>
</cp:coreProperties>
</file>