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CA8" w:rsidRPr="009A1D2E" w:rsidRDefault="006151B8" w:rsidP="00274CA8">
      <w:pPr>
        <w:tabs>
          <w:tab w:val="right" w:pos="360"/>
          <w:tab w:val="left" w:pos="540"/>
          <w:tab w:val="left" w:pos="720"/>
        </w:tabs>
        <w:spacing w:after="0" w:line="480" w:lineRule="auto"/>
        <w:rPr>
          <w:b/>
          <w:lang w:val="en-GB"/>
        </w:rPr>
      </w:pPr>
      <w:r>
        <w:rPr>
          <w:b/>
          <w:lang w:val="en-GB"/>
        </w:rPr>
        <w:t xml:space="preserve">Additional file 1: </w:t>
      </w:r>
      <w:bookmarkStart w:id="0" w:name="_GoBack"/>
      <w:bookmarkEnd w:id="0"/>
      <w:r w:rsidR="00274CA8" w:rsidRPr="009A1D2E">
        <w:rPr>
          <w:b/>
          <w:lang w:val="en-GB"/>
        </w:rPr>
        <w:t>ACE activity assays</w:t>
      </w:r>
    </w:p>
    <w:p w:rsidR="00274CA8" w:rsidRPr="009A1D2E" w:rsidRDefault="00274CA8" w:rsidP="00274CA8">
      <w:pPr>
        <w:tabs>
          <w:tab w:val="right" w:pos="360"/>
          <w:tab w:val="left" w:pos="540"/>
          <w:tab w:val="left" w:pos="720"/>
        </w:tabs>
        <w:spacing w:after="0" w:line="480" w:lineRule="auto"/>
        <w:rPr>
          <w:b/>
          <w:lang w:val="en-GB"/>
        </w:rPr>
      </w:pPr>
    </w:p>
    <w:p w:rsidR="00274CA8" w:rsidRPr="009A1D2E" w:rsidRDefault="00274CA8" w:rsidP="00274CA8">
      <w:pPr>
        <w:tabs>
          <w:tab w:val="right" w:pos="360"/>
          <w:tab w:val="left" w:pos="540"/>
          <w:tab w:val="left" w:pos="720"/>
        </w:tabs>
        <w:spacing w:after="0" w:line="480" w:lineRule="auto"/>
        <w:rPr>
          <w:lang w:val="en-GB"/>
        </w:rPr>
      </w:pPr>
      <w:r w:rsidRPr="003F081F">
        <w:rPr>
          <w:rFonts w:cs="Calibri"/>
          <w:lang w:val="en-GB"/>
        </w:rPr>
        <w:t xml:space="preserve">Monoclonal anti-human ACE antibody (MAB929), recombinant human ACE (929-ZN) and the internally quenched </w:t>
      </w:r>
      <w:proofErr w:type="spellStart"/>
      <w:r w:rsidRPr="003F081F">
        <w:rPr>
          <w:rFonts w:cs="Calibri"/>
          <w:lang w:val="en-GB"/>
        </w:rPr>
        <w:t>fluorogenic</w:t>
      </w:r>
      <w:proofErr w:type="spellEnd"/>
      <w:r w:rsidRPr="003F081F">
        <w:rPr>
          <w:rFonts w:cs="Calibri"/>
          <w:lang w:val="en-GB"/>
        </w:rPr>
        <w:t xml:space="preserve"> peptide substrate (</w:t>
      </w:r>
      <w:proofErr w:type="spellStart"/>
      <w:r w:rsidRPr="003F081F">
        <w:rPr>
          <w:rFonts w:cs="Calibri"/>
          <w:lang w:val="en-GB"/>
        </w:rPr>
        <w:t>Mca</w:t>
      </w:r>
      <w:proofErr w:type="spellEnd"/>
      <w:r w:rsidRPr="003F081F">
        <w:rPr>
          <w:rFonts w:cs="Calibri"/>
          <w:lang w:val="en-GB"/>
        </w:rPr>
        <w:t>-RPPGFSAFK(</w:t>
      </w:r>
      <w:proofErr w:type="spellStart"/>
      <w:r w:rsidRPr="003F081F">
        <w:rPr>
          <w:rFonts w:cs="Calibri"/>
          <w:lang w:val="en-GB"/>
        </w:rPr>
        <w:t>Dnp</w:t>
      </w:r>
      <w:proofErr w:type="spellEnd"/>
      <w:r w:rsidRPr="003F081F">
        <w:rPr>
          <w:rFonts w:cs="Calibri"/>
          <w:lang w:val="en-GB"/>
        </w:rPr>
        <w:t xml:space="preserve">)-OH) (ES005) were purchased from R&amp;D systems (Abingdon, UK). Captopril was purchased from Enzo Life Sciences (Exeter, UK). Wells of a </w:t>
      </w:r>
      <w:proofErr w:type="spellStart"/>
      <w:r w:rsidRPr="003F081F">
        <w:rPr>
          <w:rFonts w:cs="Calibri"/>
          <w:lang w:val="en-GB"/>
        </w:rPr>
        <w:t>NuncMaxiSorp</w:t>
      </w:r>
      <w:proofErr w:type="spellEnd"/>
      <w:r w:rsidRPr="003F081F">
        <w:rPr>
          <w:rFonts w:cs="Calibri"/>
          <w:lang w:val="en-GB"/>
        </w:rPr>
        <w:t xml:space="preserve"> 96-well polystyrene </w:t>
      </w:r>
      <w:proofErr w:type="spellStart"/>
      <w:r w:rsidRPr="003F081F">
        <w:rPr>
          <w:rFonts w:cs="Calibri"/>
          <w:lang w:val="en-GB"/>
        </w:rPr>
        <w:t>immunoplate</w:t>
      </w:r>
      <w:proofErr w:type="spellEnd"/>
      <w:r w:rsidRPr="003F081F">
        <w:rPr>
          <w:rFonts w:cs="Calibri"/>
          <w:lang w:val="en-GB"/>
        </w:rPr>
        <w:t xml:space="preserve"> </w:t>
      </w:r>
      <w:r>
        <w:rPr>
          <w:rFonts w:cs="Calibri"/>
          <w:lang w:val="en-GB"/>
        </w:rPr>
        <w:t xml:space="preserve">(Fisher Scientific, </w:t>
      </w:r>
      <w:proofErr w:type="spellStart"/>
      <w:r>
        <w:rPr>
          <w:rFonts w:cs="Calibri"/>
          <w:lang w:val="en-GB"/>
        </w:rPr>
        <w:t>Loughbourgh</w:t>
      </w:r>
      <w:proofErr w:type="spellEnd"/>
      <w:r>
        <w:rPr>
          <w:rFonts w:cs="Calibri"/>
          <w:lang w:val="en-GB"/>
        </w:rPr>
        <w:t xml:space="preserve">, UK) </w:t>
      </w:r>
      <w:r w:rsidRPr="003F081F">
        <w:rPr>
          <w:rFonts w:cs="Calibri"/>
          <w:lang w:val="en-GB"/>
        </w:rPr>
        <w:t>were coated with capture monoclonal anti-human ACE antibody (1 µg/ml) diluted in PBS (pH 7.4), the plate sealed and incubated for 18 hours at room temperature. Wells were washed five times in PBS (pH 7.4) containing 0.05% tween-20 (Sigma Aldrich, Dorset, UK) and non-specific binding of antibody blocked by incubat</w:t>
      </w:r>
      <w:r>
        <w:rPr>
          <w:rFonts w:cs="Calibri"/>
          <w:lang w:val="en-GB"/>
        </w:rPr>
        <w:t>ing</w:t>
      </w:r>
      <w:r w:rsidRPr="003F081F">
        <w:rPr>
          <w:rFonts w:cs="Calibri"/>
          <w:lang w:val="en-GB"/>
        </w:rPr>
        <w:t xml:space="preserve"> with 300 </w:t>
      </w:r>
      <w:proofErr w:type="spellStart"/>
      <w:r w:rsidRPr="003F081F">
        <w:rPr>
          <w:rFonts w:cs="Calibri"/>
          <w:lang w:val="en-GB"/>
        </w:rPr>
        <w:t>μl</w:t>
      </w:r>
      <w:proofErr w:type="spellEnd"/>
      <w:r w:rsidRPr="003F081F">
        <w:rPr>
          <w:rFonts w:cs="Calibri"/>
          <w:lang w:val="en-GB"/>
        </w:rPr>
        <w:t xml:space="preserve"> of PBS (pH 7.4) containing 1% bovine serum albumin (BSA) (Fisher Scientific) for 2 hours at room temperature.  Serial dilutions of recombinant human ACE (2500 - 40 ng/ml) were prepared in PBS (pH 7.4) to create a standard curve of enzyme activity. For sample wells, 10 µl of CSF or 15 µl of serum was diluted in PBS (pH 7.4) (100 µl/well), prepared in triplicate. After washing the plate five times, diluted recombinant human ACE and diluted samples were briefly </w:t>
      </w:r>
      <w:proofErr w:type="spellStart"/>
      <w:r w:rsidRPr="003F081F">
        <w:rPr>
          <w:rFonts w:cs="Calibri"/>
          <w:lang w:val="en-GB"/>
        </w:rPr>
        <w:t>vortexed</w:t>
      </w:r>
      <w:proofErr w:type="spellEnd"/>
      <w:r w:rsidRPr="003F081F">
        <w:rPr>
          <w:rFonts w:cs="Calibri"/>
          <w:lang w:val="en-GB"/>
        </w:rPr>
        <w:t xml:space="preserve"> and added to required wells. Control wells were included on each plate and contained 100 µl PBS alone. The plate was sealed and incubated for 2 hours at room temperature with continuous shaking. After a further five washes, an optimal concentration of a specific inhibitor peptide, captopril (1mM) prepared in distilled water was added to required wells (50 µl/well) and distilled water was added to all uninhibited wells (50 µl/well). The plate was sealed and incubated for 10 minutes at room temperature prior to the addition of </w:t>
      </w:r>
      <w:proofErr w:type="spellStart"/>
      <w:r w:rsidRPr="003F081F">
        <w:rPr>
          <w:rFonts w:cs="Calibri"/>
          <w:lang w:val="en-GB"/>
        </w:rPr>
        <w:t>fluorogenic</w:t>
      </w:r>
      <w:proofErr w:type="spellEnd"/>
      <w:r w:rsidRPr="003F081F">
        <w:rPr>
          <w:rFonts w:cs="Calibri"/>
          <w:lang w:val="en-GB"/>
        </w:rPr>
        <w:t xml:space="preserve"> substrate (10 µM) prepared in 100 </w:t>
      </w:r>
      <w:proofErr w:type="spellStart"/>
      <w:r w:rsidRPr="003F081F">
        <w:rPr>
          <w:rFonts w:cs="Calibri"/>
          <w:lang w:val="en-GB"/>
        </w:rPr>
        <w:t>mM</w:t>
      </w:r>
      <w:proofErr w:type="spellEnd"/>
      <w:r>
        <w:rPr>
          <w:rFonts w:cs="Calibri"/>
          <w:lang w:val="en-GB"/>
        </w:rPr>
        <w:t xml:space="preserve"> </w:t>
      </w:r>
      <w:r w:rsidRPr="003F081F">
        <w:rPr>
          <w:rFonts w:cs="Calibri"/>
          <w:lang w:val="en-GB"/>
        </w:rPr>
        <w:t>Tris-</w:t>
      </w:r>
      <w:proofErr w:type="spellStart"/>
      <w:r w:rsidRPr="003F081F">
        <w:rPr>
          <w:rFonts w:cs="Calibri"/>
          <w:lang w:val="en-GB"/>
        </w:rPr>
        <w:t>HCl</w:t>
      </w:r>
      <w:proofErr w:type="spellEnd"/>
      <w:r w:rsidRPr="003F081F">
        <w:rPr>
          <w:rFonts w:cs="Calibri"/>
          <w:lang w:val="en-GB"/>
        </w:rPr>
        <w:t xml:space="preserve"> pH 7.5 containing 50 </w:t>
      </w:r>
      <w:proofErr w:type="spellStart"/>
      <w:r w:rsidRPr="003F081F">
        <w:rPr>
          <w:rFonts w:cs="Calibri"/>
          <w:lang w:val="en-GB"/>
        </w:rPr>
        <w:t>mM</w:t>
      </w:r>
      <w:proofErr w:type="spellEnd"/>
      <w:r>
        <w:rPr>
          <w:rFonts w:cs="Calibri"/>
          <w:lang w:val="en-GB"/>
        </w:rPr>
        <w:t xml:space="preserve"> </w:t>
      </w:r>
      <w:proofErr w:type="spellStart"/>
      <w:r w:rsidRPr="003F081F">
        <w:rPr>
          <w:rFonts w:cs="Calibri"/>
          <w:lang w:val="en-GB"/>
        </w:rPr>
        <w:t>NaCl</w:t>
      </w:r>
      <w:proofErr w:type="spellEnd"/>
      <w:r w:rsidRPr="003F081F">
        <w:rPr>
          <w:rFonts w:cs="Calibri"/>
          <w:lang w:val="en-GB"/>
        </w:rPr>
        <w:t xml:space="preserve"> and 10 µM ZnCl</w:t>
      </w:r>
      <w:r w:rsidRPr="003F081F">
        <w:rPr>
          <w:rFonts w:cs="Calibri"/>
          <w:vertAlign w:val="subscript"/>
          <w:lang w:val="en-GB"/>
        </w:rPr>
        <w:t>2</w:t>
      </w:r>
      <w:r w:rsidRPr="003F081F">
        <w:rPr>
          <w:rFonts w:cs="Calibri"/>
          <w:lang w:val="en-GB"/>
        </w:rPr>
        <w:t xml:space="preserve"> to all wells (50 µl/well). The plate was sealed and incubated in the dark for 2 hours with continual shaking at 37°C, followed by incubation at 4°C for 16 hours. Fluorescence was measured with excitation at 320 nm and emission at 405 nm, in a </w:t>
      </w:r>
      <w:proofErr w:type="spellStart"/>
      <w:r w:rsidRPr="003F081F">
        <w:rPr>
          <w:rFonts w:cs="Calibri"/>
          <w:lang w:val="en-GB"/>
        </w:rPr>
        <w:t>FLUOstar</w:t>
      </w:r>
      <w:proofErr w:type="spellEnd"/>
      <w:r w:rsidRPr="003F081F">
        <w:rPr>
          <w:rFonts w:cs="Calibri"/>
          <w:lang w:val="en-GB"/>
        </w:rPr>
        <w:t xml:space="preserve"> OPTIMA plate reader (BMG </w:t>
      </w:r>
      <w:proofErr w:type="spellStart"/>
      <w:r w:rsidRPr="003F081F">
        <w:rPr>
          <w:rFonts w:cs="Calibri"/>
          <w:lang w:val="en-GB"/>
        </w:rPr>
        <w:t>Labtech</w:t>
      </w:r>
      <w:proofErr w:type="spellEnd"/>
      <w:r w:rsidRPr="003F081F">
        <w:rPr>
          <w:rFonts w:cs="Calibri"/>
          <w:lang w:val="en-GB"/>
        </w:rPr>
        <w:t>, UK) after 18 hours incubation.</w:t>
      </w:r>
    </w:p>
    <w:p w:rsidR="00E9273D" w:rsidRPr="00274CA8" w:rsidRDefault="00E9273D">
      <w:pPr>
        <w:rPr>
          <w:lang w:val="en-GB"/>
        </w:rPr>
      </w:pPr>
    </w:p>
    <w:sectPr w:rsidR="00E9273D" w:rsidRPr="00274CA8" w:rsidSect="009D24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CA8"/>
    <w:rsid w:val="00274CA8"/>
    <w:rsid w:val="002C5991"/>
    <w:rsid w:val="006151B8"/>
    <w:rsid w:val="007E1D2E"/>
    <w:rsid w:val="0097713F"/>
    <w:rsid w:val="00E263A7"/>
    <w:rsid w:val="00E9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74CA8"/>
    <w:rPr>
      <w:rFonts w:ascii="Calibri" w:eastAsia="Times New Roman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74CA8"/>
    <w:rPr>
      <w:rFonts w:ascii="Calibri" w:eastAsia="Times New Roman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de Koning Gans</dc:creator>
  <cp:lastModifiedBy>Hadassa</cp:lastModifiedBy>
  <cp:revision>2</cp:revision>
  <dcterms:created xsi:type="dcterms:W3CDTF">2014-03-14T13:11:00Z</dcterms:created>
  <dcterms:modified xsi:type="dcterms:W3CDTF">2014-03-14T13:11:00Z</dcterms:modified>
</cp:coreProperties>
</file>