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4" w:rsidRDefault="005A2B24" w:rsidP="005A2B24">
      <w:pPr>
        <w:pStyle w:val="NormaleWeb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METHODS</w:t>
      </w:r>
    </w:p>
    <w:p w:rsidR="005A2B24" w:rsidRDefault="005A2B24" w:rsidP="005A2B24">
      <w:pPr>
        <w:pStyle w:val="NormaleWeb"/>
        <w:spacing w:before="0" w:beforeAutospacing="0" w:after="0" w:afterAutospacing="0" w:line="48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A2B24" w:rsidRDefault="005A2B24" w:rsidP="005A2B24">
      <w:pPr>
        <w:pStyle w:val="NormaleWeb"/>
        <w:spacing w:before="0" w:beforeAutospacing="0" w:after="0" w:afterAutospacing="0" w:line="48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5C34BD">
        <w:rPr>
          <w:rFonts w:ascii="Times New Roman" w:hAnsi="Times New Roman" w:cs="Times New Roman"/>
          <w:b/>
          <w:bCs/>
          <w:sz w:val="24"/>
          <w:szCs w:val="24"/>
          <w:lang w:val="en-GB"/>
        </w:rPr>
        <w:t>Combination effect.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The combination effect of the two drugs was evaluated based on the combination index (CI), calculated using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Calcusyn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software 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Biosoft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, Cambridge, UK) and defined as follows: CI = (D)1/(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)1 + (D)2/(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)2 + (D)1(D)2/(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)1(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)2, where: 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)1 is the dose of Drug 1 alone required to produce an X% effect; (D)1 is the dose of Drug 1 required to produce the same X% effect in combination with Drug 2; (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Dx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)2 is the dose of Drug 2 alone required to produce an X% effect; and (D)2 is the dose of Drug 2 required to produce the same X% effect in combination with Drug 1. The combination effect was defined as follows: CI &lt; 1, synergistic effect; CI = 1, additive effect; and CI &gt; 1, antagonistic effect.</w:t>
      </w:r>
    </w:p>
    <w:p w:rsidR="00D63BED" w:rsidRDefault="00D63BED" w:rsidP="00D63BED">
      <w:pPr>
        <w:pStyle w:val="NormaleWeb"/>
        <w:spacing w:before="0" w:beforeAutospacing="0" w:after="0" w:afterAutospacing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C34BD">
        <w:rPr>
          <w:rFonts w:ascii="Times New Roman" w:hAnsi="Times New Roman" w:cs="Times New Roman"/>
          <w:b/>
          <w:bCs/>
          <w:sz w:val="24"/>
          <w:szCs w:val="24"/>
          <w:lang w:val="en-GB"/>
        </w:rPr>
        <w:t>Immunoprecipitation</w:t>
      </w:r>
      <w:proofErr w:type="spellEnd"/>
      <w:r w:rsidRPr="005C34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Western blot analysis.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Total cell lysates from cell cultures or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tumor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specimens were resolved by 4-15% SDS-PAGE and probed with anti-human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antibodies.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Anti-human p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olyclonal pHER2, HER2, EGFR, monoclonal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pMAPK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>, MAPK, FAK, p130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as and polyclonal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pFAK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(Santa Cruz Biotechnology, Santa Cruz, CA), polyclonal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pEGFR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Y1173,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pEGFR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Y845,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pAkt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Akt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, pp130Cas,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ppaxillin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paxillin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pSrc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Y416,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pSrc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Y527,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Src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(Cell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Signaling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Technologies, Beverly, MA), monoclonal actin (Sigma-Aldrich, Milan)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were used</w:t>
      </w:r>
      <w:r w:rsidRPr="005C34BD">
        <w:rPr>
          <w:rFonts w:ascii="Times New Roman" w:hAnsi="Times New Roman" w:cs="Times New Roman"/>
          <w:sz w:val="24"/>
          <w:szCs w:val="24"/>
          <w:lang w:val="en-GB"/>
        </w:rPr>
        <w:t>. Co-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immunoprecipitation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analysis were performed by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immunoprecipitation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using anti-HER2 or anti-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Src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antibodies and blotting with anti-EGFR or anti-HER2 antibodies. As the positive control, total proteins from BT474 cells were used.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Immunoreactive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proteins were visualized by enhanced </w:t>
      </w:r>
      <w:proofErr w:type="spellStart"/>
      <w:r w:rsidRPr="005C34BD">
        <w:rPr>
          <w:rFonts w:ascii="Times New Roman" w:hAnsi="Times New Roman" w:cs="Times New Roman"/>
          <w:sz w:val="24"/>
          <w:szCs w:val="24"/>
          <w:lang w:val="en-GB"/>
        </w:rPr>
        <w:t>chemiluminescence</w:t>
      </w:r>
      <w:proofErr w:type="spellEnd"/>
      <w:r w:rsidRPr="005C34BD">
        <w:rPr>
          <w:rFonts w:ascii="Times New Roman" w:hAnsi="Times New Roman" w:cs="Times New Roman"/>
          <w:sz w:val="24"/>
          <w:szCs w:val="24"/>
          <w:lang w:val="en-GB"/>
        </w:rPr>
        <w:t xml:space="preserve"> (Pierce, Rockford, IL, USA). D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ensitometry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analysis 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5C34BD">
        <w:rPr>
          <w:rFonts w:ascii="Times New Roman" w:hAnsi="Times New Roman" w:cs="Times New Roman"/>
          <w:sz w:val="24"/>
          <w:szCs w:val="24"/>
        </w:rPr>
        <w:t xml:space="preserve"> performed with Image J software (NIH).</w:t>
      </w:r>
    </w:p>
    <w:p w:rsidR="00727A6E" w:rsidRPr="00727A6E" w:rsidRDefault="00727A6E" w:rsidP="00D63BED">
      <w:pPr>
        <w:pStyle w:val="NormaleWeb"/>
        <w:spacing w:before="0" w:beforeAutospacing="0" w:after="0" w:afterAutospacing="0" w:line="48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727A6E">
        <w:rPr>
          <w:rFonts w:ascii="Times New Roman" w:hAnsi="Times New Roman" w:cs="Times New Roman"/>
          <w:b/>
          <w:sz w:val="24"/>
          <w:szCs w:val="24"/>
          <w:lang w:val="en-GB"/>
        </w:rPr>
        <w:t>ELISA assay.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Human </w:t>
      </w:r>
      <w:r>
        <w:rPr>
          <w:rFonts w:ascii="Times New Roman" w:hAnsi="Times New Roman" w:cs="Times New Roman"/>
          <w:sz w:val="24"/>
          <w:szCs w:val="24"/>
          <w:lang w:val="en-GB"/>
        </w:rPr>
        <w:t>EGF and TGF-α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concentrations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conditioned media from breast cancer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cells were determined by using the human </w:t>
      </w:r>
      <w:r>
        <w:rPr>
          <w:rFonts w:ascii="Times New Roman" w:hAnsi="Times New Roman" w:cs="Times New Roman"/>
          <w:sz w:val="24"/>
          <w:szCs w:val="24"/>
          <w:lang w:val="en-GB"/>
        </w:rPr>
        <w:t>EGF and TGF-α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27A6E">
        <w:rPr>
          <w:rFonts w:ascii="Times New Roman" w:hAnsi="Times New Roman" w:cs="Times New Roman"/>
          <w:sz w:val="24"/>
          <w:szCs w:val="24"/>
          <w:lang w:val="en-GB"/>
        </w:rPr>
        <w:t>Quantikine</w:t>
      </w:r>
      <w:proofErr w:type="spellEnd"/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ELISA Kit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(R&amp;D Systems), according to manufacturer’s instructions. </w:t>
      </w:r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The absorbance was measured at 490 nm on a </w:t>
      </w:r>
      <w:proofErr w:type="spellStart"/>
      <w:r w:rsidRPr="00727A6E">
        <w:rPr>
          <w:rFonts w:ascii="Times New Roman" w:hAnsi="Times New Roman" w:cs="Times New Roman"/>
          <w:sz w:val="24"/>
          <w:szCs w:val="24"/>
          <w:lang w:val="en-GB"/>
        </w:rPr>
        <w:t>microplate</w:t>
      </w:r>
      <w:proofErr w:type="spellEnd"/>
      <w:r w:rsidRPr="00727A6E">
        <w:rPr>
          <w:rFonts w:ascii="Times New Roman" w:hAnsi="Times New Roman" w:cs="Times New Roman"/>
          <w:sz w:val="24"/>
          <w:szCs w:val="24"/>
          <w:lang w:val="en-GB"/>
        </w:rPr>
        <w:t xml:space="preserve"> reader (Bio-Rad, Hercules, CA, USA)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p w:rsidR="00277538" w:rsidRPr="005C34BD" w:rsidRDefault="00277538" w:rsidP="00277538">
      <w:pPr>
        <w:pStyle w:val="NormaleWeb"/>
        <w:spacing w:before="0" w:beforeAutospacing="0" w:after="0" w:afterAutospacing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77538">
        <w:rPr>
          <w:rFonts w:ascii="Times New Roman" w:hAnsi="Times New Roman" w:cs="Times New Roman"/>
          <w:b/>
          <w:sz w:val="24"/>
          <w:szCs w:val="24"/>
        </w:rPr>
        <w:lastRenderedPageBreak/>
        <w:t>RNA interference.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74" w:rsidRPr="005C34BD">
        <w:rPr>
          <w:rFonts w:ascii="Times New Roman" w:hAnsi="Times New Roman" w:cs="Times New Roman"/>
          <w:sz w:val="24"/>
          <w:szCs w:val="24"/>
        </w:rPr>
        <w:t>Small inte</w:t>
      </w:r>
      <w:r w:rsidR="00BF2A74">
        <w:rPr>
          <w:rFonts w:ascii="Times New Roman" w:hAnsi="Times New Roman" w:cs="Times New Roman"/>
          <w:sz w:val="24"/>
          <w:szCs w:val="24"/>
        </w:rPr>
        <w:t>rfering RNA (</w:t>
      </w:r>
      <w:proofErr w:type="spellStart"/>
      <w:r w:rsidR="00BF2A74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="00BF2A74">
        <w:rPr>
          <w:rFonts w:ascii="Times New Roman" w:hAnsi="Times New Roman" w:cs="Times New Roman"/>
          <w:sz w:val="24"/>
          <w:szCs w:val="24"/>
        </w:rPr>
        <w:t>) for EGFR,</w:t>
      </w:r>
      <w:r w:rsidR="00BF2A74" w:rsidRPr="005C3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A74" w:rsidRPr="005C34BD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="00BF2A74" w:rsidRPr="005C34BD">
        <w:rPr>
          <w:rFonts w:ascii="Times New Roman" w:hAnsi="Times New Roman" w:cs="Times New Roman"/>
          <w:sz w:val="24"/>
          <w:szCs w:val="24"/>
        </w:rPr>
        <w:t xml:space="preserve"> </w:t>
      </w:r>
      <w:r w:rsidR="00BF2A74">
        <w:rPr>
          <w:rFonts w:ascii="Times New Roman" w:hAnsi="Times New Roman" w:cs="Times New Roman"/>
          <w:sz w:val="24"/>
          <w:szCs w:val="24"/>
        </w:rPr>
        <w:t xml:space="preserve">and negative control </w:t>
      </w:r>
      <w:r w:rsidR="00BF2A74" w:rsidRPr="005C34BD">
        <w:rPr>
          <w:rFonts w:ascii="Times New Roman" w:hAnsi="Times New Roman" w:cs="Times New Roman"/>
          <w:sz w:val="24"/>
          <w:szCs w:val="24"/>
        </w:rPr>
        <w:t xml:space="preserve">were obtained from Life Technologies. </w:t>
      </w:r>
      <w:r w:rsidRPr="005C34BD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validation, cells were transfected with EGFR or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siRNAs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(5 and 50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/L) using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Lipofectamine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2000 (Invitrogen) in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Opti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-MEM (Invitrogen). 48 or 72 hours after transfection, Western blot analysis for EGFR or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protein expression was done. For the assessment of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effects on cell survival and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signalling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, cells were transfected with EGFR or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. 24 hours after transfection, cells received treatment with </w:t>
      </w:r>
      <w:proofErr w:type="spellStart"/>
      <w:r w:rsidRPr="005C34BD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Pr="005C34BD">
        <w:rPr>
          <w:rFonts w:ascii="Times New Roman" w:hAnsi="Times New Roman" w:cs="Times New Roman"/>
          <w:sz w:val="24"/>
          <w:szCs w:val="24"/>
        </w:rPr>
        <w:t xml:space="preserve"> and cell survival was determined 48 h later.</w:t>
      </w:r>
    </w:p>
    <w:p w:rsidR="005A2B24" w:rsidRDefault="005A2B24" w:rsidP="0027753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2B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Quantification of </w:t>
      </w:r>
      <w:proofErr w:type="spellStart"/>
      <w:r w:rsidRPr="005A2B24">
        <w:rPr>
          <w:rFonts w:ascii="Times New Roman" w:hAnsi="Times New Roman" w:cs="Times New Roman"/>
          <w:b/>
          <w:sz w:val="24"/>
          <w:szCs w:val="24"/>
          <w:lang w:val="en-US"/>
        </w:rPr>
        <w:t>Alu</w:t>
      </w:r>
      <w:proofErr w:type="spellEnd"/>
      <w:r w:rsidRPr="005A2B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sequences for experimental metastasis assay.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Genomic DNA was extracted using</w:t>
      </w:r>
      <w:r w:rsidRPr="003F4288">
        <w:rPr>
          <w:rFonts w:ascii="Times New Roman" w:hAnsi="Times New Roman" w:cs="Times New Roman"/>
          <w:color w:val="241F20"/>
          <w:sz w:val="24"/>
          <w:szCs w:val="24"/>
          <w:lang w:val="en-US"/>
        </w:rPr>
        <w:t xml:space="preserve"> </w:t>
      </w:r>
      <w:proofErr w:type="spellStart"/>
      <w:r w:rsidRPr="003F4288">
        <w:rPr>
          <w:rFonts w:ascii="Times New Roman" w:hAnsi="Times New Roman" w:cs="Times New Roman"/>
          <w:color w:val="241F20"/>
          <w:sz w:val="24"/>
          <w:szCs w:val="24"/>
          <w:lang w:val="en-US"/>
        </w:rPr>
        <w:t>QIAamp</w:t>
      </w:r>
      <w:proofErr w:type="spellEnd"/>
      <w:r w:rsidRPr="003F4288">
        <w:rPr>
          <w:rFonts w:ascii="Times New Roman" w:hAnsi="Times New Roman" w:cs="Times New Roman"/>
          <w:color w:val="241F20"/>
          <w:sz w:val="24"/>
          <w:szCs w:val="24"/>
          <w:lang w:val="en-US"/>
        </w:rPr>
        <w:t xml:space="preserve"> DNA Mini Kit (</w:t>
      </w:r>
      <w:proofErr w:type="spellStart"/>
      <w:r w:rsidRPr="003F4288">
        <w:rPr>
          <w:rFonts w:ascii="Times New Roman" w:hAnsi="Times New Roman" w:cs="Times New Roman"/>
          <w:color w:val="241F20"/>
          <w:sz w:val="24"/>
          <w:szCs w:val="24"/>
          <w:lang w:val="en-US"/>
        </w:rPr>
        <w:t>Qiagen</w:t>
      </w:r>
      <w:proofErr w:type="spellEnd"/>
      <w:r w:rsidRPr="003F4288">
        <w:rPr>
          <w:rFonts w:ascii="Times New Roman" w:hAnsi="Times New Roman" w:cs="Times New Roman"/>
          <w:color w:val="241F20"/>
          <w:sz w:val="24"/>
          <w:szCs w:val="24"/>
          <w:lang w:val="en-US"/>
        </w:rPr>
        <w:t>, Crawley, West Sussex, UK)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following the manufacturer’s protocol. To measure only the concentration of double-stranded DNA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BIORAD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Experion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1K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Experion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DNA Kit (BIORAD, Milan, Italy) were used according to the manufacturer’s instruction.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DNA Master Power SYBR Green Kit (Applied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Biosystems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, Monza, Italy) was used for PCR reactions on the PCR 7500 Fast instrument (Applied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Biosystems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). Different specific primers used for human </w:t>
      </w:r>
      <w:proofErr w:type="spellStart"/>
      <w:r w:rsidRPr="001D7DA8">
        <w:rPr>
          <w:rFonts w:ascii="Times New Roman" w:hAnsi="Times New Roman" w:cs="Times New Roman"/>
          <w:i/>
          <w:iCs/>
          <w:sz w:val="24"/>
          <w:szCs w:val="24"/>
          <w:lang w:val="en-US"/>
        </w:rPr>
        <w:t>Alu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sequences were previously reported by Schneider et al. For each PCR reaction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10 ng of genomic DNA were used as template in a total volume reaction of 12.5 </w:t>
      </w:r>
      <w:r w:rsidRPr="001D7DA8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l containing 1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x</w:t>
      </w:r>
      <w:r w:rsidRPr="003F4288">
        <w:rPr>
          <w:rFonts w:ascii="Times New Roman" w:eastAsia="MTSYN" w:hAnsi="Times New Roman" w:cs="Times New Roman"/>
          <w:sz w:val="24"/>
          <w:szCs w:val="24"/>
          <w:lang w:val="en-US"/>
        </w:rPr>
        <w:t xml:space="preserve"> 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DNA Master Power SYBR Green including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Taq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polymerase, buffer, a </w:t>
      </w:r>
      <w:proofErr w:type="spellStart"/>
      <w:r w:rsidRPr="003F4288">
        <w:rPr>
          <w:rFonts w:ascii="Times New Roman" w:hAnsi="Times New Roman" w:cs="Times New Roman"/>
          <w:sz w:val="24"/>
          <w:szCs w:val="24"/>
          <w:lang w:val="en-US"/>
        </w:rPr>
        <w:t>dNTP</w:t>
      </w:r>
      <w:proofErr w:type="spellEnd"/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mixture and MgCl</w:t>
      </w:r>
      <w:r w:rsidRPr="003F428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2.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The following PCR thermal protocol was used: 95</w:t>
      </w:r>
      <w:r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5 min, 95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10 s, 65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5 s, 72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10 s, 84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1 s (measuring of fluorescence) and 25 cycles were run. Then melting curve analysis was performed at 95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 for 10 s, 60</w:t>
      </w:r>
      <w:r>
        <w:rPr>
          <w:rFonts w:ascii="Times New Roman" w:eastAsia="MTSY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>C for 15 s and 95°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for 10 s with a gradient of 0,1°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>C/s. Basing on a standard curve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quantification of human in m</w:t>
      </w:r>
      <w:r>
        <w:rPr>
          <w:rFonts w:ascii="Times New Roman" w:hAnsi="Times New Roman" w:cs="Times New Roman"/>
          <w:sz w:val="24"/>
          <w:szCs w:val="24"/>
          <w:lang w:val="en-US"/>
        </w:rPr>
        <w:t>ouse</w:t>
      </w:r>
      <w:r w:rsidRPr="003F4288">
        <w:rPr>
          <w:rFonts w:ascii="Times New Roman" w:hAnsi="Times New Roman" w:cs="Times New Roman"/>
          <w:sz w:val="24"/>
          <w:szCs w:val="24"/>
          <w:lang w:val="en-US"/>
        </w:rPr>
        <w:t xml:space="preserve"> DNA was carried out using human genomic DNA isolated from human blood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E0D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D0699" w:rsidRPr="000D0699" w:rsidRDefault="000D0699" w:rsidP="0027753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02B48" w:rsidRPr="005A2B24" w:rsidRDefault="00A02B48">
      <w:pPr>
        <w:rPr>
          <w:lang w:val="en-GB"/>
        </w:rPr>
      </w:pPr>
    </w:p>
    <w:sectPr w:rsidR="00A02B48" w:rsidRPr="005A2B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TSY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7A"/>
    <w:rsid w:val="000D0699"/>
    <w:rsid w:val="0013716B"/>
    <w:rsid w:val="001B5EB2"/>
    <w:rsid w:val="001D0B7C"/>
    <w:rsid w:val="00277538"/>
    <w:rsid w:val="005A2B24"/>
    <w:rsid w:val="005C0AFA"/>
    <w:rsid w:val="00727A6E"/>
    <w:rsid w:val="00881B4A"/>
    <w:rsid w:val="00A02B48"/>
    <w:rsid w:val="00A51C72"/>
    <w:rsid w:val="00B0367A"/>
    <w:rsid w:val="00BF2A74"/>
    <w:rsid w:val="00D6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2B24"/>
    <w:pPr>
      <w:spacing w:before="100" w:beforeAutospacing="1" w:after="100" w:afterAutospacing="1"/>
      <w:jc w:val="both"/>
    </w:pPr>
    <w:rPr>
      <w:rFonts w:ascii="Calibri" w:eastAsia="Times New Roman" w:hAnsi="Calibri" w:cs="Calibri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2B24"/>
    <w:pPr>
      <w:spacing w:before="100" w:beforeAutospacing="1" w:after="100" w:afterAutospacing="1"/>
      <w:jc w:val="both"/>
    </w:pPr>
    <w:rPr>
      <w:rFonts w:ascii="Calibri" w:eastAsia="Times New Roman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Dott.ssa Rosa Roberta</dc:creator>
  <cp:lastModifiedBy>Dott. Formisano Luigi</cp:lastModifiedBy>
  <cp:revision>6</cp:revision>
  <dcterms:created xsi:type="dcterms:W3CDTF">2013-02-12T10:13:00Z</dcterms:created>
  <dcterms:modified xsi:type="dcterms:W3CDTF">2014-01-15T09:05:00Z</dcterms:modified>
</cp:coreProperties>
</file>