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D6D02" w:rsidRPr="00101E53" w:rsidRDefault="002D6D02" w:rsidP="002D6D02">
      <w:pPr>
        <w:spacing w:line="480" w:lineRule="auto"/>
        <w:rPr>
          <w:rFonts w:ascii="Arial" w:hAnsi="Arial" w:cs="Arial"/>
          <w:b/>
          <w:lang w:val="en-US"/>
        </w:rPr>
      </w:pPr>
      <w:bookmarkStart w:id="0" w:name="_GoBack"/>
      <w:bookmarkEnd w:id="0"/>
      <w:r w:rsidRPr="00101E53">
        <w:rPr>
          <w:rFonts w:ascii="Arial" w:hAnsi="Arial" w:cs="Arial"/>
          <w:b/>
          <w:lang w:val="en-US"/>
        </w:rPr>
        <w:t>Supplementary methods</w:t>
      </w:r>
    </w:p>
    <w:p w:rsidR="00BE1EF3" w:rsidRPr="00101E53" w:rsidRDefault="00D84417" w:rsidP="002D6D02">
      <w:pPr>
        <w:spacing w:line="480" w:lineRule="auto"/>
        <w:rPr>
          <w:rFonts w:ascii="Arial" w:hAnsi="Arial" w:cs="Arial"/>
          <w:lang w:val="en-US"/>
        </w:rPr>
      </w:pPr>
      <w:r w:rsidRPr="00101E53">
        <w:rPr>
          <w:rFonts w:ascii="Arial" w:hAnsi="Arial" w:cs="Arial"/>
          <w:i/>
          <w:lang w:val="en-US"/>
        </w:rPr>
        <w:t>Sample preparation</w:t>
      </w:r>
    </w:p>
    <w:p w:rsidR="00D84417" w:rsidRPr="00101E53" w:rsidRDefault="002D6D02" w:rsidP="002D6D02">
      <w:pPr>
        <w:spacing w:line="480" w:lineRule="auto"/>
        <w:rPr>
          <w:rFonts w:ascii="Arial" w:hAnsi="Arial" w:cs="Arial"/>
          <w:lang w:val="en-US"/>
        </w:rPr>
      </w:pPr>
      <w:r w:rsidRPr="00101E53">
        <w:rPr>
          <w:rFonts w:ascii="Arial" w:hAnsi="Arial" w:cs="Arial"/>
          <w:lang w:val="en-US"/>
        </w:rPr>
        <w:t xml:space="preserve">Tissue processing, IHC, FISH, RNA extraction, </w:t>
      </w:r>
      <w:proofErr w:type="spellStart"/>
      <w:r w:rsidRPr="00101E53">
        <w:rPr>
          <w:rFonts w:ascii="Arial" w:hAnsi="Arial" w:cs="Arial"/>
          <w:lang w:val="en-US"/>
        </w:rPr>
        <w:t>qRT</w:t>
      </w:r>
      <w:proofErr w:type="spellEnd"/>
      <w:r w:rsidRPr="00101E53">
        <w:rPr>
          <w:rFonts w:ascii="Arial" w:hAnsi="Arial" w:cs="Arial"/>
          <w:lang w:val="en-US"/>
        </w:rPr>
        <w:t xml:space="preserve">-PCR and DNA isolation were performed centrally by </w:t>
      </w:r>
      <w:proofErr w:type="spellStart"/>
      <w:r w:rsidRPr="00101E53">
        <w:rPr>
          <w:rFonts w:ascii="Arial" w:hAnsi="Arial" w:cs="Arial"/>
          <w:lang w:val="en-US"/>
        </w:rPr>
        <w:t>Targos</w:t>
      </w:r>
      <w:proofErr w:type="spellEnd"/>
      <w:r w:rsidRPr="00101E53">
        <w:rPr>
          <w:rFonts w:ascii="Arial" w:hAnsi="Arial" w:cs="Arial"/>
          <w:lang w:val="en-US"/>
        </w:rPr>
        <w:t xml:space="preserve"> Molecular Pathology GmbH, Germany. </w:t>
      </w:r>
      <w:proofErr w:type="spellStart"/>
      <w:r w:rsidRPr="00101E53">
        <w:rPr>
          <w:rFonts w:ascii="Arial" w:hAnsi="Arial" w:cs="Arial"/>
          <w:lang w:val="en-US"/>
        </w:rPr>
        <w:t>Targos</w:t>
      </w:r>
      <w:proofErr w:type="spellEnd"/>
      <w:r w:rsidRPr="00101E53">
        <w:rPr>
          <w:rFonts w:ascii="Arial" w:hAnsi="Arial" w:cs="Arial"/>
          <w:lang w:val="en-US"/>
        </w:rPr>
        <w:t xml:space="preserve"> were supplied with, and adhered to, protocols and processing instructions that were developed in-house at Roche Diagnostics. Commercially available assays or kits were employed, where specified, and performed according to the manufacturer’s instructions</w:t>
      </w:r>
      <w:r w:rsidR="00101E53" w:rsidRPr="00101E53">
        <w:rPr>
          <w:rFonts w:ascii="Arial" w:hAnsi="Arial" w:cs="Arial"/>
          <w:lang w:val="en-US"/>
        </w:rPr>
        <w:t>.</w:t>
      </w:r>
      <w:r w:rsidRPr="00101E53">
        <w:rPr>
          <w:rFonts w:ascii="Arial" w:hAnsi="Arial" w:cs="Arial"/>
          <w:lang w:val="en-US"/>
        </w:rPr>
        <w:t xml:space="preserve"> </w:t>
      </w:r>
    </w:p>
    <w:p w:rsidR="00BE1EF3" w:rsidRPr="00101E53" w:rsidRDefault="00BE1EF3" w:rsidP="002D6D02">
      <w:pPr>
        <w:spacing w:line="480" w:lineRule="auto"/>
        <w:rPr>
          <w:rFonts w:ascii="Arial" w:hAnsi="Arial" w:cs="Arial"/>
          <w:lang w:val="en-US"/>
        </w:rPr>
      </w:pPr>
      <w:r w:rsidRPr="00101E53">
        <w:rPr>
          <w:rFonts w:ascii="Arial" w:hAnsi="Arial" w:cs="Arial"/>
          <w:i/>
          <w:lang w:val="en-US"/>
        </w:rPr>
        <w:t>Validation of biomarker assays</w:t>
      </w:r>
    </w:p>
    <w:p w:rsidR="002D6D02" w:rsidRPr="00101E53" w:rsidRDefault="000F7CBA" w:rsidP="002D6D02">
      <w:pPr>
        <w:spacing w:line="480" w:lineRule="auto"/>
        <w:rPr>
          <w:rFonts w:ascii="Arial" w:hAnsi="Arial" w:cs="Arial"/>
          <w:lang w:val="en-US"/>
        </w:rPr>
      </w:pPr>
      <w:r w:rsidRPr="00101E53">
        <w:rPr>
          <w:rFonts w:ascii="Arial" w:hAnsi="Arial" w:cs="Arial"/>
          <w:lang w:val="en-US"/>
        </w:rPr>
        <w:t>A number of the assays and antibodies used</w:t>
      </w:r>
      <w:r w:rsidR="00D606CF" w:rsidRPr="00101E53">
        <w:rPr>
          <w:rFonts w:ascii="Arial" w:hAnsi="Arial" w:cs="Arial"/>
          <w:lang w:val="en-US"/>
        </w:rPr>
        <w:t xml:space="preserve"> to assess</w:t>
      </w:r>
      <w:r w:rsidRPr="00101E53">
        <w:rPr>
          <w:rFonts w:ascii="Arial" w:hAnsi="Arial" w:cs="Arial"/>
          <w:lang w:val="en-US"/>
        </w:rPr>
        <w:t xml:space="preserve"> biomarkers in the TRYPHAENA study were commercially available and have been validated by the manufacturer. Immunohistochemistry</w:t>
      </w:r>
      <w:r w:rsidR="002D6D02" w:rsidRPr="00101E53">
        <w:rPr>
          <w:rFonts w:ascii="Arial" w:hAnsi="Arial" w:cs="Arial"/>
          <w:lang w:val="en-US"/>
        </w:rPr>
        <w:t xml:space="preserve"> was performed on 4 </w:t>
      </w:r>
      <w:proofErr w:type="spellStart"/>
      <w:r w:rsidR="002D6D02" w:rsidRPr="00101E53">
        <w:rPr>
          <w:rFonts w:ascii="Arial" w:hAnsi="Arial" w:cs="Arial"/>
          <w:lang w:val="en-US"/>
        </w:rPr>
        <w:t>μm</w:t>
      </w:r>
      <w:proofErr w:type="spellEnd"/>
      <w:r w:rsidR="002D6D02" w:rsidRPr="00101E53">
        <w:rPr>
          <w:rFonts w:ascii="Arial" w:hAnsi="Arial" w:cs="Arial"/>
          <w:lang w:val="en-US"/>
        </w:rPr>
        <w:t xml:space="preserve"> tumor tissue sections according to specified instructions that were developed internally and that were aligned with manufacturer’s instructions for the commercially available assays.</w:t>
      </w:r>
      <w:r w:rsidRPr="00101E53">
        <w:rPr>
          <w:rFonts w:ascii="Arial" w:hAnsi="Arial" w:cs="Arial"/>
          <w:lang w:val="en-US"/>
        </w:rPr>
        <w:t xml:space="preserve"> </w:t>
      </w:r>
      <w:r w:rsidR="002D6D02" w:rsidRPr="00101E53">
        <w:rPr>
          <w:rFonts w:ascii="Arial" w:hAnsi="Arial" w:cs="Arial"/>
          <w:lang w:val="en-US"/>
        </w:rPr>
        <w:t xml:space="preserve">HER2 levels were assessed using the </w:t>
      </w:r>
      <w:proofErr w:type="spellStart"/>
      <w:r w:rsidR="002D6D02" w:rsidRPr="00101E53">
        <w:rPr>
          <w:rFonts w:ascii="Arial" w:hAnsi="Arial" w:cs="Arial"/>
          <w:lang w:val="en-US"/>
        </w:rPr>
        <w:t>Ventana</w:t>
      </w:r>
      <w:proofErr w:type="spellEnd"/>
      <w:r w:rsidR="002D6D02" w:rsidRPr="00101E53">
        <w:rPr>
          <w:rFonts w:ascii="Arial" w:hAnsi="Arial" w:cs="Arial"/>
          <w:lang w:val="en-US"/>
        </w:rPr>
        <w:t xml:space="preserve"> Pathway 4B5™ kit. All other proteins were detected using commercially available monoclonal antibodies (IGF-1R</w:t>
      </w:r>
      <w:r w:rsidR="0098099B">
        <w:rPr>
          <w:rFonts w:ascii="Arial" w:hAnsi="Arial" w:cs="Arial"/>
          <w:lang w:val="en-US"/>
        </w:rPr>
        <w:t>, clone</w:t>
      </w:r>
      <w:r w:rsidR="00575BA0">
        <w:rPr>
          <w:rFonts w:ascii="Arial" w:hAnsi="Arial" w:cs="Arial"/>
          <w:lang w:val="en-US"/>
        </w:rPr>
        <w:t xml:space="preserve"> G11 from </w:t>
      </w:r>
      <w:proofErr w:type="spellStart"/>
      <w:r w:rsidR="00575BA0">
        <w:rPr>
          <w:rFonts w:ascii="Arial" w:hAnsi="Arial" w:cs="Arial"/>
          <w:lang w:val="en-US"/>
        </w:rPr>
        <w:t>Ventana</w:t>
      </w:r>
      <w:proofErr w:type="spellEnd"/>
      <w:r w:rsidR="00575BA0">
        <w:rPr>
          <w:rFonts w:ascii="Arial" w:hAnsi="Arial" w:cs="Arial"/>
          <w:lang w:val="en-US"/>
        </w:rPr>
        <w:t>;</w:t>
      </w:r>
      <w:r w:rsidR="002D6D02" w:rsidRPr="00101E53">
        <w:rPr>
          <w:rFonts w:ascii="Arial" w:hAnsi="Arial" w:cs="Arial"/>
          <w:lang w:val="en-US"/>
        </w:rPr>
        <w:t xml:space="preserve"> mouse anti-human HER3</w:t>
      </w:r>
      <w:r w:rsidR="0098099B">
        <w:rPr>
          <w:rFonts w:ascii="Arial" w:hAnsi="Arial" w:cs="Arial"/>
          <w:lang w:val="en-US"/>
        </w:rPr>
        <w:t xml:space="preserve">, </w:t>
      </w:r>
      <w:r w:rsidR="0098099B" w:rsidRPr="00575BA0">
        <w:rPr>
          <w:rFonts w:ascii="Arial" w:hAnsi="Arial" w:cs="Arial"/>
          <w:lang w:val="en-US"/>
        </w:rPr>
        <w:t>clone DAK-H3-IC</w:t>
      </w:r>
      <w:r w:rsidR="00526653" w:rsidRPr="00575BA0">
        <w:rPr>
          <w:rFonts w:ascii="Arial" w:hAnsi="Arial" w:cs="Arial"/>
          <w:lang w:val="en-US"/>
        </w:rPr>
        <w:t xml:space="preserve"> code</w:t>
      </w:r>
      <w:r w:rsidR="002D6D02" w:rsidRPr="00575BA0">
        <w:rPr>
          <w:rFonts w:ascii="Arial" w:hAnsi="Arial" w:cs="Arial"/>
          <w:lang w:val="en-US"/>
        </w:rPr>
        <w:t xml:space="preserve"> M7297 from DAKO</w:t>
      </w:r>
      <w:r w:rsidR="00575BA0">
        <w:rPr>
          <w:rFonts w:ascii="Arial" w:hAnsi="Arial" w:cs="Arial"/>
          <w:lang w:val="en-US"/>
        </w:rPr>
        <w:t>;</w:t>
      </w:r>
      <w:r w:rsidR="002D6D02" w:rsidRPr="00101E53">
        <w:rPr>
          <w:rFonts w:ascii="Arial" w:hAnsi="Arial" w:cs="Arial"/>
          <w:lang w:val="en-US"/>
        </w:rPr>
        <w:t xml:space="preserve"> anti-human EGFR clone 3C6 from </w:t>
      </w:r>
      <w:proofErr w:type="spellStart"/>
      <w:r w:rsidR="002D6D02" w:rsidRPr="00101E53">
        <w:rPr>
          <w:rFonts w:ascii="Arial" w:hAnsi="Arial" w:cs="Arial"/>
          <w:lang w:val="en-US"/>
        </w:rPr>
        <w:t>Ventana</w:t>
      </w:r>
      <w:proofErr w:type="spellEnd"/>
      <w:r w:rsidR="00575BA0">
        <w:rPr>
          <w:rFonts w:ascii="Arial" w:hAnsi="Arial" w:cs="Arial"/>
          <w:lang w:val="en-US"/>
        </w:rPr>
        <w:t>;</w:t>
      </w:r>
      <w:r w:rsidR="002D6D02" w:rsidRPr="00101E53">
        <w:rPr>
          <w:rFonts w:ascii="Arial" w:hAnsi="Arial" w:cs="Arial"/>
          <w:lang w:val="en-US"/>
        </w:rPr>
        <w:t xml:space="preserve"> PTEN</w:t>
      </w:r>
      <w:r w:rsidR="0098099B">
        <w:rPr>
          <w:rFonts w:ascii="Arial" w:hAnsi="Arial" w:cs="Arial"/>
          <w:lang w:val="en-US"/>
        </w:rPr>
        <w:t>, clone 138G6</w:t>
      </w:r>
      <w:r w:rsidR="002D6D02" w:rsidRPr="00101E53">
        <w:rPr>
          <w:rFonts w:ascii="Arial" w:hAnsi="Arial" w:cs="Arial"/>
          <w:lang w:val="en-US"/>
        </w:rPr>
        <w:t xml:space="preserve"> from Cell Signaling).</w:t>
      </w:r>
      <w:r w:rsidRPr="00101E53">
        <w:rPr>
          <w:rFonts w:ascii="Arial" w:hAnsi="Arial" w:cs="Arial"/>
          <w:lang w:val="en-US"/>
        </w:rPr>
        <w:t xml:space="preserve"> </w:t>
      </w:r>
      <w:r w:rsidRPr="00101E53">
        <w:rPr>
          <w:rFonts w:ascii="Arial" w:hAnsi="Arial" w:cs="Arial"/>
          <w:lang w:val="en-US"/>
        </w:rPr>
        <w:br/>
        <w:t>In some cases, additional ‘in-house’ validation of assays was required. For</w:t>
      </w:r>
      <w:r w:rsidR="00D606CF" w:rsidRPr="00101E53">
        <w:rPr>
          <w:rFonts w:ascii="Arial" w:hAnsi="Arial" w:cs="Arial"/>
          <w:lang w:val="en-US"/>
        </w:rPr>
        <w:t xml:space="preserve"> the</w:t>
      </w:r>
      <w:r w:rsidRPr="00101E53">
        <w:rPr>
          <w:rFonts w:ascii="Arial" w:hAnsi="Arial" w:cs="Arial"/>
          <w:lang w:val="en-US"/>
        </w:rPr>
        <w:t xml:space="preserve"> HER3</w:t>
      </w:r>
      <w:r w:rsidR="00D606CF" w:rsidRPr="00101E53">
        <w:rPr>
          <w:rFonts w:ascii="Arial" w:hAnsi="Arial" w:cs="Arial"/>
          <w:lang w:val="en-US"/>
        </w:rPr>
        <w:t xml:space="preserve"> </w:t>
      </w:r>
      <w:r w:rsidR="007A3A28" w:rsidRPr="00101E53">
        <w:rPr>
          <w:rFonts w:ascii="Arial" w:hAnsi="Arial" w:cs="Arial"/>
          <w:lang w:val="en-US"/>
        </w:rPr>
        <w:t>antibody</w:t>
      </w:r>
      <w:r w:rsidRPr="00101E53">
        <w:rPr>
          <w:rFonts w:ascii="Arial" w:hAnsi="Arial" w:cs="Arial"/>
          <w:lang w:val="en-US"/>
        </w:rPr>
        <w:t>, p</w:t>
      </w:r>
      <w:r w:rsidR="002D6D02" w:rsidRPr="00101E53">
        <w:rPr>
          <w:rFonts w:ascii="Arial" w:hAnsi="Arial" w:cs="Arial"/>
          <w:lang w:val="en-US"/>
        </w:rPr>
        <w:t xml:space="preserve">araffin-embedded cell pellets obtained from cell lines transfected to express either HER1, HER2, HER3 or HER4 </w:t>
      </w:r>
      <w:r w:rsidR="00D606CF" w:rsidRPr="00101E53">
        <w:rPr>
          <w:rFonts w:ascii="Arial" w:hAnsi="Arial" w:cs="Arial"/>
          <w:lang w:val="en-US"/>
        </w:rPr>
        <w:t>were used to show</w:t>
      </w:r>
      <w:r w:rsidR="002D6D02" w:rsidRPr="00101E53">
        <w:rPr>
          <w:rFonts w:ascii="Arial" w:hAnsi="Arial" w:cs="Arial"/>
          <w:lang w:val="en-US"/>
        </w:rPr>
        <w:t xml:space="preserve"> specific staining of HER3 transfected cells with no or minimal staining for HER1 and HER2 and no staining for HER4. Corresponding Western blot experiments showed specific reactivity </w:t>
      </w:r>
      <w:r w:rsidR="00D606CF" w:rsidRPr="00101E53">
        <w:rPr>
          <w:rFonts w:ascii="Arial" w:hAnsi="Arial" w:cs="Arial"/>
          <w:lang w:val="en-US"/>
        </w:rPr>
        <w:t xml:space="preserve">of the antibody </w:t>
      </w:r>
      <w:r w:rsidR="002D6D02" w:rsidRPr="00101E53">
        <w:rPr>
          <w:rFonts w:ascii="Arial" w:hAnsi="Arial" w:cs="Arial"/>
          <w:lang w:val="en-US"/>
        </w:rPr>
        <w:t xml:space="preserve">with the HER3 protein and no cross reactivity with other HER family proteins. </w:t>
      </w:r>
      <w:r w:rsidR="00985A56" w:rsidRPr="00101E53">
        <w:rPr>
          <w:rFonts w:ascii="Arial" w:hAnsi="Arial" w:cs="Arial"/>
          <w:lang w:val="en-US"/>
        </w:rPr>
        <w:br/>
      </w:r>
      <w:r w:rsidR="007A3A28" w:rsidRPr="00101E53">
        <w:rPr>
          <w:rFonts w:ascii="Arial" w:hAnsi="Arial" w:cs="Arial"/>
          <w:lang w:val="en-US"/>
        </w:rPr>
        <w:t>Specificity of the</w:t>
      </w:r>
      <w:r w:rsidR="002D6D02" w:rsidRPr="00101E53">
        <w:rPr>
          <w:rFonts w:ascii="Arial" w:hAnsi="Arial" w:cs="Arial"/>
          <w:lang w:val="en-US"/>
        </w:rPr>
        <w:t xml:space="preserve"> IGF-1R </w:t>
      </w:r>
      <w:r w:rsidR="007A3A28" w:rsidRPr="00101E53">
        <w:rPr>
          <w:rFonts w:ascii="Arial" w:hAnsi="Arial" w:cs="Arial"/>
          <w:lang w:val="en-US"/>
        </w:rPr>
        <w:t xml:space="preserve">antibody </w:t>
      </w:r>
      <w:r w:rsidR="002D6D02" w:rsidRPr="00101E53">
        <w:rPr>
          <w:rFonts w:ascii="Arial" w:hAnsi="Arial" w:cs="Arial"/>
          <w:lang w:val="en-US"/>
        </w:rPr>
        <w:t xml:space="preserve">was confirmed by peptide inhibition studies where </w:t>
      </w:r>
      <w:r w:rsidR="007A3A28" w:rsidRPr="00101E53">
        <w:rPr>
          <w:rFonts w:ascii="Arial" w:hAnsi="Arial" w:cs="Arial"/>
          <w:lang w:val="en-US"/>
        </w:rPr>
        <w:t>incubation</w:t>
      </w:r>
      <w:r w:rsidR="002D6D02" w:rsidRPr="00101E53">
        <w:rPr>
          <w:rFonts w:ascii="Arial" w:hAnsi="Arial" w:cs="Arial"/>
          <w:lang w:val="en-US"/>
        </w:rPr>
        <w:t xml:space="preserve"> with a synthetic IGF-1R peptide</w:t>
      </w:r>
      <w:r w:rsidR="007A3A28" w:rsidRPr="00101E53">
        <w:rPr>
          <w:rFonts w:ascii="Arial" w:hAnsi="Arial" w:cs="Arial"/>
          <w:lang w:val="en-US"/>
        </w:rPr>
        <w:t xml:space="preserve"> was observed to inhibit</w:t>
      </w:r>
      <w:r w:rsidR="002D6D02" w:rsidRPr="00101E53">
        <w:rPr>
          <w:rFonts w:ascii="Arial" w:hAnsi="Arial" w:cs="Arial"/>
          <w:lang w:val="en-US"/>
        </w:rPr>
        <w:t xml:space="preserve"> antibody binding to IGF-1R in tissue</w:t>
      </w:r>
      <w:r w:rsidR="00575BA0">
        <w:rPr>
          <w:rFonts w:ascii="Arial" w:hAnsi="Arial" w:cs="Arial"/>
          <w:lang w:val="en-US"/>
        </w:rPr>
        <w:t xml:space="preserve"> (</w:t>
      </w:r>
      <w:r w:rsidR="00526653">
        <w:rPr>
          <w:rFonts w:ascii="Arial" w:hAnsi="Arial" w:cs="Arial"/>
          <w:lang w:val="en-US"/>
        </w:rPr>
        <w:t>also</w:t>
      </w:r>
      <w:r w:rsidR="00575BA0">
        <w:rPr>
          <w:rFonts w:ascii="Arial" w:hAnsi="Arial" w:cs="Arial"/>
          <w:lang w:val="en-US"/>
        </w:rPr>
        <w:t xml:space="preserve"> see</w:t>
      </w:r>
      <w:r w:rsidR="00526653">
        <w:rPr>
          <w:rFonts w:ascii="Arial" w:hAnsi="Arial" w:cs="Arial"/>
          <w:lang w:val="en-US"/>
        </w:rPr>
        <w:t xml:space="preserve"> package insert)</w:t>
      </w:r>
      <w:r w:rsidR="002D6D02" w:rsidRPr="00101E53">
        <w:rPr>
          <w:rFonts w:ascii="Arial" w:hAnsi="Arial" w:cs="Arial"/>
          <w:lang w:val="en-US"/>
        </w:rPr>
        <w:t xml:space="preserve">. Further specificity and sensitivity analyses were </w:t>
      </w:r>
      <w:r w:rsidR="002D6D02" w:rsidRPr="00101E53">
        <w:rPr>
          <w:rFonts w:ascii="Arial" w:hAnsi="Arial" w:cs="Arial"/>
          <w:lang w:val="en-US"/>
        </w:rPr>
        <w:lastRenderedPageBreak/>
        <w:t>performed based on normal and neoplastic tissue as described in the package insert.</w:t>
      </w:r>
      <w:r w:rsidR="00985A56" w:rsidRPr="00101E53">
        <w:rPr>
          <w:rFonts w:ascii="Arial" w:hAnsi="Arial" w:cs="Arial"/>
          <w:lang w:val="en-US"/>
        </w:rPr>
        <w:br/>
      </w:r>
      <w:r w:rsidRPr="00101E53">
        <w:rPr>
          <w:rFonts w:ascii="Arial" w:hAnsi="Arial" w:cs="Arial"/>
          <w:lang w:val="en-US"/>
        </w:rPr>
        <w:t xml:space="preserve">The </w:t>
      </w:r>
      <w:r w:rsidR="002D6D02" w:rsidRPr="00101E53">
        <w:rPr>
          <w:rFonts w:ascii="Arial" w:hAnsi="Arial" w:cs="Arial"/>
          <w:lang w:val="en-US"/>
        </w:rPr>
        <w:t xml:space="preserve">specificity </w:t>
      </w:r>
      <w:r w:rsidRPr="00101E53">
        <w:rPr>
          <w:rFonts w:ascii="Arial" w:hAnsi="Arial" w:cs="Arial"/>
          <w:lang w:val="en-US"/>
        </w:rPr>
        <w:t>of the PI3K assay (</w:t>
      </w:r>
      <w:proofErr w:type="spellStart"/>
      <w:r w:rsidRPr="00101E53">
        <w:rPr>
          <w:rFonts w:ascii="Arial" w:hAnsi="Arial" w:cs="Arial"/>
          <w:lang w:val="en-US"/>
        </w:rPr>
        <w:t>TaqMan</w:t>
      </w:r>
      <w:proofErr w:type="spellEnd"/>
      <w:r w:rsidRPr="00101E53">
        <w:rPr>
          <w:rFonts w:ascii="Arial" w:hAnsi="Arial" w:cs="Arial"/>
          <w:lang w:val="en-US"/>
        </w:rPr>
        <w:t xml:space="preserve"> based technology) </w:t>
      </w:r>
      <w:r w:rsidR="002D6D02" w:rsidRPr="00101E53">
        <w:rPr>
          <w:rFonts w:ascii="Arial" w:hAnsi="Arial" w:cs="Arial"/>
          <w:lang w:val="en-US"/>
        </w:rPr>
        <w:t xml:space="preserve">was tested using WT cell lines and a plasmid containing the PIK3CA </w:t>
      </w:r>
      <w:proofErr w:type="spellStart"/>
      <w:r w:rsidR="002D6D02" w:rsidRPr="00101E53">
        <w:rPr>
          <w:rFonts w:ascii="Arial" w:hAnsi="Arial" w:cs="Arial"/>
          <w:lang w:val="en-US"/>
        </w:rPr>
        <w:t>pseudogene</w:t>
      </w:r>
      <w:proofErr w:type="spellEnd"/>
      <w:r w:rsidR="002D6D02" w:rsidRPr="00101E53">
        <w:rPr>
          <w:rFonts w:ascii="Arial" w:hAnsi="Arial" w:cs="Arial"/>
          <w:lang w:val="en-US"/>
        </w:rPr>
        <w:t xml:space="preserve"> sequence. Cross-reactivity between mutations was tested with mutation-specific plasmids. The sensitivity/limit-of-detection of the assay was determined using mutant plasmid blended with WT cell line DNA to assess the effect of DNA input and mutation percentage. Sensitivity and specificity were further evaluated in a method correlation between the PIK3CA assay and Sanger sequencing of 144 breast cancer samples. A subset of the specimens was confirmed by 454 sequencing.</w:t>
      </w:r>
      <w:r w:rsidR="00985A56" w:rsidRPr="00101E53">
        <w:rPr>
          <w:rFonts w:ascii="Arial" w:hAnsi="Arial" w:cs="Arial"/>
          <w:lang w:val="en-US"/>
        </w:rPr>
        <w:br/>
      </w:r>
      <w:r w:rsidRPr="00101E53">
        <w:rPr>
          <w:rFonts w:ascii="Arial" w:hAnsi="Arial" w:cs="Arial"/>
          <w:lang w:val="en-US"/>
        </w:rPr>
        <w:t xml:space="preserve">For the </w:t>
      </w:r>
      <w:proofErr w:type="spellStart"/>
      <w:r w:rsidR="002D6D02" w:rsidRPr="00101E53">
        <w:rPr>
          <w:rFonts w:ascii="Arial" w:hAnsi="Arial" w:cs="Arial"/>
          <w:lang w:val="en-US"/>
        </w:rPr>
        <w:t>qRT</w:t>
      </w:r>
      <w:proofErr w:type="spellEnd"/>
      <w:r w:rsidR="002D6D02" w:rsidRPr="00101E53">
        <w:rPr>
          <w:rFonts w:ascii="Arial" w:hAnsi="Arial" w:cs="Arial"/>
          <w:lang w:val="en-US"/>
        </w:rPr>
        <w:t>-PCR assays for HER1, HER2, HER</w:t>
      </w:r>
      <w:r w:rsidRPr="00101E53">
        <w:rPr>
          <w:rFonts w:ascii="Arial" w:hAnsi="Arial" w:cs="Arial"/>
          <w:lang w:val="en-US"/>
        </w:rPr>
        <w:t xml:space="preserve">3, </w:t>
      </w:r>
      <w:proofErr w:type="spellStart"/>
      <w:r w:rsidRPr="00101E53">
        <w:rPr>
          <w:rFonts w:ascii="Arial" w:hAnsi="Arial" w:cs="Arial"/>
          <w:lang w:val="en-US"/>
        </w:rPr>
        <w:t>amphiregulin</w:t>
      </w:r>
      <w:proofErr w:type="spellEnd"/>
      <w:r w:rsidRPr="00101E53">
        <w:rPr>
          <w:rFonts w:ascii="Arial" w:hAnsi="Arial" w:cs="Arial"/>
          <w:lang w:val="en-US"/>
        </w:rPr>
        <w:t xml:space="preserve"> and </w:t>
      </w:r>
      <w:proofErr w:type="spellStart"/>
      <w:r w:rsidRPr="00101E53">
        <w:rPr>
          <w:rFonts w:ascii="Arial" w:hAnsi="Arial" w:cs="Arial"/>
          <w:lang w:val="en-US"/>
        </w:rPr>
        <w:t>betacellulin</w:t>
      </w:r>
      <w:proofErr w:type="spellEnd"/>
      <w:r w:rsidRPr="00101E53">
        <w:rPr>
          <w:rFonts w:ascii="Arial" w:hAnsi="Arial" w:cs="Arial"/>
          <w:lang w:val="en-US"/>
        </w:rPr>
        <w:t xml:space="preserve"> which </w:t>
      </w:r>
      <w:r w:rsidR="002D6D02" w:rsidRPr="00101E53">
        <w:rPr>
          <w:rFonts w:ascii="Arial" w:hAnsi="Arial" w:cs="Arial"/>
          <w:lang w:val="en-US"/>
        </w:rPr>
        <w:t>were perfo</w:t>
      </w:r>
      <w:r w:rsidRPr="00101E53">
        <w:rPr>
          <w:rFonts w:ascii="Arial" w:hAnsi="Arial" w:cs="Arial"/>
          <w:lang w:val="en-US"/>
        </w:rPr>
        <w:t xml:space="preserve">rmed on a Roche </w:t>
      </w:r>
      <w:proofErr w:type="spellStart"/>
      <w:r w:rsidRPr="00101E53">
        <w:rPr>
          <w:rFonts w:ascii="Arial" w:hAnsi="Arial" w:cs="Arial"/>
          <w:lang w:val="en-US"/>
        </w:rPr>
        <w:t>LightCycler</w:t>
      </w:r>
      <w:proofErr w:type="spellEnd"/>
      <w:r w:rsidRPr="00101E53">
        <w:rPr>
          <w:rFonts w:ascii="Arial" w:hAnsi="Arial" w:cs="Arial"/>
          <w:lang w:val="en-US"/>
        </w:rPr>
        <w:t xml:space="preserve"> 2.0, t</w:t>
      </w:r>
      <w:r w:rsidR="002D6D02" w:rsidRPr="00101E53">
        <w:rPr>
          <w:rFonts w:ascii="Arial" w:hAnsi="Arial" w:cs="Arial"/>
          <w:lang w:val="en-US"/>
        </w:rPr>
        <w:t>he assay linear range (upper and lower limit of quantitation) was determined using a dilution series of RNA</w:t>
      </w:r>
      <w:r w:rsidRPr="00101E53">
        <w:rPr>
          <w:rFonts w:ascii="Arial" w:hAnsi="Arial" w:cs="Arial"/>
          <w:lang w:val="en-US"/>
        </w:rPr>
        <w:t>. This RNA was</w:t>
      </w:r>
      <w:r w:rsidR="00E90DC0" w:rsidRPr="00101E53">
        <w:rPr>
          <w:rFonts w:ascii="Arial" w:hAnsi="Arial" w:cs="Arial"/>
          <w:lang w:val="en-US"/>
        </w:rPr>
        <w:t xml:space="preserve"> </w:t>
      </w:r>
      <w:r w:rsidR="002D6D02" w:rsidRPr="00101E53">
        <w:rPr>
          <w:rFonts w:ascii="Arial" w:hAnsi="Arial" w:cs="Arial"/>
          <w:lang w:val="en-US"/>
        </w:rPr>
        <w:t xml:space="preserve">extracted from formalin-fixed paraffin-embedded tissue (FFPET) specimens </w:t>
      </w:r>
      <w:r w:rsidR="00E90DC0" w:rsidRPr="00101E53">
        <w:rPr>
          <w:rFonts w:ascii="Arial" w:hAnsi="Arial" w:cs="Arial"/>
          <w:lang w:val="en-US"/>
        </w:rPr>
        <w:t>or was generated</w:t>
      </w:r>
      <w:r w:rsidR="002D6D02" w:rsidRPr="00101E53">
        <w:rPr>
          <w:rFonts w:ascii="Arial" w:hAnsi="Arial" w:cs="Arial"/>
          <w:lang w:val="en-US"/>
        </w:rPr>
        <w:t xml:space="preserve"> in-vitro. Both intra- and inter-assay reproducibility were assessed using RNA extracted from multiple FFPET sections derived from three cancer patients. Specificity of the assay for RNA over DNA was demonstrated using human genomic DNA. </w:t>
      </w:r>
    </w:p>
    <w:p w:rsidR="00A94943" w:rsidRPr="00101E53" w:rsidRDefault="00A94943" w:rsidP="002D6D02">
      <w:pPr>
        <w:spacing w:line="360" w:lineRule="auto"/>
      </w:pPr>
    </w:p>
    <w:sectPr w:rsidR="00A94943" w:rsidRPr="00101E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6D02"/>
    <w:rsid w:val="000002B4"/>
    <w:rsid w:val="00021DDE"/>
    <w:rsid w:val="00034A8E"/>
    <w:rsid w:val="00052A65"/>
    <w:rsid w:val="000719DD"/>
    <w:rsid w:val="00077874"/>
    <w:rsid w:val="000920D5"/>
    <w:rsid w:val="0009721E"/>
    <w:rsid w:val="000A2945"/>
    <w:rsid w:val="000B6382"/>
    <w:rsid w:val="000C29ED"/>
    <w:rsid w:val="000C57F6"/>
    <w:rsid w:val="000F0EE8"/>
    <w:rsid w:val="000F7CBA"/>
    <w:rsid w:val="00101E53"/>
    <w:rsid w:val="001044C9"/>
    <w:rsid w:val="00115C00"/>
    <w:rsid w:val="0013096D"/>
    <w:rsid w:val="00141146"/>
    <w:rsid w:val="001567DB"/>
    <w:rsid w:val="00157254"/>
    <w:rsid w:val="00162394"/>
    <w:rsid w:val="0017188E"/>
    <w:rsid w:val="001738F7"/>
    <w:rsid w:val="00176811"/>
    <w:rsid w:val="001A201A"/>
    <w:rsid w:val="001A59A0"/>
    <w:rsid w:val="001D6B75"/>
    <w:rsid w:val="001E03F3"/>
    <w:rsid w:val="001E1F9C"/>
    <w:rsid w:val="00205BBB"/>
    <w:rsid w:val="00206282"/>
    <w:rsid w:val="0021077F"/>
    <w:rsid w:val="0021572C"/>
    <w:rsid w:val="00217C2A"/>
    <w:rsid w:val="002233B9"/>
    <w:rsid w:val="002241B2"/>
    <w:rsid w:val="00236806"/>
    <w:rsid w:val="002406A7"/>
    <w:rsid w:val="00242141"/>
    <w:rsid w:val="00243799"/>
    <w:rsid w:val="002545DA"/>
    <w:rsid w:val="002565DC"/>
    <w:rsid w:val="00262F5F"/>
    <w:rsid w:val="00265875"/>
    <w:rsid w:val="00286D7C"/>
    <w:rsid w:val="00297C96"/>
    <w:rsid w:val="002B63B0"/>
    <w:rsid w:val="002C199C"/>
    <w:rsid w:val="002C587B"/>
    <w:rsid w:val="002D6D02"/>
    <w:rsid w:val="002F6427"/>
    <w:rsid w:val="003108D8"/>
    <w:rsid w:val="003312E6"/>
    <w:rsid w:val="00331527"/>
    <w:rsid w:val="003462E4"/>
    <w:rsid w:val="00364FFA"/>
    <w:rsid w:val="00374729"/>
    <w:rsid w:val="00377FF5"/>
    <w:rsid w:val="0038531C"/>
    <w:rsid w:val="00395E36"/>
    <w:rsid w:val="00396BCE"/>
    <w:rsid w:val="003A22EF"/>
    <w:rsid w:val="003A6D98"/>
    <w:rsid w:val="003B2B95"/>
    <w:rsid w:val="003C06A2"/>
    <w:rsid w:val="003C0B31"/>
    <w:rsid w:val="003D4F26"/>
    <w:rsid w:val="00400662"/>
    <w:rsid w:val="00407C29"/>
    <w:rsid w:val="00437801"/>
    <w:rsid w:val="00456E78"/>
    <w:rsid w:val="00457351"/>
    <w:rsid w:val="004B49AA"/>
    <w:rsid w:val="004C692E"/>
    <w:rsid w:val="004C7102"/>
    <w:rsid w:val="004D5551"/>
    <w:rsid w:val="004E23D5"/>
    <w:rsid w:val="004F4A5B"/>
    <w:rsid w:val="004F590E"/>
    <w:rsid w:val="005004E8"/>
    <w:rsid w:val="0051125E"/>
    <w:rsid w:val="005134B7"/>
    <w:rsid w:val="00515C72"/>
    <w:rsid w:val="00522D5A"/>
    <w:rsid w:val="00526653"/>
    <w:rsid w:val="00542FEE"/>
    <w:rsid w:val="00561748"/>
    <w:rsid w:val="00562F99"/>
    <w:rsid w:val="00565A1E"/>
    <w:rsid w:val="0057031A"/>
    <w:rsid w:val="00575274"/>
    <w:rsid w:val="00575BA0"/>
    <w:rsid w:val="005776D2"/>
    <w:rsid w:val="00585C72"/>
    <w:rsid w:val="005B797D"/>
    <w:rsid w:val="005C4576"/>
    <w:rsid w:val="005C4993"/>
    <w:rsid w:val="005D48E6"/>
    <w:rsid w:val="005F3EC2"/>
    <w:rsid w:val="00614246"/>
    <w:rsid w:val="0063666F"/>
    <w:rsid w:val="0064736E"/>
    <w:rsid w:val="00651661"/>
    <w:rsid w:val="00651A15"/>
    <w:rsid w:val="006525FB"/>
    <w:rsid w:val="00654792"/>
    <w:rsid w:val="006562E7"/>
    <w:rsid w:val="00675154"/>
    <w:rsid w:val="0068225D"/>
    <w:rsid w:val="00683860"/>
    <w:rsid w:val="006A4C7C"/>
    <w:rsid w:val="006B3B50"/>
    <w:rsid w:val="006C4AA3"/>
    <w:rsid w:val="006C6435"/>
    <w:rsid w:val="006E1021"/>
    <w:rsid w:val="006E7BD9"/>
    <w:rsid w:val="006F689A"/>
    <w:rsid w:val="00710B2A"/>
    <w:rsid w:val="00724CA9"/>
    <w:rsid w:val="00724FAE"/>
    <w:rsid w:val="00736A51"/>
    <w:rsid w:val="007434C2"/>
    <w:rsid w:val="00745087"/>
    <w:rsid w:val="00745D07"/>
    <w:rsid w:val="007611F9"/>
    <w:rsid w:val="00766C34"/>
    <w:rsid w:val="00767F55"/>
    <w:rsid w:val="00774EEF"/>
    <w:rsid w:val="007833B1"/>
    <w:rsid w:val="007A3A28"/>
    <w:rsid w:val="007C39FE"/>
    <w:rsid w:val="007C4B06"/>
    <w:rsid w:val="007C6F45"/>
    <w:rsid w:val="007D51AF"/>
    <w:rsid w:val="007E00B5"/>
    <w:rsid w:val="007F0708"/>
    <w:rsid w:val="007F2D85"/>
    <w:rsid w:val="0080207F"/>
    <w:rsid w:val="008024F2"/>
    <w:rsid w:val="00813EDE"/>
    <w:rsid w:val="00835A8E"/>
    <w:rsid w:val="00860456"/>
    <w:rsid w:val="00871F3E"/>
    <w:rsid w:val="00880991"/>
    <w:rsid w:val="0089219B"/>
    <w:rsid w:val="008A02A2"/>
    <w:rsid w:val="008A7CD5"/>
    <w:rsid w:val="008B1B97"/>
    <w:rsid w:val="008B5012"/>
    <w:rsid w:val="008C2ECD"/>
    <w:rsid w:val="008E0C71"/>
    <w:rsid w:val="0090315C"/>
    <w:rsid w:val="0090423E"/>
    <w:rsid w:val="009065AB"/>
    <w:rsid w:val="0091253C"/>
    <w:rsid w:val="00924FBD"/>
    <w:rsid w:val="00933E7B"/>
    <w:rsid w:val="00952FBC"/>
    <w:rsid w:val="009532CE"/>
    <w:rsid w:val="009634DF"/>
    <w:rsid w:val="00975D24"/>
    <w:rsid w:val="00975E36"/>
    <w:rsid w:val="0098099B"/>
    <w:rsid w:val="00985A56"/>
    <w:rsid w:val="00993F4B"/>
    <w:rsid w:val="009A7DFC"/>
    <w:rsid w:val="009B367C"/>
    <w:rsid w:val="009D079B"/>
    <w:rsid w:val="009E0AB5"/>
    <w:rsid w:val="009E2681"/>
    <w:rsid w:val="009F7D7A"/>
    <w:rsid w:val="00A058D8"/>
    <w:rsid w:val="00A10C40"/>
    <w:rsid w:val="00A111E8"/>
    <w:rsid w:val="00A1418E"/>
    <w:rsid w:val="00A23E76"/>
    <w:rsid w:val="00A254AB"/>
    <w:rsid w:val="00A26C45"/>
    <w:rsid w:val="00A33355"/>
    <w:rsid w:val="00A43362"/>
    <w:rsid w:val="00A44926"/>
    <w:rsid w:val="00A451C0"/>
    <w:rsid w:val="00A51259"/>
    <w:rsid w:val="00A86124"/>
    <w:rsid w:val="00A94943"/>
    <w:rsid w:val="00AA0337"/>
    <w:rsid w:val="00AA3229"/>
    <w:rsid w:val="00AA4773"/>
    <w:rsid w:val="00AA5D07"/>
    <w:rsid w:val="00AB3477"/>
    <w:rsid w:val="00AE1E0D"/>
    <w:rsid w:val="00AE1F22"/>
    <w:rsid w:val="00AE258D"/>
    <w:rsid w:val="00AF1272"/>
    <w:rsid w:val="00AF7279"/>
    <w:rsid w:val="00B04108"/>
    <w:rsid w:val="00B15016"/>
    <w:rsid w:val="00B167E3"/>
    <w:rsid w:val="00B26F1A"/>
    <w:rsid w:val="00B3667D"/>
    <w:rsid w:val="00B36F71"/>
    <w:rsid w:val="00B42D2D"/>
    <w:rsid w:val="00B67DCE"/>
    <w:rsid w:val="00B74A11"/>
    <w:rsid w:val="00B7692C"/>
    <w:rsid w:val="00BA7375"/>
    <w:rsid w:val="00BC0A33"/>
    <w:rsid w:val="00BC3840"/>
    <w:rsid w:val="00BC7D6F"/>
    <w:rsid w:val="00BD1A89"/>
    <w:rsid w:val="00BE1EF3"/>
    <w:rsid w:val="00BE6FB6"/>
    <w:rsid w:val="00C00717"/>
    <w:rsid w:val="00C22D49"/>
    <w:rsid w:val="00C34216"/>
    <w:rsid w:val="00C4023D"/>
    <w:rsid w:val="00C43E75"/>
    <w:rsid w:val="00C471E3"/>
    <w:rsid w:val="00C527BE"/>
    <w:rsid w:val="00C60C2F"/>
    <w:rsid w:val="00C61963"/>
    <w:rsid w:val="00C6712F"/>
    <w:rsid w:val="00C75318"/>
    <w:rsid w:val="00C80AB0"/>
    <w:rsid w:val="00C810FF"/>
    <w:rsid w:val="00C84215"/>
    <w:rsid w:val="00C90BD8"/>
    <w:rsid w:val="00C926BB"/>
    <w:rsid w:val="00CA17C9"/>
    <w:rsid w:val="00CB7A22"/>
    <w:rsid w:val="00CB7F18"/>
    <w:rsid w:val="00CC114B"/>
    <w:rsid w:val="00CD6542"/>
    <w:rsid w:val="00CF3F2B"/>
    <w:rsid w:val="00CF4998"/>
    <w:rsid w:val="00CF6951"/>
    <w:rsid w:val="00D15622"/>
    <w:rsid w:val="00D21E4E"/>
    <w:rsid w:val="00D332D1"/>
    <w:rsid w:val="00D422A9"/>
    <w:rsid w:val="00D55277"/>
    <w:rsid w:val="00D606CF"/>
    <w:rsid w:val="00D707C8"/>
    <w:rsid w:val="00D828FE"/>
    <w:rsid w:val="00D84417"/>
    <w:rsid w:val="00D874A1"/>
    <w:rsid w:val="00D92C60"/>
    <w:rsid w:val="00D94D29"/>
    <w:rsid w:val="00DA2A8B"/>
    <w:rsid w:val="00DB19B7"/>
    <w:rsid w:val="00DB2A56"/>
    <w:rsid w:val="00DC147A"/>
    <w:rsid w:val="00DD2599"/>
    <w:rsid w:val="00DD7638"/>
    <w:rsid w:val="00DE3582"/>
    <w:rsid w:val="00DF185C"/>
    <w:rsid w:val="00DF5621"/>
    <w:rsid w:val="00E13280"/>
    <w:rsid w:val="00E27CE7"/>
    <w:rsid w:val="00E31782"/>
    <w:rsid w:val="00E47342"/>
    <w:rsid w:val="00E56CED"/>
    <w:rsid w:val="00E76BC7"/>
    <w:rsid w:val="00E866F1"/>
    <w:rsid w:val="00E90DC0"/>
    <w:rsid w:val="00EB0DF4"/>
    <w:rsid w:val="00EB2556"/>
    <w:rsid w:val="00EC4CB0"/>
    <w:rsid w:val="00EC76AF"/>
    <w:rsid w:val="00ED18AD"/>
    <w:rsid w:val="00ED3957"/>
    <w:rsid w:val="00ED68BA"/>
    <w:rsid w:val="00EE6071"/>
    <w:rsid w:val="00EE79BC"/>
    <w:rsid w:val="00F034A7"/>
    <w:rsid w:val="00F12289"/>
    <w:rsid w:val="00F229BB"/>
    <w:rsid w:val="00F34C64"/>
    <w:rsid w:val="00F45EBF"/>
    <w:rsid w:val="00F53B92"/>
    <w:rsid w:val="00F54951"/>
    <w:rsid w:val="00F64655"/>
    <w:rsid w:val="00F6594C"/>
    <w:rsid w:val="00F66887"/>
    <w:rsid w:val="00F66BA1"/>
    <w:rsid w:val="00F77B36"/>
    <w:rsid w:val="00F86683"/>
    <w:rsid w:val="00FA06C3"/>
    <w:rsid w:val="00FA24BF"/>
    <w:rsid w:val="00FA2BD8"/>
    <w:rsid w:val="00FA7271"/>
    <w:rsid w:val="00FD41AE"/>
    <w:rsid w:val="00FD75D6"/>
    <w:rsid w:val="00FE4F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D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8099B"/>
    <w:rPr>
      <w:sz w:val="16"/>
      <w:szCs w:val="16"/>
    </w:rPr>
  </w:style>
  <w:style w:type="paragraph" w:styleId="CommentText">
    <w:name w:val="annotation text"/>
    <w:basedOn w:val="Normal"/>
    <w:link w:val="CommentTextChar"/>
    <w:uiPriority w:val="99"/>
    <w:semiHidden/>
    <w:unhideWhenUsed/>
    <w:rsid w:val="0098099B"/>
    <w:pPr>
      <w:spacing w:line="240" w:lineRule="auto"/>
    </w:pPr>
    <w:rPr>
      <w:sz w:val="20"/>
      <w:szCs w:val="20"/>
    </w:rPr>
  </w:style>
  <w:style w:type="character" w:customStyle="1" w:styleId="CommentTextChar">
    <w:name w:val="Comment Text Char"/>
    <w:basedOn w:val="DefaultParagraphFont"/>
    <w:link w:val="CommentText"/>
    <w:uiPriority w:val="99"/>
    <w:semiHidden/>
    <w:rsid w:val="0098099B"/>
    <w:rPr>
      <w:sz w:val="20"/>
      <w:szCs w:val="20"/>
    </w:rPr>
  </w:style>
  <w:style w:type="paragraph" w:styleId="CommentSubject">
    <w:name w:val="annotation subject"/>
    <w:basedOn w:val="CommentText"/>
    <w:next w:val="CommentText"/>
    <w:link w:val="CommentSubjectChar"/>
    <w:uiPriority w:val="99"/>
    <w:semiHidden/>
    <w:unhideWhenUsed/>
    <w:rsid w:val="0098099B"/>
    <w:rPr>
      <w:b/>
      <w:bCs/>
    </w:rPr>
  </w:style>
  <w:style w:type="character" w:customStyle="1" w:styleId="CommentSubjectChar">
    <w:name w:val="Comment Subject Char"/>
    <w:basedOn w:val="CommentTextChar"/>
    <w:link w:val="CommentSubject"/>
    <w:uiPriority w:val="99"/>
    <w:semiHidden/>
    <w:rsid w:val="0098099B"/>
    <w:rPr>
      <w:b/>
      <w:bCs/>
      <w:sz w:val="20"/>
      <w:szCs w:val="20"/>
    </w:rPr>
  </w:style>
  <w:style w:type="paragraph" w:styleId="BalloonText">
    <w:name w:val="Balloon Text"/>
    <w:basedOn w:val="Normal"/>
    <w:link w:val="BalloonTextChar"/>
    <w:uiPriority w:val="99"/>
    <w:semiHidden/>
    <w:unhideWhenUsed/>
    <w:rsid w:val="00980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9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D0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8099B"/>
    <w:rPr>
      <w:sz w:val="16"/>
      <w:szCs w:val="16"/>
    </w:rPr>
  </w:style>
  <w:style w:type="paragraph" w:styleId="CommentText">
    <w:name w:val="annotation text"/>
    <w:basedOn w:val="Normal"/>
    <w:link w:val="CommentTextChar"/>
    <w:uiPriority w:val="99"/>
    <w:semiHidden/>
    <w:unhideWhenUsed/>
    <w:rsid w:val="0098099B"/>
    <w:pPr>
      <w:spacing w:line="240" w:lineRule="auto"/>
    </w:pPr>
    <w:rPr>
      <w:sz w:val="20"/>
      <w:szCs w:val="20"/>
    </w:rPr>
  </w:style>
  <w:style w:type="character" w:customStyle="1" w:styleId="CommentTextChar">
    <w:name w:val="Comment Text Char"/>
    <w:basedOn w:val="DefaultParagraphFont"/>
    <w:link w:val="CommentText"/>
    <w:uiPriority w:val="99"/>
    <w:semiHidden/>
    <w:rsid w:val="0098099B"/>
    <w:rPr>
      <w:sz w:val="20"/>
      <w:szCs w:val="20"/>
    </w:rPr>
  </w:style>
  <w:style w:type="paragraph" w:styleId="CommentSubject">
    <w:name w:val="annotation subject"/>
    <w:basedOn w:val="CommentText"/>
    <w:next w:val="CommentText"/>
    <w:link w:val="CommentSubjectChar"/>
    <w:uiPriority w:val="99"/>
    <w:semiHidden/>
    <w:unhideWhenUsed/>
    <w:rsid w:val="0098099B"/>
    <w:rPr>
      <w:b/>
      <w:bCs/>
    </w:rPr>
  </w:style>
  <w:style w:type="character" w:customStyle="1" w:styleId="CommentSubjectChar">
    <w:name w:val="Comment Subject Char"/>
    <w:basedOn w:val="CommentTextChar"/>
    <w:link w:val="CommentSubject"/>
    <w:uiPriority w:val="99"/>
    <w:semiHidden/>
    <w:rsid w:val="0098099B"/>
    <w:rPr>
      <w:b/>
      <w:bCs/>
      <w:sz w:val="20"/>
      <w:szCs w:val="20"/>
    </w:rPr>
  </w:style>
  <w:style w:type="paragraph" w:styleId="BalloonText">
    <w:name w:val="Balloon Text"/>
    <w:basedOn w:val="Normal"/>
    <w:link w:val="BalloonTextChar"/>
    <w:uiPriority w:val="99"/>
    <w:semiHidden/>
    <w:unhideWhenUsed/>
    <w:rsid w:val="0098099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09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480</Words>
  <Characters>2742</Characters>
  <Application>Microsoft Office Word</Application>
  <DocSecurity>4</DocSecurity>
  <Lines>22</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F. Hoffmann-La Roche, Ltd.</Company>
  <LinksUpToDate>false</LinksUpToDate>
  <CharactersWithSpaces>3216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Kate Sillitoe (HI)</dc:creator>
  <cp:lastModifiedBy>Laura Jane Anstee</cp:lastModifiedBy>
  <cp:revision>2</cp:revision>
  <dcterms:created xsi:type="dcterms:W3CDTF">2014-04-15T09:09:00Z</dcterms:created>
  <dcterms:modified xsi:type="dcterms:W3CDTF">2014-04-15T09:09:00Z</dcterms:modified>
</cp:coreProperties>
</file>