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D99" w:rsidRPr="00E56754" w:rsidRDefault="00B54D99" w:rsidP="00B54D99">
      <w:pPr>
        <w:pStyle w:val="Heading2"/>
        <w:spacing w:line="480" w:lineRule="auto"/>
        <w:rPr>
          <w:rFonts w:ascii="Times New Roman" w:hAnsi="Times New Roman" w:cs="Times New Roman"/>
          <w:bCs w:val="0"/>
          <w:i w:val="0"/>
          <w:iCs w:val="0"/>
          <w:sz w:val="24"/>
          <w:szCs w:val="24"/>
        </w:rPr>
      </w:pPr>
      <w:r w:rsidRPr="00E56754">
        <w:rPr>
          <w:rFonts w:ascii="Times New Roman" w:hAnsi="Times New Roman" w:cs="Times New Roman"/>
          <w:bCs w:val="0"/>
          <w:i w:val="0"/>
          <w:iCs w:val="0"/>
          <w:sz w:val="24"/>
          <w:szCs w:val="24"/>
        </w:rPr>
        <w:t>SUPPLEMENTARY SECTION</w:t>
      </w:r>
    </w:p>
    <w:p w:rsidR="009C0500" w:rsidRDefault="00B54D99" w:rsidP="00B54D99">
      <w:pPr>
        <w:pStyle w:val="Heading2"/>
        <w:spacing w:line="480" w:lineRule="auto"/>
        <w:rPr>
          <w:rFonts w:ascii="Times New Roman" w:hAnsi="Times New Roman" w:cs="Times New Roman"/>
          <w:bCs w:val="0"/>
          <w:i w:val="0"/>
          <w:iCs w:val="0"/>
          <w:sz w:val="24"/>
          <w:szCs w:val="24"/>
          <w:u w:val="single"/>
        </w:rPr>
      </w:pPr>
      <w:r w:rsidRPr="009C0500">
        <w:rPr>
          <w:rFonts w:ascii="Times New Roman" w:hAnsi="Times New Roman" w:cs="Times New Roman"/>
          <w:bCs w:val="0"/>
          <w:i w:val="0"/>
          <w:iCs w:val="0"/>
          <w:sz w:val="24"/>
          <w:szCs w:val="24"/>
          <w:u w:val="single"/>
        </w:rPr>
        <w:t>Supplementary Materials and Methods</w:t>
      </w:r>
    </w:p>
    <w:p w:rsidR="00B54D99" w:rsidRPr="00DA38D4" w:rsidRDefault="00B54D99" w:rsidP="009C0500">
      <w:pPr>
        <w:pStyle w:val="Heading2"/>
        <w:spacing w:before="0" w:line="480" w:lineRule="auto"/>
        <w:rPr>
          <w:rFonts w:ascii="Times New Roman" w:hAnsi="Times New Roman" w:cs="Times New Roman"/>
          <w:bCs w:val="0"/>
          <w:i w:val="0"/>
          <w:iCs w:val="0"/>
          <w:sz w:val="24"/>
          <w:szCs w:val="24"/>
        </w:rPr>
      </w:pPr>
      <w:r w:rsidRPr="00DA38D4">
        <w:rPr>
          <w:rFonts w:ascii="Times New Roman" w:hAnsi="Times New Roman" w:cs="Times New Roman"/>
          <w:bCs w:val="0"/>
          <w:i w:val="0"/>
          <w:iCs w:val="0"/>
          <w:sz w:val="24"/>
          <w:szCs w:val="24"/>
        </w:rPr>
        <w:t>Reagents</w:t>
      </w:r>
    </w:p>
    <w:p w:rsidR="00B54D99" w:rsidRPr="00DA38D4" w:rsidRDefault="00B54D99" w:rsidP="00B54D99">
      <w:pPr>
        <w:pStyle w:val="Header"/>
        <w:tabs>
          <w:tab w:val="clear" w:pos="4153"/>
          <w:tab w:val="clear" w:pos="8306"/>
        </w:tabs>
        <w:spacing w:line="480" w:lineRule="auto"/>
        <w:jc w:val="both"/>
        <w:rPr>
          <w:rFonts w:ascii="Times New Roman" w:hAnsi="Times New Roman" w:cs="Times New Roman"/>
          <w:szCs w:val="24"/>
          <w:lang w:val="en-US"/>
        </w:rPr>
      </w:pPr>
      <w:r w:rsidRPr="00DA38D4">
        <w:rPr>
          <w:rFonts w:ascii="Times New Roman" w:hAnsi="Times New Roman" w:cs="Times New Roman"/>
          <w:szCs w:val="24"/>
        </w:rPr>
        <w:t xml:space="preserve">Human factors </w:t>
      </w:r>
      <w:proofErr w:type="spellStart"/>
      <w:r w:rsidRPr="00DA38D4">
        <w:rPr>
          <w:rFonts w:ascii="Times New Roman" w:hAnsi="Times New Roman" w:cs="Times New Roman"/>
          <w:szCs w:val="24"/>
        </w:rPr>
        <w:t>Va</w:t>
      </w:r>
      <w:proofErr w:type="spellEnd"/>
      <w:r w:rsidRPr="00DA38D4">
        <w:rPr>
          <w:rFonts w:ascii="Times New Roman" w:hAnsi="Times New Roman" w:cs="Times New Roman"/>
          <w:szCs w:val="24"/>
        </w:rPr>
        <w:t xml:space="preserve">, </w:t>
      </w:r>
      <w:proofErr w:type="spellStart"/>
      <w:r w:rsidRPr="00DA38D4">
        <w:rPr>
          <w:rFonts w:ascii="Times New Roman" w:hAnsi="Times New Roman" w:cs="Times New Roman"/>
          <w:szCs w:val="24"/>
        </w:rPr>
        <w:t>Xa</w:t>
      </w:r>
      <w:proofErr w:type="spellEnd"/>
      <w:r w:rsidRPr="00DA38D4">
        <w:rPr>
          <w:rFonts w:ascii="Times New Roman" w:hAnsi="Times New Roman" w:cs="Times New Roman"/>
          <w:szCs w:val="24"/>
        </w:rPr>
        <w:t xml:space="preserve">, </w:t>
      </w:r>
      <w:proofErr w:type="spellStart"/>
      <w:r w:rsidRPr="00DA38D4">
        <w:rPr>
          <w:rFonts w:ascii="Times New Roman" w:hAnsi="Times New Roman" w:cs="Times New Roman"/>
          <w:szCs w:val="24"/>
        </w:rPr>
        <w:t>prothrombin</w:t>
      </w:r>
      <w:proofErr w:type="spellEnd"/>
      <w:r w:rsidRPr="00DA38D4">
        <w:rPr>
          <w:rFonts w:ascii="Times New Roman" w:hAnsi="Times New Roman" w:cs="Times New Roman"/>
          <w:szCs w:val="24"/>
        </w:rPr>
        <w:t xml:space="preserve">, α-thrombin, APC and protein C (PC) blocking antibody were from Haematological Technologies (Vermont, US), S2366, S2238 substrates from </w:t>
      </w:r>
      <w:proofErr w:type="spellStart"/>
      <w:r w:rsidRPr="00DA38D4">
        <w:rPr>
          <w:rFonts w:ascii="Times New Roman" w:hAnsi="Times New Roman" w:cs="Times New Roman"/>
          <w:szCs w:val="24"/>
        </w:rPr>
        <w:t>Chromogenix</w:t>
      </w:r>
      <w:proofErr w:type="spellEnd"/>
      <w:r w:rsidRPr="00DA38D4">
        <w:rPr>
          <w:rFonts w:ascii="Times New Roman" w:hAnsi="Times New Roman" w:cs="Times New Roman"/>
          <w:szCs w:val="24"/>
        </w:rPr>
        <w:t xml:space="preserve"> Laboratory, (Milano, Italy) and O-</w:t>
      </w:r>
      <w:proofErr w:type="spellStart"/>
      <w:r w:rsidRPr="00DA38D4">
        <w:rPr>
          <w:rFonts w:ascii="Times New Roman" w:hAnsi="Times New Roman" w:cs="Times New Roman"/>
          <w:szCs w:val="24"/>
        </w:rPr>
        <w:t>Phenylenediamine</w:t>
      </w:r>
      <w:proofErr w:type="spellEnd"/>
      <w:r w:rsidRPr="00DA38D4">
        <w:rPr>
          <w:rFonts w:ascii="Times New Roman" w:hAnsi="Times New Roman" w:cs="Times New Roman"/>
          <w:szCs w:val="24"/>
        </w:rPr>
        <w:t xml:space="preserve"> </w:t>
      </w:r>
      <w:proofErr w:type="spellStart"/>
      <w:r w:rsidRPr="00DA38D4">
        <w:rPr>
          <w:rFonts w:ascii="Times New Roman" w:hAnsi="Times New Roman" w:cs="Times New Roman"/>
          <w:szCs w:val="24"/>
        </w:rPr>
        <w:t>dihydrochloride</w:t>
      </w:r>
      <w:proofErr w:type="spellEnd"/>
      <w:r w:rsidRPr="00DA38D4">
        <w:rPr>
          <w:rFonts w:ascii="Times New Roman" w:hAnsi="Times New Roman" w:cs="Times New Roman"/>
          <w:szCs w:val="24"/>
        </w:rPr>
        <w:t xml:space="preserve"> (OPD) from </w:t>
      </w:r>
      <w:proofErr w:type="spellStart"/>
      <w:r w:rsidRPr="00DA38D4">
        <w:rPr>
          <w:rFonts w:ascii="Times New Roman" w:hAnsi="Times New Roman" w:cs="Times New Roman"/>
          <w:szCs w:val="24"/>
        </w:rPr>
        <w:t>Dako</w:t>
      </w:r>
      <w:proofErr w:type="spellEnd"/>
      <w:r w:rsidRPr="00DA38D4">
        <w:rPr>
          <w:rFonts w:ascii="Times New Roman" w:hAnsi="Times New Roman" w:cs="Times New Roman"/>
          <w:szCs w:val="24"/>
        </w:rPr>
        <w:t xml:space="preserve"> (Denmark). Anti-rat immunoglobulin G (IgG, whole molecule) labelled with </w:t>
      </w:r>
      <w:proofErr w:type="spellStart"/>
      <w:r w:rsidRPr="00DA38D4">
        <w:rPr>
          <w:rFonts w:ascii="Times New Roman" w:hAnsi="Times New Roman" w:cs="Times New Roman"/>
          <w:szCs w:val="24"/>
        </w:rPr>
        <w:t>peroxidase</w:t>
      </w:r>
      <w:proofErr w:type="spellEnd"/>
      <w:r w:rsidRPr="00DA38D4">
        <w:rPr>
          <w:rFonts w:ascii="Times New Roman" w:hAnsi="Times New Roman" w:cs="Times New Roman"/>
          <w:szCs w:val="24"/>
        </w:rPr>
        <w:t xml:space="preserve"> or FITC, </w:t>
      </w:r>
      <w:proofErr w:type="spellStart"/>
      <w:r w:rsidRPr="00DA38D4">
        <w:rPr>
          <w:rFonts w:ascii="Times New Roman" w:hAnsi="Times New Roman" w:cs="Times New Roman"/>
          <w:szCs w:val="24"/>
        </w:rPr>
        <w:t>isotype</w:t>
      </w:r>
      <w:proofErr w:type="spellEnd"/>
      <w:r w:rsidRPr="00DA38D4">
        <w:rPr>
          <w:rFonts w:ascii="Times New Roman" w:hAnsi="Times New Roman" w:cs="Times New Roman"/>
          <w:szCs w:val="24"/>
        </w:rPr>
        <w:t xml:space="preserve"> control rat IgG (whole molecule), latex beads for MP quantification and </w:t>
      </w:r>
      <w:r w:rsidRPr="00DA38D4">
        <w:rPr>
          <w:rFonts w:ascii="Times New Roman" w:hAnsi="Times New Roman" w:cs="Times New Roman"/>
          <w:szCs w:val="24"/>
        </w:rPr>
        <w:sym w:font="Symbol" w:char="F061"/>
      </w:r>
      <w:r w:rsidRPr="00DA38D4">
        <w:rPr>
          <w:rFonts w:ascii="Times New Roman" w:hAnsi="Times New Roman" w:cs="Times New Roman"/>
          <w:szCs w:val="24"/>
          <w:vertAlign w:val="subscript"/>
        </w:rPr>
        <w:t>1</w:t>
      </w:r>
      <w:r w:rsidRPr="00DA38D4">
        <w:rPr>
          <w:rFonts w:ascii="Times New Roman" w:hAnsi="Times New Roman" w:cs="Times New Roman"/>
          <w:szCs w:val="24"/>
        </w:rPr>
        <w:t>-Antitrypsin (</w:t>
      </w:r>
      <w:r w:rsidRPr="00DA38D4">
        <w:rPr>
          <w:rFonts w:ascii="Times New Roman" w:hAnsi="Times New Roman" w:cs="Times New Roman"/>
          <w:szCs w:val="24"/>
        </w:rPr>
        <w:sym w:font="Symbol" w:char="F061"/>
      </w:r>
      <w:r w:rsidRPr="00DA38D4">
        <w:rPr>
          <w:rFonts w:ascii="Times New Roman" w:hAnsi="Times New Roman" w:cs="Times New Roman"/>
          <w:szCs w:val="24"/>
          <w:vertAlign w:val="subscript"/>
        </w:rPr>
        <w:t>1</w:t>
      </w:r>
      <w:r w:rsidRPr="00DA38D4">
        <w:rPr>
          <w:rFonts w:ascii="Times New Roman" w:hAnsi="Times New Roman" w:cs="Times New Roman"/>
          <w:szCs w:val="24"/>
        </w:rPr>
        <w:t>AT) were from Sigma (Poole, UK). CD13-PE, CD41-PE, corresponding IgG class control and goat-anti-mouse-PE were from BD Biosciences (San Jose, CA). PAR1 antagonist peptide H-Met-Ser-</w:t>
      </w:r>
      <w:proofErr w:type="spellStart"/>
      <w:r w:rsidRPr="00DA38D4">
        <w:rPr>
          <w:rFonts w:ascii="Times New Roman" w:hAnsi="Times New Roman" w:cs="Times New Roman"/>
          <w:szCs w:val="24"/>
        </w:rPr>
        <w:t>Arg</w:t>
      </w:r>
      <w:proofErr w:type="spellEnd"/>
      <w:r w:rsidRPr="00DA38D4">
        <w:rPr>
          <w:rFonts w:ascii="Times New Roman" w:hAnsi="Times New Roman" w:cs="Times New Roman"/>
          <w:szCs w:val="24"/>
        </w:rPr>
        <w:t>-Pro-Ala-</w:t>
      </w:r>
      <w:proofErr w:type="spellStart"/>
      <w:r w:rsidRPr="00DA38D4">
        <w:rPr>
          <w:rFonts w:ascii="Times New Roman" w:hAnsi="Times New Roman" w:cs="Times New Roman"/>
          <w:szCs w:val="24"/>
        </w:rPr>
        <w:t>Cys</w:t>
      </w:r>
      <w:proofErr w:type="spellEnd"/>
      <w:r w:rsidRPr="00DA38D4">
        <w:rPr>
          <w:rFonts w:ascii="Times New Roman" w:hAnsi="Times New Roman" w:cs="Times New Roman"/>
          <w:szCs w:val="24"/>
        </w:rPr>
        <w:t>-Pro-</w:t>
      </w:r>
      <w:proofErr w:type="spellStart"/>
      <w:r w:rsidRPr="00DA38D4">
        <w:rPr>
          <w:rFonts w:ascii="Times New Roman" w:hAnsi="Times New Roman" w:cs="Times New Roman"/>
          <w:szCs w:val="24"/>
        </w:rPr>
        <w:t>Asn</w:t>
      </w:r>
      <w:proofErr w:type="spellEnd"/>
      <w:r w:rsidRPr="00DA38D4">
        <w:rPr>
          <w:rFonts w:ascii="Times New Roman" w:hAnsi="Times New Roman" w:cs="Times New Roman"/>
          <w:szCs w:val="24"/>
        </w:rPr>
        <w:t>-Asp-Lys-Tyr-</w:t>
      </w:r>
      <w:proofErr w:type="spellStart"/>
      <w:r w:rsidRPr="00DA38D4">
        <w:rPr>
          <w:rFonts w:ascii="Times New Roman" w:hAnsi="Times New Roman" w:cs="Times New Roman"/>
          <w:szCs w:val="24"/>
        </w:rPr>
        <w:t>Glu</w:t>
      </w:r>
      <w:proofErr w:type="spellEnd"/>
      <w:r w:rsidRPr="00DA38D4">
        <w:rPr>
          <w:rFonts w:ascii="Times New Roman" w:hAnsi="Times New Roman" w:cs="Times New Roman"/>
          <w:szCs w:val="24"/>
        </w:rPr>
        <w:t xml:space="preserve">-OH (T1) came from </w:t>
      </w:r>
      <w:proofErr w:type="spellStart"/>
      <w:r w:rsidRPr="00DA38D4">
        <w:rPr>
          <w:rFonts w:ascii="Times New Roman" w:hAnsi="Times New Roman" w:cs="Times New Roman"/>
          <w:szCs w:val="24"/>
        </w:rPr>
        <w:t>Bachem</w:t>
      </w:r>
      <w:proofErr w:type="spellEnd"/>
      <w:r w:rsidRPr="00DA38D4">
        <w:rPr>
          <w:rFonts w:ascii="Times New Roman" w:hAnsi="Times New Roman" w:cs="Times New Roman"/>
          <w:szCs w:val="24"/>
        </w:rPr>
        <w:t xml:space="preserve"> (St Helens, UK), blocking antibody ATAP2 from Santa Cruz Biotechnology (Santa Cruz, CA) and WEDE15 from Beckman-Coulter (Buckinghamshire, UK). EPCR antibodies RCR-2, RCR-49 and RCR-121 were kindly provided by Dr K </w:t>
      </w:r>
      <w:proofErr w:type="spellStart"/>
      <w:r w:rsidRPr="00DA38D4">
        <w:rPr>
          <w:rFonts w:ascii="Times New Roman" w:hAnsi="Times New Roman" w:cs="Times New Roman"/>
          <w:szCs w:val="24"/>
        </w:rPr>
        <w:t>Fukudome</w:t>
      </w:r>
      <w:proofErr w:type="spellEnd"/>
      <w:r w:rsidRPr="00DA38D4">
        <w:rPr>
          <w:rFonts w:ascii="Times New Roman" w:hAnsi="Times New Roman" w:cs="Times New Roman"/>
          <w:szCs w:val="24"/>
        </w:rPr>
        <w:t xml:space="preserve"> and used as previously described </w:t>
      </w:r>
      <w:r w:rsidR="00707F36">
        <w:rPr>
          <w:rFonts w:ascii="Times New Roman" w:hAnsi="Times New Roman" w:cs="Times New Roman"/>
          <w:szCs w:val="24"/>
        </w:rPr>
        <w:t>[17]</w:t>
      </w:r>
      <w:r w:rsidRPr="00DA38D4">
        <w:rPr>
          <w:rFonts w:ascii="Times New Roman" w:hAnsi="Times New Roman" w:cs="Times New Roman"/>
          <w:szCs w:val="24"/>
        </w:rPr>
        <w:t>. Soluble (s</w:t>
      </w:r>
      <w:proofErr w:type="gramStart"/>
      <w:r w:rsidRPr="00DA38D4">
        <w:rPr>
          <w:rFonts w:ascii="Times New Roman" w:hAnsi="Times New Roman" w:cs="Times New Roman"/>
          <w:szCs w:val="24"/>
        </w:rPr>
        <w:t>)EPCR</w:t>
      </w:r>
      <w:proofErr w:type="gramEnd"/>
      <w:r w:rsidRPr="00DA38D4">
        <w:rPr>
          <w:rFonts w:ascii="Times New Roman" w:hAnsi="Times New Roman" w:cs="Times New Roman"/>
          <w:szCs w:val="24"/>
        </w:rPr>
        <w:t xml:space="preserve"> was a gift from </w:t>
      </w:r>
      <w:r w:rsidRPr="00DA38D4">
        <w:rPr>
          <w:rFonts w:ascii="Times New Roman" w:hAnsi="Times New Roman" w:cs="Times New Roman"/>
          <w:szCs w:val="24"/>
          <w:lang w:val="en-US"/>
        </w:rPr>
        <w:t xml:space="preserve">Dr. H. </w:t>
      </w:r>
      <w:proofErr w:type="spellStart"/>
      <w:r w:rsidRPr="00DA38D4">
        <w:rPr>
          <w:rFonts w:ascii="Times New Roman" w:hAnsi="Times New Roman" w:cs="Times New Roman"/>
          <w:szCs w:val="24"/>
          <w:lang w:val="en-US"/>
        </w:rPr>
        <w:t>Nakatake</w:t>
      </w:r>
      <w:proofErr w:type="spellEnd"/>
      <w:r w:rsidRPr="00DA38D4">
        <w:rPr>
          <w:rFonts w:ascii="Times New Roman" w:hAnsi="Times New Roman" w:cs="Times New Roman"/>
          <w:szCs w:val="24"/>
          <w:lang w:val="en-US"/>
        </w:rPr>
        <w:t xml:space="preserve"> (Chemo-</w:t>
      </w:r>
      <w:proofErr w:type="spellStart"/>
      <w:r w:rsidRPr="00DA38D4">
        <w:rPr>
          <w:rFonts w:ascii="Times New Roman" w:hAnsi="Times New Roman" w:cs="Times New Roman"/>
          <w:szCs w:val="24"/>
          <w:lang w:val="en-US"/>
        </w:rPr>
        <w:t>Sero</w:t>
      </w:r>
      <w:proofErr w:type="spellEnd"/>
      <w:r w:rsidRPr="00DA38D4">
        <w:rPr>
          <w:rFonts w:ascii="Times New Roman" w:hAnsi="Times New Roman" w:cs="Times New Roman"/>
          <w:szCs w:val="24"/>
          <w:lang w:val="en-US"/>
        </w:rPr>
        <w:t>-Therapeutic Research Institute, Saga, Japan).</w:t>
      </w:r>
    </w:p>
    <w:p w:rsidR="00B54D99" w:rsidRPr="00DA38D4" w:rsidRDefault="00B54D99" w:rsidP="00B54D99">
      <w:pPr>
        <w:spacing w:line="480" w:lineRule="auto"/>
        <w:jc w:val="both"/>
      </w:pPr>
      <w:r w:rsidRPr="00DA38D4">
        <w:rPr>
          <w:b/>
        </w:rPr>
        <w:t xml:space="preserve">Determination of Endothelial Gene Expression </w:t>
      </w:r>
    </w:p>
    <w:p w:rsidR="00B54D99" w:rsidRPr="00C31588" w:rsidRDefault="00B54D99" w:rsidP="00B54D99">
      <w:pPr>
        <w:pStyle w:val="Header"/>
        <w:tabs>
          <w:tab w:val="clear" w:pos="4153"/>
          <w:tab w:val="clear" w:pos="8306"/>
        </w:tabs>
        <w:spacing w:line="480" w:lineRule="auto"/>
        <w:jc w:val="both"/>
        <w:rPr>
          <w:rFonts w:ascii="Times New Roman" w:hAnsi="Times New Roman" w:cs="Times New Roman"/>
          <w:szCs w:val="24"/>
        </w:rPr>
      </w:pPr>
      <w:proofErr w:type="spellStart"/>
      <w:r w:rsidRPr="00DA38D4">
        <w:rPr>
          <w:rFonts w:ascii="Times New Roman" w:hAnsi="Times New Roman" w:cs="Times New Roman"/>
          <w:szCs w:val="24"/>
        </w:rPr>
        <w:t>GEArray</w:t>
      </w:r>
      <w:proofErr w:type="spellEnd"/>
      <w:r w:rsidRPr="00DA38D4">
        <w:rPr>
          <w:rFonts w:ascii="Times New Roman" w:hAnsi="Times New Roman" w:cs="Times New Roman"/>
          <w:szCs w:val="24"/>
        </w:rPr>
        <w:t xml:space="preserve"> Q-Series Human Endothelial Cell Biology Gene Array (</w:t>
      </w:r>
      <w:proofErr w:type="spellStart"/>
      <w:r w:rsidRPr="00DA38D4">
        <w:rPr>
          <w:rFonts w:ascii="Times New Roman" w:hAnsi="Times New Roman" w:cs="Times New Roman"/>
          <w:szCs w:val="24"/>
        </w:rPr>
        <w:t>SuperArray</w:t>
      </w:r>
      <w:proofErr w:type="spellEnd"/>
      <w:r w:rsidRPr="00DA38D4">
        <w:rPr>
          <w:rFonts w:ascii="Times New Roman" w:hAnsi="Times New Roman" w:cs="Times New Roman"/>
          <w:szCs w:val="24"/>
        </w:rPr>
        <w:t xml:space="preserve">, MD, US) containing 112 tetra-spots of sequence specific </w:t>
      </w:r>
      <w:proofErr w:type="spellStart"/>
      <w:r w:rsidRPr="00DA38D4">
        <w:rPr>
          <w:rFonts w:ascii="Times New Roman" w:hAnsi="Times New Roman" w:cs="Times New Roman"/>
          <w:szCs w:val="24"/>
        </w:rPr>
        <w:t>cDNA</w:t>
      </w:r>
      <w:proofErr w:type="spellEnd"/>
      <w:r w:rsidRPr="00DA38D4">
        <w:rPr>
          <w:rFonts w:ascii="Times New Roman" w:hAnsi="Times New Roman" w:cs="Times New Roman"/>
          <w:szCs w:val="24"/>
        </w:rPr>
        <w:t xml:space="preserve"> of different human genes, including 5 housekeeping genes and blank controls was utilised. ELISA first ascertained the amount of MP-bound APC to enable comparison with an equivalent concentration of free APC. APC concentration on patient-derived MPs was standardised at 17nM. As controls, both free and MP-bound APC were incubated with anti-PC (10µg/ml) 1h prior to incubation. With MPs isolated from pre or non-rhAPC treated patients where there were no significantly </w:t>
      </w:r>
      <w:r w:rsidRPr="00DA38D4">
        <w:rPr>
          <w:rFonts w:ascii="Times New Roman" w:hAnsi="Times New Roman" w:cs="Times New Roman"/>
          <w:szCs w:val="24"/>
        </w:rPr>
        <w:lastRenderedPageBreak/>
        <w:t xml:space="preserve">quantifiable APC levels, an equivalent number of CD13 positive MPs were used to standardise across time points. PAR1 blocking was by a 30 min pre-incubation with the PAR1 antagonist peptide T1 (50µM) or the blocking antibody ATAP2 (20µg/ml). T1 and anti-PC were also used on their own as controls for transcript levels. An </w:t>
      </w:r>
      <w:proofErr w:type="spellStart"/>
      <w:r w:rsidRPr="00DA38D4">
        <w:rPr>
          <w:rFonts w:ascii="Times New Roman" w:hAnsi="Times New Roman" w:cs="Times New Roman"/>
          <w:szCs w:val="24"/>
        </w:rPr>
        <w:t>isotype</w:t>
      </w:r>
      <w:proofErr w:type="spellEnd"/>
      <w:r w:rsidRPr="00DA38D4">
        <w:rPr>
          <w:rFonts w:ascii="Times New Roman" w:hAnsi="Times New Roman" w:cs="Times New Roman"/>
          <w:szCs w:val="24"/>
        </w:rPr>
        <w:t xml:space="preserve"> class control was used in antibody blocking experiments. Human umbilical vein endothelial cells (HUVEC) were prepared by the method of Jaffe </w:t>
      </w:r>
      <w:r w:rsidRPr="00DA38D4">
        <w:rPr>
          <w:rFonts w:ascii="Times New Roman" w:hAnsi="Times New Roman" w:cs="Times New Roman"/>
          <w:i/>
          <w:szCs w:val="24"/>
        </w:rPr>
        <w:t>et al</w:t>
      </w:r>
      <w:r w:rsidRPr="00DA38D4">
        <w:rPr>
          <w:rFonts w:ascii="Times New Roman" w:hAnsi="Times New Roman" w:cs="Times New Roman"/>
          <w:szCs w:val="24"/>
        </w:rPr>
        <w:t xml:space="preserve"> </w:t>
      </w:r>
      <w:r w:rsidR="00707F36">
        <w:rPr>
          <w:rFonts w:ascii="Times New Roman" w:hAnsi="Times New Roman" w:cs="Times New Roman"/>
          <w:szCs w:val="24"/>
        </w:rPr>
        <w:t xml:space="preserve">[45] </w:t>
      </w:r>
      <w:r w:rsidRPr="00DA38D4">
        <w:rPr>
          <w:rFonts w:ascii="Times New Roman" w:hAnsi="Times New Roman" w:cs="Times New Roman"/>
          <w:szCs w:val="24"/>
        </w:rPr>
        <w:t xml:space="preserve">and used at passage 2 or 3. Confluent HUVEC were serum-starved and incubated in serum-free </w:t>
      </w:r>
      <w:proofErr w:type="spellStart"/>
      <w:r w:rsidRPr="00DA38D4">
        <w:rPr>
          <w:rFonts w:ascii="Times New Roman" w:hAnsi="Times New Roman" w:cs="Times New Roman"/>
          <w:szCs w:val="24"/>
        </w:rPr>
        <w:t>Iscove’s</w:t>
      </w:r>
      <w:proofErr w:type="spellEnd"/>
      <w:r w:rsidRPr="00DA38D4">
        <w:rPr>
          <w:rFonts w:ascii="Times New Roman" w:hAnsi="Times New Roman" w:cs="Times New Roman"/>
          <w:szCs w:val="24"/>
        </w:rPr>
        <w:t xml:space="preserve"> modified Dulbecco media with an equal amount of free or MP-bound APC for 4h at 37°C and 5%CO</w:t>
      </w:r>
      <w:r w:rsidRPr="00DA38D4">
        <w:rPr>
          <w:rFonts w:ascii="Times New Roman" w:hAnsi="Times New Roman" w:cs="Times New Roman"/>
          <w:szCs w:val="24"/>
          <w:vertAlign w:val="subscript"/>
        </w:rPr>
        <w:t>2</w:t>
      </w:r>
      <w:r w:rsidRPr="00DA38D4">
        <w:rPr>
          <w:rFonts w:ascii="Times New Roman" w:hAnsi="Times New Roman" w:cs="Times New Roman"/>
          <w:szCs w:val="24"/>
        </w:rPr>
        <w:t xml:space="preserve">. RNA was extracted with </w:t>
      </w:r>
      <w:proofErr w:type="spellStart"/>
      <w:r w:rsidRPr="00DA38D4">
        <w:rPr>
          <w:rFonts w:ascii="Times New Roman" w:hAnsi="Times New Roman" w:cs="Times New Roman"/>
          <w:szCs w:val="24"/>
        </w:rPr>
        <w:t>RNeasy</w:t>
      </w:r>
      <w:proofErr w:type="spellEnd"/>
      <w:r w:rsidRPr="00DA38D4">
        <w:rPr>
          <w:rFonts w:ascii="Times New Roman" w:hAnsi="Times New Roman" w:cs="Times New Roman"/>
          <w:szCs w:val="24"/>
        </w:rPr>
        <w:t xml:space="preserve"> Mini-kit (QIAGEN, Sussex, UK) and probes were made using the </w:t>
      </w:r>
      <w:proofErr w:type="spellStart"/>
      <w:r w:rsidRPr="00DA38D4">
        <w:rPr>
          <w:rFonts w:ascii="Times New Roman" w:hAnsi="Times New Roman" w:cs="Times New Roman"/>
          <w:szCs w:val="24"/>
        </w:rPr>
        <w:t>Ampolabeling</w:t>
      </w:r>
      <w:proofErr w:type="spellEnd"/>
      <w:r w:rsidRPr="00DA38D4">
        <w:rPr>
          <w:rFonts w:ascii="Times New Roman" w:hAnsi="Times New Roman" w:cs="Times New Roman"/>
          <w:szCs w:val="24"/>
        </w:rPr>
        <w:t>-LPR kit (</w:t>
      </w:r>
      <w:proofErr w:type="spellStart"/>
      <w:r w:rsidRPr="00DA38D4">
        <w:rPr>
          <w:rFonts w:ascii="Times New Roman" w:hAnsi="Times New Roman" w:cs="Times New Roman"/>
          <w:szCs w:val="24"/>
        </w:rPr>
        <w:t>SuperArray</w:t>
      </w:r>
      <w:proofErr w:type="spellEnd"/>
      <w:r w:rsidRPr="00DA38D4">
        <w:rPr>
          <w:rFonts w:ascii="Times New Roman" w:hAnsi="Times New Roman" w:cs="Times New Roman"/>
          <w:szCs w:val="24"/>
        </w:rPr>
        <w:t xml:space="preserve">, MD, US) for hybridization. Gene signal was detected by </w:t>
      </w:r>
      <w:proofErr w:type="spellStart"/>
      <w:r w:rsidRPr="00DA38D4">
        <w:rPr>
          <w:rFonts w:ascii="Times New Roman" w:hAnsi="Times New Roman" w:cs="Times New Roman"/>
          <w:szCs w:val="24"/>
        </w:rPr>
        <w:t>chemiluminiscence</w:t>
      </w:r>
      <w:proofErr w:type="spellEnd"/>
      <w:r w:rsidRPr="00DA38D4">
        <w:rPr>
          <w:rFonts w:ascii="Times New Roman" w:hAnsi="Times New Roman" w:cs="Times New Roman"/>
          <w:szCs w:val="24"/>
        </w:rPr>
        <w:t xml:space="preserve"> with a Fuji LAS-1000 digital imaging system (FUJIFILM, Bedford, UK) and analysed with the </w:t>
      </w:r>
      <w:proofErr w:type="spellStart"/>
      <w:r w:rsidRPr="00DA38D4">
        <w:rPr>
          <w:rFonts w:ascii="Times New Roman" w:hAnsi="Times New Roman" w:cs="Times New Roman"/>
          <w:szCs w:val="24"/>
        </w:rPr>
        <w:t>GEArray</w:t>
      </w:r>
      <w:proofErr w:type="spellEnd"/>
      <w:r w:rsidRPr="00DA38D4">
        <w:rPr>
          <w:rFonts w:ascii="Times New Roman" w:hAnsi="Times New Roman" w:cs="Times New Roman"/>
          <w:szCs w:val="24"/>
        </w:rPr>
        <w:t xml:space="preserve"> Expression Analysis Suite (</w:t>
      </w:r>
      <w:r w:rsidRPr="00DA38D4">
        <w:rPr>
          <w:rStyle w:val="BodyTextChar"/>
          <w:szCs w:val="24"/>
        </w:rPr>
        <w:t>http://geasuite.superarray.com).</w:t>
      </w:r>
      <w:r w:rsidRPr="00DA38D4">
        <w:rPr>
          <w:rFonts w:ascii="Times New Roman" w:hAnsi="Times New Roman" w:cs="Times New Roman"/>
          <w:szCs w:val="24"/>
        </w:rPr>
        <w:t xml:space="preserve"> Gene expression was corrected for background and normalised </w:t>
      </w:r>
      <w:r w:rsidRPr="00C31588">
        <w:rPr>
          <w:rFonts w:ascii="Times New Roman" w:hAnsi="Times New Roman" w:cs="Times New Roman"/>
          <w:szCs w:val="24"/>
        </w:rPr>
        <w:t xml:space="preserve">against median value of each array. A 1.5 or greater fold-change in hybridization intensity between control and stimulated HUVECs signified regulatory change. All data was normalised to actin, compliant with Minimum Information about a Microarray (MIAME) </w:t>
      </w:r>
      <w:r w:rsidR="00707F36">
        <w:rPr>
          <w:rFonts w:ascii="Times New Roman" w:hAnsi="Times New Roman" w:cs="Times New Roman"/>
          <w:szCs w:val="24"/>
        </w:rPr>
        <w:t>[46]</w:t>
      </w:r>
      <w:r w:rsidRPr="00C31588">
        <w:rPr>
          <w:rFonts w:ascii="Times New Roman" w:hAnsi="Times New Roman" w:cs="Times New Roman"/>
          <w:szCs w:val="24"/>
        </w:rPr>
        <w:t xml:space="preserve"> and submitted to Gene Expression Omnibus (GEO) database (accession number GSE5661), thereby allowing data to be accessible to anyone using the accession number. QT-PCR confirmation of array data was performed, as previously described </w:t>
      </w:r>
      <w:r w:rsidR="004B362F">
        <w:rPr>
          <w:rFonts w:ascii="Times New Roman" w:hAnsi="Times New Roman" w:cs="Times New Roman"/>
          <w:szCs w:val="24"/>
        </w:rPr>
        <w:t>[18].</w:t>
      </w:r>
    </w:p>
    <w:p w:rsidR="00B54D99" w:rsidRPr="00C31588" w:rsidRDefault="00B54D99" w:rsidP="00B54D99">
      <w:pPr>
        <w:spacing w:line="480" w:lineRule="auto"/>
        <w:jc w:val="both"/>
        <w:rPr>
          <w:b/>
        </w:rPr>
      </w:pPr>
      <w:r w:rsidRPr="00C31588">
        <w:rPr>
          <w:b/>
        </w:rPr>
        <w:t>Assays for antigenic and functional APC</w:t>
      </w:r>
    </w:p>
    <w:p w:rsidR="00B54D99" w:rsidRPr="00C31588" w:rsidRDefault="00B54D99" w:rsidP="00B54D99">
      <w:pPr>
        <w:spacing w:line="480" w:lineRule="auto"/>
        <w:jc w:val="both"/>
      </w:pPr>
      <w:r w:rsidRPr="00C31588">
        <w:t xml:space="preserve">To ascertain the proportion between free or bound APC on MPs, confluent EA.hy926 cells were incubated for 18 hours with 20 or 100nM of rhAPC and the media harvested after. MPs were isolated and APC levels in the media (free) and on the MPs (bound) were respectively determined by ELISA using a monoclonal antibody to APC (kindly provided by Dr CT </w:t>
      </w:r>
      <w:proofErr w:type="spellStart"/>
      <w:r w:rsidRPr="00C31588">
        <w:t>Esmon</w:t>
      </w:r>
      <w:proofErr w:type="spellEnd"/>
      <w:r w:rsidRPr="00C31588">
        <w:t>, Oklahoma)</w:t>
      </w:r>
      <w:r w:rsidR="00707F36">
        <w:t xml:space="preserve"> [47]</w:t>
      </w:r>
      <w:r w:rsidRPr="00C31588">
        <w:t xml:space="preserve">. Assessment of APC activity </w:t>
      </w:r>
      <w:proofErr w:type="spellStart"/>
      <w:r w:rsidRPr="00C31588">
        <w:t>chromogenically</w:t>
      </w:r>
      <w:proofErr w:type="spellEnd"/>
      <w:r w:rsidRPr="00C31588">
        <w:t xml:space="preserve"> was with S2366. </w:t>
      </w:r>
      <w:proofErr w:type="gramStart"/>
      <w:r w:rsidRPr="00C31588">
        <w:lastRenderedPageBreak/>
        <w:t>Anticoagulant activity of APC on circulating MPs in inactivating factor (F.)</w:t>
      </w:r>
      <w:proofErr w:type="spellStart"/>
      <w:r w:rsidRPr="00C31588">
        <w:t>Va</w:t>
      </w:r>
      <w:proofErr w:type="spellEnd"/>
      <w:proofErr w:type="gramEnd"/>
      <w:r w:rsidRPr="00C31588">
        <w:t xml:space="preserve"> was assayed, as previously described </w:t>
      </w:r>
      <w:r w:rsidR="004B362F">
        <w:t>[</w:t>
      </w:r>
      <w:r w:rsidR="004E198F">
        <w:t>17</w:t>
      </w:r>
      <w:r w:rsidR="00C105F7">
        <w:t>, 48</w:t>
      </w:r>
      <w:r w:rsidR="004B362F">
        <w:t>]</w:t>
      </w:r>
      <w:r w:rsidRPr="00C31588">
        <w:rPr>
          <w:vertAlign w:val="superscript"/>
        </w:rPr>
        <w:t xml:space="preserve"> </w:t>
      </w:r>
      <w:r w:rsidRPr="00C31588">
        <w:t xml:space="preserve">with specificity verified using the inhibiting activity of </w:t>
      </w:r>
      <w:r w:rsidRPr="00C31588">
        <w:sym w:font="Symbol" w:char="F061"/>
      </w:r>
      <w:r w:rsidRPr="00C31588">
        <w:rPr>
          <w:vertAlign w:val="subscript"/>
        </w:rPr>
        <w:t>1</w:t>
      </w:r>
      <w:r w:rsidRPr="00C31588">
        <w:t xml:space="preserve">AT and also anti-PC (10µg/ml). Apoptosis was induced in confluent HUVEC using </w:t>
      </w:r>
      <w:proofErr w:type="spellStart"/>
      <w:r w:rsidRPr="00C31588">
        <w:t>staurosporine</w:t>
      </w:r>
      <w:proofErr w:type="spellEnd"/>
      <w:r w:rsidRPr="00C31588">
        <w:t xml:space="preserve"> (10µM) for 1h. Effect of free or MP-bound APC for 3h prior to </w:t>
      </w:r>
      <w:proofErr w:type="spellStart"/>
      <w:r w:rsidRPr="00C31588">
        <w:t>staurosporine</w:t>
      </w:r>
      <w:proofErr w:type="spellEnd"/>
      <w:r w:rsidRPr="00C31588">
        <w:t xml:space="preserve">, was also examined. Apoptotic cells were detected with </w:t>
      </w:r>
      <w:proofErr w:type="spellStart"/>
      <w:r w:rsidRPr="00C31588">
        <w:t>APOPercentage</w:t>
      </w:r>
      <w:proofErr w:type="spellEnd"/>
      <w:r w:rsidRPr="00C31588">
        <w:t xml:space="preserve"> Apoptosis Assay (</w:t>
      </w:r>
      <w:proofErr w:type="spellStart"/>
      <w:r w:rsidRPr="00C31588">
        <w:t>Biocolor</w:t>
      </w:r>
      <w:proofErr w:type="spellEnd"/>
      <w:r w:rsidRPr="00C31588">
        <w:t xml:space="preserve">, </w:t>
      </w:r>
      <w:proofErr w:type="spellStart"/>
      <w:r w:rsidRPr="00C31588">
        <w:t>Newtonabbey</w:t>
      </w:r>
      <w:proofErr w:type="spellEnd"/>
      <w:r w:rsidRPr="00C31588">
        <w:t>, Northern Ireland), as previously described</w:t>
      </w:r>
      <w:r w:rsidR="004B362F">
        <w:t xml:space="preserve"> [18]. </w:t>
      </w:r>
      <w:r w:rsidRPr="00C31588">
        <w:t xml:space="preserve">APC specificity was examined by pre-treatment with anti-PC (10μg/ml) or </w:t>
      </w:r>
      <w:proofErr w:type="spellStart"/>
      <w:r w:rsidRPr="00C31588">
        <w:t>isotype</w:t>
      </w:r>
      <w:proofErr w:type="spellEnd"/>
      <w:r w:rsidRPr="00C31588">
        <w:t xml:space="preserve"> control. For PAR1, T1 (50μM) was added before APC inclusion in free or MP form. Images were taken using an Olympus CK2 microscope with 10X objective lenses. </w:t>
      </w:r>
    </w:p>
    <w:p w:rsidR="00B54D99" w:rsidRPr="00C31588" w:rsidRDefault="00B54D99" w:rsidP="00B54D99">
      <w:pPr>
        <w:spacing w:line="480" w:lineRule="auto"/>
        <w:jc w:val="both"/>
        <w:outlineLvl w:val="0"/>
        <w:rPr>
          <w:b/>
        </w:rPr>
      </w:pPr>
      <w:r w:rsidRPr="00C31588">
        <w:rPr>
          <w:b/>
        </w:rPr>
        <w:t>APC displacement assay</w:t>
      </w:r>
    </w:p>
    <w:p w:rsidR="00B54D99" w:rsidRPr="00C31588" w:rsidRDefault="00B54D99" w:rsidP="00B54D99">
      <w:pPr>
        <w:spacing w:line="480" w:lineRule="auto"/>
        <w:jc w:val="both"/>
        <w:rPr>
          <w:b/>
        </w:rPr>
      </w:pPr>
      <w:r w:rsidRPr="00C31588">
        <w:t xml:space="preserve">APC-induced MPs from patients (day 2 of rhAPC treatment) were isolated and quantified for APC content by </w:t>
      </w:r>
      <w:proofErr w:type="spellStart"/>
      <w:r w:rsidRPr="00C31588">
        <w:t>chromogenic</w:t>
      </w:r>
      <w:proofErr w:type="spellEnd"/>
      <w:r w:rsidRPr="00C31588">
        <w:t xml:space="preserve"> S2366, as previously described</w:t>
      </w:r>
      <w:r w:rsidR="004B362F">
        <w:t xml:space="preserve"> [17].</w:t>
      </w:r>
      <w:r w:rsidRPr="00C31588">
        <w:t xml:space="preserve"> Equal concentrations of MPs, standardised by APC content, were incubated in HBS (20mmol/L HEPES, 0.15mol/L </w:t>
      </w:r>
      <w:proofErr w:type="spellStart"/>
      <w:r w:rsidRPr="00C31588">
        <w:t>NaCl</w:t>
      </w:r>
      <w:proofErr w:type="spellEnd"/>
      <w:r w:rsidRPr="00C31588">
        <w:t>, pH 7.4) / 2.5mmol/L CaCl</w:t>
      </w:r>
      <w:r w:rsidRPr="00C31588">
        <w:rPr>
          <w:vertAlign w:val="subscript"/>
        </w:rPr>
        <w:t>2</w:t>
      </w:r>
      <w:r w:rsidRPr="00C31588">
        <w:t xml:space="preserve">/ 1µmol/L </w:t>
      </w:r>
      <w:proofErr w:type="spellStart"/>
      <w:r w:rsidRPr="00C31588">
        <w:t>hirudin</w:t>
      </w:r>
      <w:proofErr w:type="spellEnd"/>
      <w:r w:rsidRPr="00C31588">
        <w:t xml:space="preserve"> at varying concentrations of PC (0, 60, 100nmol/L) at RT. After 30 min, the sample was centrifuged at 18,000g for 20 min. Following separation from supernatant, MPs were washed in HBS/ 2.5mmol/L CaCl</w:t>
      </w:r>
      <w:r w:rsidRPr="00C31588">
        <w:rPr>
          <w:vertAlign w:val="subscript"/>
        </w:rPr>
        <w:t>2</w:t>
      </w:r>
      <w:r w:rsidRPr="00C31588">
        <w:t xml:space="preserve">. Supernatant and MPs were then respectively incubated with S2366 and the absorbance read in a </w:t>
      </w:r>
      <w:proofErr w:type="spellStart"/>
      <w:r w:rsidRPr="00C31588">
        <w:t>Spectramax</w:t>
      </w:r>
      <w:proofErr w:type="spellEnd"/>
      <w:r w:rsidRPr="00C31588">
        <w:t xml:space="preserve"> plate reader (Molecular Devices). Results were estimated from an APC standard curve.</w:t>
      </w:r>
    </w:p>
    <w:p w:rsidR="00B54D99" w:rsidRPr="00C31588" w:rsidRDefault="00B54D99" w:rsidP="00B54D99">
      <w:pPr>
        <w:spacing w:line="480" w:lineRule="auto"/>
        <w:jc w:val="both"/>
        <w:rPr>
          <w:b/>
        </w:rPr>
      </w:pPr>
    </w:p>
    <w:p w:rsidR="00B54D99" w:rsidRPr="00C31588" w:rsidRDefault="00B54D99" w:rsidP="00B54D99">
      <w:pPr>
        <w:spacing w:line="480" w:lineRule="auto"/>
        <w:jc w:val="both"/>
        <w:rPr>
          <w:b/>
          <w:u w:val="single"/>
        </w:rPr>
      </w:pPr>
      <w:r w:rsidRPr="00C31588">
        <w:rPr>
          <w:b/>
          <w:u w:val="single"/>
        </w:rPr>
        <w:t xml:space="preserve">Supplementary </w:t>
      </w:r>
      <w:r w:rsidR="009C0500" w:rsidRPr="00C31588">
        <w:rPr>
          <w:b/>
          <w:u w:val="single"/>
        </w:rPr>
        <w:t xml:space="preserve">Legend </w:t>
      </w:r>
    </w:p>
    <w:p w:rsidR="00B54D99" w:rsidRPr="00526448" w:rsidRDefault="00B54D99" w:rsidP="00B54D99">
      <w:pPr>
        <w:spacing w:line="480" w:lineRule="auto"/>
        <w:jc w:val="both"/>
      </w:pPr>
      <w:proofErr w:type="gramStart"/>
      <w:r w:rsidRPr="00C31588">
        <w:rPr>
          <w:b/>
        </w:rPr>
        <w:t>Supplementary Figure 1.</w:t>
      </w:r>
      <w:proofErr w:type="gramEnd"/>
      <w:r w:rsidRPr="00C31588">
        <w:rPr>
          <w:b/>
        </w:rPr>
        <w:t xml:space="preserve"> The proportion of free versus bound rhAPC on microparticles.</w:t>
      </w:r>
      <w:r w:rsidRPr="00C31588">
        <w:t xml:space="preserve"> MPs were harvested following incubation of confluent EA.hy926 cells with rhAPC (20 or 100nM) after 18 hours. Free rhAPC levels in the media and bound rhAPC </w:t>
      </w:r>
      <w:r w:rsidRPr="00C31588">
        <w:lastRenderedPageBreak/>
        <w:t xml:space="preserve">levels on MPs were determined by ELISA using a monoclonal antibody to APC. Data is expressed as the </w:t>
      </w:r>
      <w:proofErr w:type="spellStart"/>
      <w:r w:rsidRPr="00C31588">
        <w:t>mean±SD</w:t>
      </w:r>
      <w:proofErr w:type="spellEnd"/>
      <w:r w:rsidRPr="00C31588">
        <w:t xml:space="preserve"> of two replicates from four independent experiments</w:t>
      </w:r>
      <w:r w:rsidR="00526448">
        <w:t>.</w:t>
      </w:r>
    </w:p>
    <w:p w:rsidR="00B54D99" w:rsidRPr="00C31588" w:rsidRDefault="00B54D99" w:rsidP="00B54D99"/>
    <w:p w:rsidR="00B54D99" w:rsidRPr="00C31588" w:rsidRDefault="00B54D99" w:rsidP="00B54D99"/>
    <w:p w:rsidR="00B54D99" w:rsidRPr="00C31588" w:rsidRDefault="00B54D99" w:rsidP="00B54D99"/>
    <w:p w:rsidR="00B54D99" w:rsidRPr="00C31588" w:rsidRDefault="00B54D99" w:rsidP="00B54D99"/>
    <w:p w:rsidR="00B54D99" w:rsidRPr="00C31588" w:rsidRDefault="00AB5A60" w:rsidP="00B54D99">
      <w:pPr>
        <w:ind w:left="720" w:hanging="720"/>
        <w:jc w:val="both"/>
      </w:pPr>
      <w:r w:rsidRPr="00C31588">
        <w:fldChar w:fldCharType="begin"/>
      </w:r>
      <w:r w:rsidR="00B54D99" w:rsidRPr="00C31588">
        <w:instrText xml:space="preserve"> ADDIN </w:instrText>
      </w:r>
      <w:r w:rsidRPr="00C31588">
        <w:fldChar w:fldCharType="end"/>
      </w:r>
    </w:p>
    <w:p w:rsidR="00B27BA1" w:rsidRPr="00C31588" w:rsidRDefault="00B27BA1"/>
    <w:sectPr w:rsidR="00B27BA1" w:rsidRPr="00C31588" w:rsidSect="007A2DC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54D99"/>
    <w:rsid w:val="001434F4"/>
    <w:rsid w:val="00162F19"/>
    <w:rsid w:val="004B362F"/>
    <w:rsid w:val="004E198F"/>
    <w:rsid w:val="00526448"/>
    <w:rsid w:val="005A2C5F"/>
    <w:rsid w:val="00707F36"/>
    <w:rsid w:val="009C0500"/>
    <w:rsid w:val="00AB5A60"/>
    <w:rsid w:val="00B026D2"/>
    <w:rsid w:val="00B27BA1"/>
    <w:rsid w:val="00B54D99"/>
    <w:rsid w:val="00C105F7"/>
    <w:rsid w:val="00C3158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D99"/>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B54D99"/>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54D99"/>
    <w:rPr>
      <w:rFonts w:ascii="Arial" w:eastAsia="Times New Roman" w:hAnsi="Arial" w:cs="Arial"/>
      <w:b/>
      <w:bCs/>
      <w:i/>
      <w:iCs/>
      <w:sz w:val="28"/>
      <w:szCs w:val="28"/>
      <w:lang w:eastAsia="en-GB"/>
    </w:rPr>
  </w:style>
  <w:style w:type="paragraph" w:styleId="BodyText">
    <w:name w:val="Body Text"/>
    <w:basedOn w:val="Normal"/>
    <w:link w:val="BodyTextChar"/>
    <w:rsid w:val="00B54D99"/>
    <w:pPr>
      <w:jc w:val="center"/>
    </w:pPr>
    <w:rPr>
      <w:szCs w:val="20"/>
      <w:lang w:val="en-US" w:eastAsia="en-US"/>
    </w:rPr>
  </w:style>
  <w:style w:type="character" w:customStyle="1" w:styleId="BodyTextChar">
    <w:name w:val="Body Text Char"/>
    <w:basedOn w:val="DefaultParagraphFont"/>
    <w:link w:val="BodyText"/>
    <w:rsid w:val="00B54D99"/>
    <w:rPr>
      <w:rFonts w:ascii="Times New Roman" w:eastAsia="Times New Roman" w:hAnsi="Times New Roman" w:cs="Times New Roman"/>
      <w:sz w:val="24"/>
      <w:szCs w:val="20"/>
      <w:lang w:val="en-US"/>
    </w:rPr>
  </w:style>
  <w:style w:type="paragraph" w:styleId="Header">
    <w:name w:val="header"/>
    <w:basedOn w:val="Normal"/>
    <w:link w:val="HeaderChar"/>
    <w:rsid w:val="00B54D99"/>
    <w:pPr>
      <w:tabs>
        <w:tab w:val="center" w:pos="4153"/>
        <w:tab w:val="right" w:pos="8306"/>
      </w:tabs>
    </w:pPr>
    <w:rPr>
      <w:rFonts w:ascii="Arial" w:hAnsi="Arial" w:cs="Arial"/>
      <w:szCs w:val="20"/>
      <w:lang w:eastAsia="en-US"/>
    </w:rPr>
  </w:style>
  <w:style w:type="character" w:customStyle="1" w:styleId="HeaderChar">
    <w:name w:val="Header Char"/>
    <w:basedOn w:val="DefaultParagraphFont"/>
    <w:link w:val="Header"/>
    <w:rsid w:val="00B54D99"/>
    <w:rPr>
      <w:rFonts w:ascii="Arial" w:eastAsia="Times New Roman" w:hAnsi="Arial" w:cs="Arial"/>
      <w:sz w:val="24"/>
      <w:szCs w:val="20"/>
    </w:rPr>
  </w:style>
  <w:style w:type="character" w:styleId="CommentReference">
    <w:name w:val="annotation reference"/>
    <w:basedOn w:val="DefaultParagraphFont"/>
    <w:uiPriority w:val="99"/>
    <w:semiHidden/>
    <w:unhideWhenUsed/>
    <w:rsid w:val="004B362F"/>
    <w:rPr>
      <w:sz w:val="16"/>
      <w:szCs w:val="16"/>
    </w:rPr>
  </w:style>
  <w:style w:type="paragraph" w:styleId="CommentText">
    <w:name w:val="annotation text"/>
    <w:basedOn w:val="Normal"/>
    <w:link w:val="CommentTextChar"/>
    <w:uiPriority w:val="99"/>
    <w:semiHidden/>
    <w:unhideWhenUsed/>
    <w:rsid w:val="004B362F"/>
    <w:rPr>
      <w:sz w:val="20"/>
      <w:szCs w:val="20"/>
    </w:rPr>
  </w:style>
  <w:style w:type="character" w:customStyle="1" w:styleId="CommentTextChar">
    <w:name w:val="Comment Text Char"/>
    <w:basedOn w:val="DefaultParagraphFont"/>
    <w:link w:val="CommentText"/>
    <w:uiPriority w:val="99"/>
    <w:semiHidden/>
    <w:rsid w:val="004B362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B362F"/>
    <w:rPr>
      <w:b/>
      <w:bCs/>
    </w:rPr>
  </w:style>
  <w:style w:type="character" w:customStyle="1" w:styleId="CommentSubjectChar">
    <w:name w:val="Comment Subject Char"/>
    <w:basedOn w:val="CommentTextChar"/>
    <w:link w:val="CommentSubject"/>
    <w:uiPriority w:val="99"/>
    <w:semiHidden/>
    <w:rsid w:val="004B362F"/>
    <w:rPr>
      <w:b/>
      <w:bCs/>
    </w:rPr>
  </w:style>
  <w:style w:type="paragraph" w:styleId="BalloonText">
    <w:name w:val="Balloon Text"/>
    <w:basedOn w:val="Normal"/>
    <w:link w:val="BalloonTextChar"/>
    <w:uiPriority w:val="99"/>
    <w:semiHidden/>
    <w:unhideWhenUsed/>
    <w:rsid w:val="004B362F"/>
    <w:rPr>
      <w:rFonts w:ascii="Tahoma" w:hAnsi="Tahoma" w:cs="Tahoma"/>
      <w:sz w:val="16"/>
      <w:szCs w:val="16"/>
    </w:rPr>
  </w:style>
  <w:style w:type="character" w:customStyle="1" w:styleId="BalloonTextChar">
    <w:name w:val="Balloon Text Char"/>
    <w:basedOn w:val="DefaultParagraphFont"/>
    <w:link w:val="BalloonText"/>
    <w:uiPriority w:val="99"/>
    <w:semiHidden/>
    <w:rsid w:val="004B362F"/>
    <w:rPr>
      <w:rFonts w:ascii="Tahoma" w:eastAsia="Times New Roman"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859</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toh</dc:creator>
  <cp:lastModifiedBy>Vicky</cp:lastModifiedBy>
  <cp:revision>2</cp:revision>
  <dcterms:created xsi:type="dcterms:W3CDTF">2011-08-05T21:45:00Z</dcterms:created>
  <dcterms:modified xsi:type="dcterms:W3CDTF">2011-08-05T21:45:00Z</dcterms:modified>
</cp:coreProperties>
</file>