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8DC" w:rsidRDefault="00B248DC" w:rsidP="000A560F">
      <w:pPr>
        <w:pStyle w:val="berschrift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>
        <w:t>Risk factors in Critical illness myopathy (CIM) during the early course of critical illness: a prospective observational study</w:t>
      </w:r>
    </w:p>
    <w:p w:rsidR="00B248DC" w:rsidRPr="000A560F" w:rsidRDefault="00B248DC" w:rsidP="000A560F">
      <w:pPr>
        <w:pStyle w:val="address"/>
        <w:spacing w:line="240" w:lineRule="auto"/>
        <w:rPr>
          <w:rFonts w:ascii="Cambria" w:hAnsi="Cambria"/>
          <w:i w:val="0"/>
          <w:sz w:val="20"/>
          <w:lang w:val="en-US"/>
        </w:rPr>
      </w:pPr>
      <w:r w:rsidRPr="000A560F">
        <w:rPr>
          <w:rFonts w:ascii="Gill Sans" w:hAnsi="Gill Sans"/>
          <w:i w:val="0"/>
          <w:lang w:val="en-GB"/>
        </w:rPr>
        <w:t>Steffen Weber-Carstens</w:t>
      </w:r>
      <w:bookmarkStart w:id="0" w:name="OLE_LINK1"/>
      <w:r w:rsidRPr="000A560F">
        <w:rPr>
          <w:rFonts w:ascii="Gill Sans" w:hAnsi="Gill Sans"/>
          <w:i w:val="0"/>
          <w:lang w:val="en-GB"/>
        </w:rPr>
        <w:t xml:space="preserve"> MD</w:t>
      </w:r>
      <w:r w:rsidRPr="000A560F">
        <w:rPr>
          <w:rFonts w:ascii="Gill Sans" w:hAnsi="Gill Sans"/>
          <w:i w:val="0"/>
          <w:vertAlign w:val="superscript"/>
          <w:lang w:val="en-GB"/>
        </w:rPr>
        <w:t>1</w:t>
      </w:r>
      <w:bookmarkEnd w:id="0"/>
      <w:r w:rsidRPr="000A560F">
        <w:rPr>
          <w:rFonts w:ascii="Gill Sans" w:hAnsi="Gill Sans"/>
          <w:i w:val="0"/>
          <w:vertAlign w:val="superscript"/>
          <w:lang w:val="en-GB"/>
        </w:rPr>
        <w:t>(#)</w:t>
      </w:r>
      <w:r w:rsidRPr="000A560F">
        <w:rPr>
          <w:rFonts w:ascii="Gill Sans" w:hAnsi="Gill Sans"/>
          <w:i w:val="0"/>
          <w:lang w:val="en-GB"/>
        </w:rPr>
        <w:t>, Maria Deja MD</w:t>
      </w:r>
      <w:r w:rsidRPr="000A560F">
        <w:rPr>
          <w:rFonts w:ascii="Gill Sans" w:hAnsi="Gill Sans"/>
          <w:i w:val="0"/>
          <w:vertAlign w:val="superscript"/>
          <w:lang w:val="en-GB"/>
        </w:rPr>
        <w:t>1(#)</w:t>
      </w:r>
      <w:r w:rsidRPr="000A560F">
        <w:rPr>
          <w:rFonts w:ascii="Gill Sans" w:hAnsi="Gill Sans"/>
          <w:i w:val="0"/>
          <w:lang w:val="en-GB"/>
        </w:rPr>
        <w:t>, Joachim Spranger PhD</w:t>
      </w:r>
      <w:r w:rsidRPr="000A560F">
        <w:rPr>
          <w:rFonts w:ascii="Gill Sans" w:hAnsi="Gill Sans"/>
          <w:i w:val="0"/>
          <w:vertAlign w:val="superscript"/>
          <w:lang w:val="en-GB"/>
        </w:rPr>
        <w:t>2</w:t>
      </w:r>
      <w:r w:rsidRPr="000A560F">
        <w:rPr>
          <w:rFonts w:ascii="Gill Sans" w:hAnsi="Gill Sans"/>
          <w:i w:val="0"/>
          <w:lang w:val="en-GB"/>
        </w:rPr>
        <w:t>, Florian Bubser MD</w:t>
      </w:r>
      <w:r w:rsidRPr="000A560F">
        <w:rPr>
          <w:rFonts w:ascii="Gill Sans" w:hAnsi="Gill Sans"/>
          <w:i w:val="0"/>
          <w:vertAlign w:val="superscript"/>
          <w:lang w:val="en-GB"/>
        </w:rPr>
        <w:t>1</w:t>
      </w:r>
      <w:r w:rsidRPr="000A560F">
        <w:rPr>
          <w:rFonts w:ascii="Gill Sans" w:hAnsi="Gill Sans"/>
          <w:i w:val="0"/>
          <w:lang w:val="en-GB"/>
        </w:rPr>
        <w:t xml:space="preserve">, </w:t>
      </w:r>
      <w:r w:rsidRPr="000A560F">
        <w:rPr>
          <w:rFonts w:ascii="Gill Sans" w:hAnsi="Gill Sans"/>
          <w:i w:val="0"/>
          <w:lang w:val="en-US"/>
        </w:rPr>
        <w:t>Susanne Koch MD</w:t>
      </w:r>
      <w:r w:rsidRPr="000A560F">
        <w:rPr>
          <w:rFonts w:ascii="Gill Sans" w:hAnsi="Gill Sans"/>
          <w:i w:val="0"/>
          <w:vertAlign w:val="superscript"/>
          <w:lang w:val="en-US"/>
        </w:rPr>
        <w:t>1</w:t>
      </w:r>
      <w:r w:rsidRPr="000A560F">
        <w:rPr>
          <w:rFonts w:ascii="Gill Sans" w:hAnsi="Gill Sans"/>
          <w:i w:val="0"/>
          <w:lang w:val="en-US"/>
        </w:rPr>
        <w:t xml:space="preserve">, </w:t>
      </w:r>
      <w:r w:rsidRPr="000A560F">
        <w:rPr>
          <w:rFonts w:ascii="Gill Sans" w:hAnsi="Gill Sans"/>
          <w:i w:val="0"/>
          <w:lang w:val="en-GB"/>
        </w:rPr>
        <w:t>Klaus D Wernecke PhD</w:t>
      </w:r>
      <w:r w:rsidRPr="000A560F">
        <w:rPr>
          <w:rFonts w:ascii="Gill Sans" w:hAnsi="Gill Sans"/>
          <w:i w:val="0"/>
          <w:vertAlign w:val="superscript"/>
          <w:lang w:val="en-GB"/>
        </w:rPr>
        <w:t>3</w:t>
      </w:r>
      <w:r w:rsidRPr="000A560F">
        <w:rPr>
          <w:rFonts w:ascii="Gill Sans" w:hAnsi="Gill Sans"/>
          <w:i w:val="0"/>
          <w:lang w:val="en-GB"/>
        </w:rPr>
        <w:t>, Claudia D Spies PhD</w:t>
      </w:r>
      <w:r w:rsidRPr="000A560F">
        <w:rPr>
          <w:rFonts w:ascii="Gill Sans" w:hAnsi="Gill Sans"/>
          <w:i w:val="0"/>
          <w:vertAlign w:val="superscript"/>
          <w:lang w:val="en-GB"/>
        </w:rPr>
        <w:t>1</w:t>
      </w:r>
      <w:r w:rsidRPr="000A560F">
        <w:rPr>
          <w:rFonts w:ascii="Gill Sans" w:hAnsi="Gill Sans"/>
          <w:i w:val="0"/>
          <w:lang w:val="en-GB"/>
        </w:rPr>
        <w:t>, Simone Spuler PhD</w:t>
      </w:r>
      <w:r w:rsidRPr="000A560F">
        <w:rPr>
          <w:rFonts w:ascii="Gill Sans" w:hAnsi="Gill Sans"/>
          <w:i w:val="0"/>
          <w:vertAlign w:val="superscript"/>
          <w:lang w:val="en-GB"/>
        </w:rPr>
        <w:t>4</w:t>
      </w:r>
      <w:r w:rsidRPr="000A560F">
        <w:rPr>
          <w:rFonts w:ascii="Gill Sans" w:hAnsi="Gill Sans"/>
          <w:i w:val="0"/>
          <w:lang w:val="en-GB"/>
        </w:rPr>
        <w:t>, Didier Keh PhD</w:t>
      </w:r>
      <w:r w:rsidRPr="000A560F">
        <w:rPr>
          <w:rFonts w:ascii="Gill Sans" w:hAnsi="Gill Sans"/>
          <w:i w:val="0"/>
          <w:vertAlign w:val="superscript"/>
          <w:lang w:val="en-GB"/>
        </w:rPr>
        <w:t>1</w:t>
      </w:r>
      <w:r w:rsidRPr="000A560F">
        <w:rPr>
          <w:rFonts w:ascii="Cambria" w:hAnsi="Cambria"/>
          <w:i w:val="0"/>
          <w:sz w:val="20"/>
          <w:lang w:val="en-US"/>
        </w:rPr>
        <w:t xml:space="preserve"> </w:t>
      </w:r>
    </w:p>
    <w:p w:rsidR="00B248DC" w:rsidRDefault="00B248DC" w:rsidP="000A560F">
      <w:pPr>
        <w:pStyle w:val="address"/>
        <w:spacing w:line="240" w:lineRule="auto"/>
        <w:rPr>
          <w:rFonts w:ascii="Cambria" w:hAnsi="Cambria"/>
          <w:i w:val="0"/>
          <w:sz w:val="20"/>
          <w:lang w:val="en-US"/>
        </w:rPr>
      </w:pPr>
    </w:p>
    <w:p w:rsidR="00B248DC" w:rsidRDefault="00B248DC" w:rsidP="000A560F">
      <w:pPr>
        <w:pStyle w:val="address"/>
        <w:spacing w:line="240" w:lineRule="auto"/>
        <w:rPr>
          <w:rFonts w:ascii="Cambria" w:hAnsi="Cambria"/>
          <w:i w:val="0"/>
          <w:sz w:val="20"/>
          <w:lang w:val="en-US"/>
        </w:rPr>
      </w:pPr>
      <w:r w:rsidRPr="005E795E">
        <w:rPr>
          <w:rFonts w:ascii="Cambria" w:hAnsi="Cambria"/>
          <w:i w:val="0"/>
          <w:sz w:val="20"/>
          <w:lang w:val="en-US"/>
        </w:rPr>
        <w:t>(#) SW-C and MD are equally contributing first authors</w:t>
      </w:r>
    </w:p>
    <w:p w:rsidR="00B248DC" w:rsidRPr="005E795E" w:rsidRDefault="00B248DC" w:rsidP="00991D95">
      <w:pPr>
        <w:pStyle w:val="address"/>
        <w:spacing w:line="240" w:lineRule="auto"/>
        <w:rPr>
          <w:rFonts w:ascii="Cambria" w:hAnsi="Cambria"/>
          <w:i w:val="0"/>
          <w:sz w:val="20"/>
          <w:lang w:val="en-US"/>
        </w:rPr>
      </w:pPr>
    </w:p>
    <w:p w:rsidR="00B248DC" w:rsidRPr="00553B06" w:rsidRDefault="00B248DC" w:rsidP="00991D95">
      <w:pPr>
        <w:pStyle w:val="Heading1"/>
        <w:rPr>
          <w:color w:val="auto"/>
          <w:lang w:val="en-GB"/>
        </w:rPr>
      </w:pPr>
      <w:r w:rsidRPr="00553B06">
        <w:rPr>
          <w:color w:val="auto"/>
          <w:lang w:val="en-GB"/>
        </w:rPr>
        <w:t>Online Data Supplement</w:t>
      </w:r>
    </w:p>
    <w:p w:rsidR="00B248DC" w:rsidRPr="00DF42EB" w:rsidRDefault="00B248DC" w:rsidP="00DF42EB">
      <w:pPr>
        <w:pStyle w:val="Heading2"/>
        <w:rPr>
          <w:snapToGrid w:val="0"/>
          <w:color w:val="auto"/>
          <w:lang w:val="en-GB"/>
        </w:rPr>
      </w:pPr>
      <w:r w:rsidRPr="00DF42EB">
        <w:rPr>
          <w:snapToGrid w:val="0"/>
          <w:color w:val="auto"/>
          <w:lang w:val="en-GB"/>
        </w:rPr>
        <w:t>Methods</w:t>
      </w:r>
    </w:p>
    <w:p w:rsidR="00B248DC" w:rsidRDefault="00B248DC" w:rsidP="0086619C">
      <w:pPr>
        <w:rPr>
          <w:snapToGrid w:val="0"/>
          <w:lang w:val="en-GB"/>
        </w:rPr>
      </w:pPr>
    </w:p>
    <w:p w:rsidR="00B248DC" w:rsidRPr="00553B06" w:rsidRDefault="00B248DC" w:rsidP="00174886">
      <w:pPr>
        <w:spacing w:line="480" w:lineRule="auto"/>
        <w:rPr>
          <w:snapToGrid w:val="0"/>
          <w:lang w:val="en-GB"/>
        </w:rPr>
      </w:pPr>
      <w:r>
        <w:rPr>
          <w:snapToGrid w:val="0"/>
          <w:lang w:val="en-GB"/>
        </w:rPr>
        <w:t xml:space="preserve">This study is a subanalysis of 40 patients derived from a prospective </w:t>
      </w:r>
      <w:r w:rsidRPr="00734EC0">
        <w:rPr>
          <w:snapToGrid w:val="0"/>
          <w:lang w:val="en-GB"/>
        </w:rPr>
        <w:t>observationa</w:t>
      </w:r>
      <w:r>
        <w:rPr>
          <w:snapToGrid w:val="0"/>
          <w:lang w:val="en-GB"/>
        </w:rPr>
        <w:t>l study</w:t>
      </w:r>
      <w:r w:rsidRPr="00553B06">
        <w:rPr>
          <w:lang w:val="en-GB"/>
        </w:rPr>
        <w:t xml:space="preserve"> </w:t>
      </w:r>
      <w:r w:rsidRPr="004A2075">
        <w:rPr>
          <w:snapToGrid w:val="0"/>
          <w:lang w:val="en-GB"/>
        </w:rPr>
        <w:t xml:space="preserve"> (</w:t>
      </w:r>
      <w:r>
        <w:rPr>
          <w:snapToGrid w:val="0"/>
          <w:lang w:val="en-GB"/>
        </w:rPr>
        <w:t>5</w:t>
      </w:r>
      <w:r w:rsidRPr="004A2075">
        <w:rPr>
          <w:snapToGrid w:val="0"/>
          <w:lang w:val="en-GB"/>
        </w:rPr>
        <w:t>)</w:t>
      </w:r>
      <w:r>
        <w:rPr>
          <w:lang w:val="en-US"/>
        </w:rPr>
        <w:t xml:space="preserve">. </w:t>
      </w:r>
      <w:r w:rsidRPr="00734EC0">
        <w:rPr>
          <w:snapToGrid w:val="0"/>
          <w:lang w:val="en-GB"/>
        </w:rPr>
        <w:t xml:space="preserve">We excluded minors, patients with </w:t>
      </w:r>
      <w:r>
        <w:rPr>
          <w:snapToGrid w:val="0"/>
          <w:lang w:val="en-GB"/>
        </w:rPr>
        <w:t xml:space="preserve">a history of </w:t>
      </w:r>
      <w:r w:rsidRPr="00734EC0">
        <w:rPr>
          <w:snapToGrid w:val="0"/>
          <w:lang w:val="en-GB"/>
        </w:rPr>
        <w:t xml:space="preserve">preexisting muscle disorders, severe head trauma, or bleeding diathesis </w:t>
      </w:r>
      <w:r w:rsidRPr="00553B06">
        <w:rPr>
          <w:snapToGrid w:val="0"/>
          <w:lang w:val="en-GB"/>
        </w:rPr>
        <w:t>(thrombocytopenia &lt; 20.000).</w:t>
      </w:r>
    </w:p>
    <w:p w:rsidR="00B248DC" w:rsidRPr="00DF42EB" w:rsidRDefault="00B248DC" w:rsidP="00991D95">
      <w:pPr>
        <w:spacing w:line="480" w:lineRule="auto"/>
        <w:rPr>
          <w:i/>
          <w:u w:val="single"/>
          <w:lang w:val="en-US"/>
        </w:rPr>
      </w:pPr>
      <w:r w:rsidRPr="00DF42EB">
        <w:rPr>
          <w:i/>
          <w:u w:val="single"/>
          <w:lang w:val="en-US"/>
        </w:rPr>
        <w:t>Electrophysiological measurements:</w:t>
      </w:r>
    </w:p>
    <w:p w:rsidR="00B248DC" w:rsidRPr="00553B06" w:rsidRDefault="00B248DC" w:rsidP="00991D95">
      <w:pPr>
        <w:spacing w:line="480" w:lineRule="auto"/>
        <w:rPr>
          <w:lang w:val="en-GB"/>
        </w:rPr>
      </w:pPr>
      <w:r>
        <w:rPr>
          <w:lang w:val="en-GB"/>
        </w:rPr>
        <w:t xml:space="preserve">Electrophysiological measurements were performed with </w:t>
      </w:r>
      <w:r w:rsidRPr="00734EC0">
        <w:rPr>
          <w:lang w:val="en-GB"/>
        </w:rPr>
        <w:t xml:space="preserve">a Keypoint 2 portable </w:t>
      </w:r>
      <w:r>
        <w:rPr>
          <w:lang w:val="en-GB"/>
        </w:rPr>
        <w:t>el</w:t>
      </w:r>
      <w:r w:rsidRPr="00734EC0">
        <w:rPr>
          <w:lang w:val="en-GB"/>
        </w:rPr>
        <w:t xml:space="preserve">ectromyograph/neurograph (Medtronic, </w:t>
      </w:r>
      <w:smartTag w:uri="urn:schemas-microsoft-com:office:smarttags" w:element="place">
        <w:smartTag w:uri="urn:schemas-microsoft-com:office:smarttags" w:element="City">
          <w:r w:rsidRPr="00734EC0">
            <w:rPr>
              <w:lang w:val="en-GB"/>
            </w:rPr>
            <w:t>Skovlunde</w:t>
          </w:r>
        </w:smartTag>
        <w:r w:rsidRPr="00734EC0">
          <w:rPr>
            <w:lang w:val="en-GB"/>
          </w:rPr>
          <w:t xml:space="preserve">, </w:t>
        </w:r>
        <w:smartTag w:uri="urn:schemas-microsoft-com:office:smarttags" w:element="country-region">
          <w:r w:rsidRPr="00734EC0">
            <w:rPr>
              <w:lang w:val="en-GB"/>
            </w:rPr>
            <w:t>Denmark</w:t>
          </w:r>
        </w:smartTag>
      </w:smartTag>
      <w:r w:rsidRPr="00734EC0">
        <w:rPr>
          <w:lang w:val="en-GB"/>
        </w:rPr>
        <w:t>)</w:t>
      </w:r>
      <w:r>
        <w:rPr>
          <w:lang w:val="en-GB"/>
        </w:rPr>
        <w:t>. Myopathy according to abnormal dmCMAP after direct muscle stimulation was defined at dmCMAP values &lt; 3 mV. Details of electrophysiological investigations are recorded elsewhere</w:t>
      </w:r>
      <w:r w:rsidRPr="00553B06">
        <w:rPr>
          <w:lang w:val="en-GB"/>
        </w:rPr>
        <w:t xml:space="preserve"> </w:t>
      </w:r>
      <w:r w:rsidRPr="004A2075">
        <w:rPr>
          <w:lang w:val="en-GB"/>
        </w:rPr>
        <w:t xml:space="preserve"> (</w:t>
      </w:r>
      <w:r>
        <w:rPr>
          <w:lang w:val="en-GB"/>
        </w:rPr>
        <w:t>5</w:t>
      </w:r>
      <w:r w:rsidRPr="004A2075">
        <w:rPr>
          <w:lang w:val="en-GB"/>
        </w:rPr>
        <w:t>)</w:t>
      </w:r>
      <w:r>
        <w:rPr>
          <w:lang w:val="en-GB"/>
        </w:rPr>
        <w:t>.</w:t>
      </w:r>
    </w:p>
    <w:p w:rsidR="00B248DC" w:rsidRPr="00553B06" w:rsidRDefault="00B248DC" w:rsidP="00991D95">
      <w:pPr>
        <w:spacing w:line="480" w:lineRule="auto"/>
        <w:rPr>
          <w:i/>
          <w:u w:val="single"/>
          <w:lang w:val="en-GB"/>
        </w:rPr>
      </w:pPr>
      <w:r w:rsidRPr="00553B06">
        <w:rPr>
          <w:i/>
          <w:u w:val="single"/>
          <w:lang w:val="en-GB"/>
        </w:rPr>
        <w:t xml:space="preserve">Patients general ICU care: </w:t>
      </w:r>
    </w:p>
    <w:p w:rsidR="00B248DC" w:rsidRDefault="00B248DC" w:rsidP="00991D95">
      <w:pPr>
        <w:spacing w:line="480" w:lineRule="auto"/>
        <w:rPr>
          <w:snapToGrid w:val="0"/>
          <w:lang w:val="en-GB"/>
        </w:rPr>
      </w:pPr>
      <w:r w:rsidRPr="00553B06">
        <w:rPr>
          <w:lang w:val="en-GB"/>
        </w:rPr>
        <w:t>Patients were treated following standard operating procedures of intensive care  (3</w:t>
      </w:r>
      <w:r>
        <w:rPr>
          <w:lang w:val="en-GB"/>
        </w:rPr>
        <w:t>9</w:t>
      </w:r>
      <w:r w:rsidRPr="00553B06">
        <w:rPr>
          <w:lang w:val="en-GB"/>
        </w:rPr>
        <w:t xml:space="preserve">) incorporating severe sepsis bundles </w:t>
      </w:r>
      <w:r>
        <w:rPr>
          <w:lang w:val="en-GB"/>
        </w:rPr>
        <w:t xml:space="preserve"> </w:t>
      </w:r>
      <w:r w:rsidRPr="00553B06">
        <w:rPr>
          <w:lang w:val="en-GB"/>
        </w:rPr>
        <w:t>(</w:t>
      </w:r>
      <w:r>
        <w:rPr>
          <w:lang w:val="en-GB"/>
        </w:rPr>
        <w:t>15</w:t>
      </w:r>
      <w:r w:rsidRPr="00553B06">
        <w:rPr>
          <w:lang w:val="en-GB"/>
        </w:rPr>
        <w:t>). Systemic inflammation, sepsis or severe sepsis (Table E1</w:t>
      </w:r>
      <w:r>
        <w:rPr>
          <w:lang w:val="en-GB"/>
        </w:rPr>
        <w:t>, below</w:t>
      </w:r>
      <w:r w:rsidRPr="00553B06">
        <w:rPr>
          <w:lang w:val="en-GB"/>
        </w:rPr>
        <w:t>) accompanied by organ dysfunction (Table E2</w:t>
      </w:r>
      <w:r>
        <w:rPr>
          <w:lang w:val="en-GB"/>
        </w:rPr>
        <w:t>, below</w:t>
      </w:r>
      <w:r w:rsidRPr="00553B06">
        <w:rPr>
          <w:lang w:val="en-GB"/>
        </w:rPr>
        <w:t>) was classified according to consensus conference criteria</w:t>
      </w:r>
      <w:r>
        <w:rPr>
          <w:lang w:val="en-GB"/>
        </w:rPr>
        <w:t xml:space="preserve"> </w:t>
      </w:r>
      <w:r w:rsidRPr="00553B06">
        <w:rPr>
          <w:lang w:val="en-GB"/>
        </w:rPr>
        <w:t xml:space="preserve"> (</w:t>
      </w:r>
      <w:r>
        <w:rPr>
          <w:lang w:val="en-GB"/>
        </w:rPr>
        <w:t>16</w:t>
      </w:r>
      <w:r w:rsidRPr="00553B06">
        <w:rPr>
          <w:lang w:val="en-GB"/>
        </w:rPr>
        <w:t>,</w:t>
      </w:r>
      <w:r>
        <w:rPr>
          <w:lang w:val="en-GB"/>
        </w:rPr>
        <w:t>17</w:t>
      </w:r>
      <w:r w:rsidRPr="00553B06">
        <w:rPr>
          <w:lang w:val="en-GB"/>
        </w:rPr>
        <w:t xml:space="preserve">). Patients were ventilated in a pressure controlled mode (biphasic positive airway pressure ventilation allowing assisted spontaneous breathing - BIPAP/ASB) to be aimed at a tidal volume of 6 ml/kg predicted body weight (PBW). Patients received standardised treatment including permissive hypercapnia, PEEP adjusted to oxygenation and intermittent prone positioning. </w:t>
      </w:r>
      <w:r>
        <w:rPr>
          <w:snapToGrid w:val="0"/>
          <w:lang w:val="en-GB"/>
        </w:rPr>
        <w:t xml:space="preserve">Hemodynamic management followed early goal directed volume replacement as recommended by Dellinger et al. </w:t>
      </w:r>
      <w:r w:rsidRPr="00553B06">
        <w:rPr>
          <w:lang w:val="en-GB"/>
        </w:rPr>
        <w:t xml:space="preserve"> (</w:t>
      </w:r>
      <w:r>
        <w:rPr>
          <w:lang w:val="en-GB"/>
        </w:rPr>
        <w:t>15</w:t>
      </w:r>
      <w:r w:rsidRPr="00553B06">
        <w:rPr>
          <w:lang w:val="en-GB"/>
        </w:rPr>
        <w:t>).</w:t>
      </w:r>
      <w:r>
        <w:rPr>
          <w:snapToGrid w:val="0"/>
          <w:lang w:val="en-GB"/>
        </w:rPr>
        <w:t xml:space="preserve"> </w:t>
      </w:r>
      <w:r w:rsidRPr="00553B06">
        <w:rPr>
          <w:lang w:val="en-GB"/>
        </w:rPr>
        <w:t xml:space="preserve">Patients with septic shock </w:t>
      </w:r>
      <w:r w:rsidRPr="00410AEF">
        <w:rPr>
          <w:snapToGrid w:val="0"/>
          <w:lang w:val="en-GB"/>
        </w:rPr>
        <w:t>received hydrocortisone with continuous infusion of 200 mg/day as an adjunctive therapy. Blood glucose adjustment followed a standardized protocol aiming at blood glucose levels &lt;</w:t>
      </w:r>
      <w:r w:rsidRPr="00734EC0">
        <w:rPr>
          <w:snapToGrid w:val="0"/>
          <w:lang w:val="en-GB"/>
        </w:rPr>
        <w:t xml:space="preserve">150 mg/dl. Neuromuscular blocking agents (NMBA) were used as bolus application only for specific maneuvers e.g. prone positioning or bronchoscopy. </w:t>
      </w:r>
    </w:p>
    <w:p w:rsidR="00B248DC" w:rsidRPr="00553B06" w:rsidRDefault="00B248DC" w:rsidP="00991D95">
      <w:pPr>
        <w:spacing w:line="480" w:lineRule="auto"/>
        <w:rPr>
          <w:u w:val="single"/>
          <w:lang w:val="en-GB"/>
        </w:rPr>
      </w:pPr>
      <w:r w:rsidRPr="00553B06">
        <w:rPr>
          <w:u w:val="single"/>
          <w:lang w:val="en-GB"/>
        </w:rPr>
        <w:t>Laboratory investigations:</w:t>
      </w:r>
    </w:p>
    <w:p w:rsidR="00B248DC" w:rsidRPr="00553B06" w:rsidRDefault="00B248DC" w:rsidP="00991D95">
      <w:pPr>
        <w:spacing w:line="480" w:lineRule="auto"/>
        <w:rPr>
          <w:snapToGrid w:val="0"/>
          <w:lang w:val="en-GB"/>
        </w:rPr>
      </w:pPr>
      <w:r w:rsidRPr="00553B06">
        <w:rPr>
          <w:lang w:val="en-GB"/>
        </w:rPr>
        <w:t xml:space="preserve">EDTA blood samples were immediately centrifugated, and plasma was stored at -80 °C until batch processing. IL-6 and IL-10 was measured with ELISA (BD, </w:t>
      </w:r>
      <w:smartTag w:uri="urn:schemas-microsoft-com:office:smarttags" w:element="place">
        <w:smartTag w:uri="urn:schemas-microsoft-com:office:smarttags" w:element="City">
          <w:r w:rsidRPr="00553B06">
            <w:rPr>
              <w:lang w:val="en-GB"/>
            </w:rPr>
            <w:t>Heidelberg</w:t>
          </w:r>
        </w:smartTag>
        <w:r w:rsidRPr="00553B06">
          <w:rPr>
            <w:lang w:val="en-GB"/>
          </w:rPr>
          <w:t xml:space="preserve">, </w:t>
        </w:r>
        <w:smartTag w:uri="urn:schemas-microsoft-com:office:smarttags" w:element="country-region">
          <w:r w:rsidRPr="00553B06">
            <w:rPr>
              <w:lang w:val="en-GB"/>
            </w:rPr>
            <w:t>Germany</w:t>
          </w:r>
        </w:smartTag>
      </w:smartTag>
      <w:r w:rsidRPr="00553B06">
        <w:rPr>
          <w:lang w:val="en-GB"/>
        </w:rPr>
        <w:t xml:space="preserve">) according to manufactures instructions. IGFBP-1 was measured with ELISA (Diagnsotics Systems Laboratories, </w:t>
      </w:r>
      <w:smartTag w:uri="urn:schemas-microsoft-com:office:smarttags" w:element="place">
        <w:smartTag w:uri="urn:schemas-microsoft-com:office:smarttags" w:element="City">
          <w:r w:rsidRPr="00553B06">
            <w:rPr>
              <w:lang w:val="en-GB"/>
            </w:rPr>
            <w:t>Sinsheim</w:t>
          </w:r>
        </w:smartTag>
        <w:r w:rsidRPr="00553B06">
          <w:rPr>
            <w:lang w:val="en-GB"/>
          </w:rPr>
          <w:t xml:space="preserve">, </w:t>
        </w:r>
        <w:smartTag w:uri="urn:schemas-microsoft-com:office:smarttags" w:element="country-region">
          <w:r w:rsidRPr="00553B06">
            <w:rPr>
              <w:lang w:val="en-GB"/>
            </w:rPr>
            <w:t>Germany</w:t>
          </w:r>
        </w:smartTag>
      </w:smartTag>
      <w:r w:rsidRPr="00553B06">
        <w:rPr>
          <w:lang w:val="en-GB"/>
        </w:rPr>
        <w:t xml:space="preserve">). IGFBP-3 and IGF-1 were measured using the Immulite2000 (Siemens Healthcare Diagnostics GMBH, </w:t>
      </w:r>
      <w:smartTag w:uri="urn:schemas-microsoft-com:office:smarttags" w:element="place">
        <w:smartTag w:uri="urn:schemas-microsoft-com:office:smarttags" w:element="City">
          <w:r w:rsidRPr="00553B06">
            <w:rPr>
              <w:lang w:val="en-GB"/>
            </w:rPr>
            <w:t>Eschborn</w:t>
          </w:r>
        </w:smartTag>
        <w:r w:rsidRPr="00553B06">
          <w:rPr>
            <w:lang w:val="en-GB"/>
          </w:rPr>
          <w:t xml:space="preserve">, </w:t>
        </w:r>
        <w:smartTag w:uri="urn:schemas-microsoft-com:office:smarttags" w:element="country-region">
          <w:r w:rsidRPr="00553B06">
            <w:rPr>
              <w:lang w:val="en-GB"/>
            </w:rPr>
            <w:t>Germany</w:t>
          </w:r>
        </w:smartTag>
      </w:smartTag>
      <w:r w:rsidRPr="00553B06">
        <w:rPr>
          <w:lang w:val="en-GB"/>
        </w:rPr>
        <w:t>). Quality measures were accurate respective all parameters (IGF-1: Intra-Assay CV 2.4-3.9%, Inter-Assay CV 3.7-8.1%; IGFBP-3: Intra-Assay CV 4.1-4.8%, Inter-Assay CV 5.2-7.3%).</w:t>
      </w:r>
    </w:p>
    <w:p w:rsidR="00B248DC" w:rsidRDefault="00B248DC" w:rsidP="003D71AB">
      <w:pPr>
        <w:pStyle w:val="Heading2"/>
        <w:rPr>
          <w:snapToGrid w:val="0"/>
          <w:color w:val="auto"/>
          <w:lang w:val="en-GB"/>
        </w:rPr>
      </w:pPr>
    </w:p>
    <w:p w:rsidR="00B248DC" w:rsidRPr="00266330" w:rsidRDefault="00B248DC" w:rsidP="00266330">
      <w:pPr>
        <w:rPr>
          <w:lang w:val="en-GB"/>
        </w:rPr>
      </w:pPr>
    </w:p>
    <w:p w:rsidR="00B248DC" w:rsidRDefault="00B248DC" w:rsidP="003D71AB">
      <w:pPr>
        <w:rPr>
          <w:snapToGrid w:val="0"/>
          <w:lang w:val="en-GB"/>
        </w:rPr>
      </w:pPr>
      <w:r w:rsidRPr="003D71AB">
        <w:rPr>
          <w:b/>
          <w:lang w:val="en-GB"/>
        </w:rPr>
        <w:t>Table E1:</w:t>
      </w:r>
      <w:r w:rsidRPr="003D71AB">
        <w:rPr>
          <w:lang w:val="en-GB"/>
        </w:rPr>
        <w:t xml:space="preserve"> Definition of </w:t>
      </w:r>
      <w:r>
        <w:rPr>
          <w:snapToGrid w:val="0"/>
          <w:lang w:val="en-GB"/>
        </w:rPr>
        <w:t>s</w:t>
      </w:r>
      <w:r w:rsidRPr="00734EC0">
        <w:rPr>
          <w:snapToGrid w:val="0"/>
          <w:lang w:val="en-GB"/>
        </w:rPr>
        <w:t xml:space="preserve">ystemic inflammation, sepsis and severe sepsis </w:t>
      </w:r>
    </w:p>
    <w:tbl>
      <w:tblPr>
        <w:tblW w:w="9214" w:type="dxa"/>
        <w:tblInd w:w="-459" w:type="dxa"/>
        <w:tblLook w:val="00BF"/>
      </w:tblPr>
      <w:tblGrid>
        <w:gridCol w:w="2268"/>
        <w:gridCol w:w="6946"/>
      </w:tblGrid>
      <w:tr w:rsidR="00B248DC" w:rsidRPr="005B2A7C" w:rsidTr="00A20A8C">
        <w:tc>
          <w:tcPr>
            <w:tcW w:w="2268" w:type="dxa"/>
            <w:tcBorders>
              <w:top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SIRS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Two or more of: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Temperature &gt;38°C or &lt;36°C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Heart rate 90 bpm</w:t>
            </w: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Respiratory rate &gt;20 1/min or paCO2 &gt; 4.2kPa (32mm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H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g)</w:t>
            </w: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White blood cell count &gt; 12 1/nl or &lt; 4 1/nl or 10% immature (band) forms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Sepsis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SIRS associated with documented infection and at least one or more: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Altered mental state</w:t>
            </w: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Hypoxaemia: paO2 &gt; 9.47kPa (72mmHg) at FiO2 21%, not due to a primary pulmonary disease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Elevated plasma lactate level</w:t>
            </w: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>Oliguria (urine output &lt; 0.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5 ml/kg/h)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Severe sepsis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Sepsis associated with organ dysfunction, hypotension, or evidence of hypoperfusion, including but not limited to acutely altered mental status, oliguria, or lactic acidosis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Septic shock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  <w:tcBorders>
              <w:bottom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Sepsis induced hypotension (systolic blood pressure &lt; 90mmHg or mean arterial pressure &lt; 60 mmHg or a fall of mean arterial pressure &gt; 40 mmHg from baseline), not responsive to fluid resuscitation</w:t>
            </w:r>
          </w:p>
        </w:tc>
      </w:tr>
    </w:tbl>
    <w:p w:rsidR="00B248DC" w:rsidRDefault="00B248DC" w:rsidP="003D71AB">
      <w:pPr>
        <w:rPr>
          <w:snapToGrid w:val="0"/>
          <w:lang w:val="en-GB"/>
        </w:rPr>
      </w:pPr>
      <w:r>
        <w:rPr>
          <w:snapToGrid w:val="0"/>
          <w:lang w:val="en-GB"/>
        </w:rPr>
        <w:t>Criteria for the definition of SIRS, sepsis, severe sepsis or septic shock. SIRS: systemic inflammatory response syndrome, bpm: beats per minute; paCO2</w:t>
      </w:r>
      <w:r w:rsidRPr="00266330">
        <w:rPr>
          <w:lang w:val="en-GB"/>
        </w:rPr>
        <w:t xml:space="preserve"> partial pressure of carbon dioxide in blood</w:t>
      </w:r>
      <w:r>
        <w:rPr>
          <w:snapToGrid w:val="0"/>
          <w:lang w:val="en-GB"/>
        </w:rPr>
        <w:t xml:space="preserve">: ;paO2 </w:t>
      </w:r>
      <w:r w:rsidRPr="00266330">
        <w:rPr>
          <w:lang w:val="en-GB"/>
        </w:rPr>
        <w:t xml:space="preserve">partial pressure of </w:t>
      </w:r>
      <w:r>
        <w:rPr>
          <w:lang w:val="en-GB"/>
        </w:rPr>
        <w:t xml:space="preserve">oxygen </w:t>
      </w:r>
      <w:r w:rsidRPr="00266330">
        <w:rPr>
          <w:lang w:val="en-GB"/>
        </w:rPr>
        <w:t>in blood</w:t>
      </w:r>
      <w:r>
        <w:rPr>
          <w:snapToGrid w:val="0"/>
          <w:lang w:val="en-GB"/>
        </w:rPr>
        <w:t>: ;FiO2: fraction of inspired oxygen.</w:t>
      </w:r>
    </w:p>
    <w:p w:rsidR="00B248DC" w:rsidRDefault="00B248DC" w:rsidP="003D71AB">
      <w:pPr>
        <w:rPr>
          <w:snapToGrid w:val="0"/>
          <w:lang w:val="en-GB"/>
        </w:rPr>
      </w:pPr>
    </w:p>
    <w:p w:rsidR="00B248DC" w:rsidRDefault="00B248DC" w:rsidP="003D71AB">
      <w:pPr>
        <w:rPr>
          <w:snapToGrid w:val="0"/>
          <w:lang w:val="en-GB"/>
        </w:rPr>
      </w:pPr>
    </w:p>
    <w:p w:rsidR="00B248DC" w:rsidRDefault="00B248DC" w:rsidP="003D71AB">
      <w:pPr>
        <w:rPr>
          <w:snapToGrid w:val="0"/>
          <w:lang w:val="en-GB"/>
        </w:rPr>
      </w:pPr>
    </w:p>
    <w:p w:rsidR="00B248DC" w:rsidRDefault="00B248DC" w:rsidP="003D71AB">
      <w:pPr>
        <w:rPr>
          <w:snapToGrid w:val="0"/>
          <w:lang w:val="en-GB"/>
        </w:rPr>
      </w:pPr>
    </w:p>
    <w:p w:rsidR="00B248DC" w:rsidRDefault="00B248DC" w:rsidP="003D71AB">
      <w:pPr>
        <w:rPr>
          <w:snapToGrid w:val="0"/>
          <w:lang w:val="en-GB"/>
        </w:rPr>
      </w:pPr>
      <w:r w:rsidRPr="003D71AB">
        <w:rPr>
          <w:b/>
          <w:lang w:val="en-GB"/>
        </w:rPr>
        <w:t>Table E2:</w:t>
      </w:r>
      <w:r w:rsidRPr="003D71AB">
        <w:rPr>
          <w:lang w:val="en-GB"/>
        </w:rPr>
        <w:t xml:space="preserve"> Definition of </w:t>
      </w:r>
      <w:r>
        <w:rPr>
          <w:snapToGrid w:val="0"/>
          <w:lang w:val="en-GB"/>
        </w:rPr>
        <w:t>organ dysfunction</w:t>
      </w:r>
    </w:p>
    <w:tbl>
      <w:tblPr>
        <w:tblW w:w="9214" w:type="dxa"/>
        <w:tblInd w:w="-459" w:type="dxa"/>
        <w:tblLook w:val="00BF"/>
      </w:tblPr>
      <w:tblGrid>
        <w:gridCol w:w="2268"/>
        <w:gridCol w:w="6946"/>
      </w:tblGrid>
      <w:tr w:rsidR="00B248DC" w:rsidRPr="005B2A7C" w:rsidTr="00A20A8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>Organ dysfunction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>criteria</w:t>
            </w:r>
          </w:p>
        </w:tc>
      </w:tr>
      <w:tr w:rsidR="00B248DC" w:rsidRPr="005B2A7C" w:rsidTr="00A20A8C">
        <w:tc>
          <w:tcPr>
            <w:tcW w:w="2268" w:type="dxa"/>
            <w:tcBorders>
              <w:top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Coagulation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30% fall of platel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e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ts within 24h or platel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e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ts ≤ 100 000 /mm3, not due to acute hemorrhage or immunologic suppression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Lung dysfunction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Hypoxaemia: paO2 ≤ 10 kPa (75mmHg) at FiO2 21% or paO2-FiO2-ratio ≤ 33 kPa (250mmHg), not due to chronic disease of heart or lung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Renal dysfunction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Urine output &lt; 0,5 ml/kg/h for at least 2h, not due to a hypovolemia or duplication of plasma creatinine above reference range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Liver dysfunction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>Bilirubin &gt; 2.0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mg/dl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,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0"/>
                <w:lang w:val="en-GB"/>
              </w:rPr>
              <w:t>without preexisting liver disease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ab/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Metabolic acidosis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Base excess ≤ -5mmol/l or lactate increase 1,5x above reference range</w:t>
            </w:r>
          </w:p>
        </w:tc>
      </w:tr>
      <w:tr w:rsidR="00B248DC" w:rsidRPr="005B2A7C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Mental State</w:t>
            </w: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</w:tr>
      <w:tr w:rsidR="00B248DC" w:rsidRPr="003D71AB" w:rsidTr="00A20A8C">
        <w:tc>
          <w:tcPr>
            <w:tcW w:w="2268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E901DF">
                  <w:rPr>
                    <w:rFonts w:ascii="Times New Roman" w:hAnsi="Times New Roman"/>
                    <w:sz w:val="18"/>
                    <w:szCs w:val="20"/>
                    <w:lang w:val="en-GB"/>
                  </w:rPr>
                  <w:t>Glasgow</w:t>
                </w:r>
              </w:smartTag>
            </w:smartTag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 xml:space="preserve"> coma scale &lt; 13 before start of analgosedation or</w:t>
            </w:r>
          </w:p>
        </w:tc>
      </w:tr>
      <w:tr w:rsidR="00B248DC" w:rsidRPr="005B2A7C" w:rsidTr="00A20A8C">
        <w:tc>
          <w:tcPr>
            <w:tcW w:w="2268" w:type="dxa"/>
            <w:tcBorders>
              <w:bottom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B248DC" w:rsidRPr="00E901DF" w:rsidRDefault="00B248DC" w:rsidP="00A20A8C">
            <w:pPr>
              <w:spacing w:line="480" w:lineRule="atLeast"/>
              <w:jc w:val="both"/>
              <w:rPr>
                <w:rFonts w:ascii="Times New Roman" w:hAnsi="Times New Roman"/>
                <w:sz w:val="18"/>
                <w:szCs w:val="20"/>
                <w:lang w:val="en-GB"/>
              </w:rPr>
            </w:pPr>
            <w:r>
              <w:rPr>
                <w:rFonts w:ascii="Times New Roman" w:hAnsi="Times New Roman"/>
                <w:sz w:val="18"/>
                <w:szCs w:val="20"/>
                <w:lang w:val="en-GB"/>
              </w:rPr>
              <w:t>a</w:t>
            </w:r>
            <w:r w:rsidRPr="00E901DF">
              <w:rPr>
                <w:rFonts w:ascii="Times New Roman" w:hAnsi="Times New Roman"/>
                <w:sz w:val="18"/>
                <w:szCs w:val="20"/>
                <w:lang w:val="en-GB"/>
              </w:rPr>
              <w:t>cutely altered mental status</w:t>
            </w:r>
          </w:p>
        </w:tc>
      </w:tr>
    </w:tbl>
    <w:p w:rsidR="00B248DC" w:rsidRPr="00266330" w:rsidRDefault="00B248DC" w:rsidP="003D71AB">
      <w:pPr>
        <w:pStyle w:val="Heading2"/>
        <w:rPr>
          <w:rFonts w:ascii="Cambria" w:hAnsi="Cambria"/>
          <w:b w:val="0"/>
          <w:bCs w:val="0"/>
          <w:snapToGrid w:val="0"/>
          <w:color w:val="auto"/>
          <w:sz w:val="24"/>
          <w:szCs w:val="24"/>
          <w:lang w:val="en-GB"/>
        </w:rPr>
      </w:pPr>
      <w:r w:rsidRPr="00266330">
        <w:rPr>
          <w:rFonts w:ascii="Cambria" w:hAnsi="Cambria"/>
          <w:b w:val="0"/>
          <w:bCs w:val="0"/>
          <w:snapToGrid w:val="0"/>
          <w:color w:val="auto"/>
          <w:sz w:val="24"/>
          <w:szCs w:val="24"/>
          <w:lang w:val="en-GB"/>
        </w:rPr>
        <w:t>Criteria for definition of organ dysfunction. paO2: partial pressure of oxygen in blood; FiO2: fraction of inspired oxygen.</w:t>
      </w:r>
    </w:p>
    <w:sectPr w:rsidR="00B248DC" w:rsidRPr="00266330" w:rsidSect="0086619C">
      <w:pgSz w:w="11906" w:h="16838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l Sans">
    <w:altName w:val="Gill Sans M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35B3"/>
    <w:rsid w:val="00042425"/>
    <w:rsid w:val="000A560F"/>
    <w:rsid w:val="000B7D8C"/>
    <w:rsid w:val="000E23FC"/>
    <w:rsid w:val="00133025"/>
    <w:rsid w:val="00174886"/>
    <w:rsid w:val="00191846"/>
    <w:rsid w:val="00196652"/>
    <w:rsid w:val="00266330"/>
    <w:rsid w:val="002D3B95"/>
    <w:rsid w:val="00321DE6"/>
    <w:rsid w:val="003D71AB"/>
    <w:rsid w:val="003F7277"/>
    <w:rsid w:val="00410AEF"/>
    <w:rsid w:val="0048204C"/>
    <w:rsid w:val="004A2075"/>
    <w:rsid w:val="00553B06"/>
    <w:rsid w:val="005B2A7C"/>
    <w:rsid w:val="005E795E"/>
    <w:rsid w:val="006710AA"/>
    <w:rsid w:val="0068126F"/>
    <w:rsid w:val="006B51BB"/>
    <w:rsid w:val="00727029"/>
    <w:rsid w:val="00734EC0"/>
    <w:rsid w:val="007364C6"/>
    <w:rsid w:val="0074042E"/>
    <w:rsid w:val="00791894"/>
    <w:rsid w:val="008431A8"/>
    <w:rsid w:val="0086619C"/>
    <w:rsid w:val="00866F87"/>
    <w:rsid w:val="00874A51"/>
    <w:rsid w:val="008A3EAF"/>
    <w:rsid w:val="00911338"/>
    <w:rsid w:val="00970A20"/>
    <w:rsid w:val="00991D95"/>
    <w:rsid w:val="009C6022"/>
    <w:rsid w:val="009E1247"/>
    <w:rsid w:val="00A20A8C"/>
    <w:rsid w:val="00B17411"/>
    <w:rsid w:val="00B248DC"/>
    <w:rsid w:val="00D05292"/>
    <w:rsid w:val="00D5088B"/>
    <w:rsid w:val="00D63260"/>
    <w:rsid w:val="00DF42EB"/>
    <w:rsid w:val="00E465BF"/>
    <w:rsid w:val="00E901DF"/>
    <w:rsid w:val="00EE72D6"/>
    <w:rsid w:val="00F635B3"/>
    <w:rsid w:val="00F96085"/>
    <w:rsid w:val="00FD7C71"/>
    <w:rsid w:val="00FF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D8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635B3"/>
    <w:pPr>
      <w:keepNext/>
      <w:keepLines/>
      <w:spacing w:before="480" w:line="360" w:lineRule="auto"/>
      <w:outlineLvl w:val="0"/>
    </w:pPr>
    <w:rPr>
      <w:rFonts w:ascii="Calibri" w:hAnsi="Calibri"/>
      <w:b/>
      <w:bCs/>
      <w:color w:val="345A8A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42EB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619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635B3"/>
    <w:rPr>
      <w:rFonts w:ascii="Calibri" w:hAnsi="Calibri" w:cs="Times New Roman"/>
      <w:b/>
      <w:bCs/>
      <w:color w:val="345A8A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F42EB"/>
    <w:rPr>
      <w:rFonts w:ascii="Calibri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6619C"/>
    <w:rPr>
      <w:rFonts w:ascii="Calibri" w:hAnsi="Calibri" w:cs="Times New Roman"/>
      <w:b/>
      <w:bCs/>
      <w:color w:val="4F81BD"/>
    </w:rPr>
  </w:style>
  <w:style w:type="paragraph" w:customStyle="1" w:styleId="author">
    <w:name w:val="author"/>
    <w:basedOn w:val="Normal"/>
    <w:uiPriority w:val="99"/>
    <w:rsid w:val="00991D95"/>
    <w:pPr>
      <w:overflowPunct w:val="0"/>
      <w:autoSpaceDE w:val="0"/>
      <w:autoSpaceDN w:val="0"/>
      <w:adjustRightInd w:val="0"/>
      <w:spacing w:before="120" w:after="120" w:line="480" w:lineRule="auto"/>
      <w:textAlignment w:val="baseline"/>
    </w:pPr>
    <w:rPr>
      <w:rFonts w:ascii="Times New Roman" w:hAnsi="Times New Roman"/>
      <w:smallCaps/>
      <w:szCs w:val="20"/>
    </w:rPr>
  </w:style>
  <w:style w:type="paragraph" w:customStyle="1" w:styleId="address">
    <w:name w:val="address"/>
    <w:basedOn w:val="Normal"/>
    <w:uiPriority w:val="99"/>
    <w:rsid w:val="00991D95"/>
    <w:pPr>
      <w:overflowPunct w:val="0"/>
      <w:autoSpaceDE w:val="0"/>
      <w:autoSpaceDN w:val="0"/>
      <w:adjustRightInd w:val="0"/>
      <w:spacing w:before="120" w:after="120" w:line="480" w:lineRule="auto"/>
      <w:textAlignment w:val="baseline"/>
    </w:pPr>
    <w:rPr>
      <w:rFonts w:ascii="Times New Roman" w:hAnsi="Times New Roman"/>
      <w:i/>
      <w:szCs w:val="20"/>
    </w:rPr>
  </w:style>
  <w:style w:type="paragraph" w:customStyle="1" w:styleId="berschrift11">
    <w:name w:val="Überschrift 11"/>
    <w:next w:val="Normal"/>
    <w:uiPriority w:val="99"/>
    <w:rsid w:val="000A560F"/>
    <w:pPr>
      <w:keepNext/>
      <w:keepLines/>
      <w:spacing w:before="480" w:line="480" w:lineRule="auto"/>
      <w:outlineLvl w:val="0"/>
    </w:pPr>
    <w:rPr>
      <w:rFonts w:ascii="Gill Sans" w:eastAsia="?????? Pro W3" w:hAnsi="Gill Sans"/>
      <w:color w:val="000000"/>
      <w:sz w:val="32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675</Words>
  <Characters>4257</Characters>
  <Application>Microsoft Office Outlook</Application>
  <DocSecurity>0</DocSecurity>
  <Lines>0</Lines>
  <Paragraphs>0</Paragraphs>
  <ScaleCrop>false</ScaleCrop>
  <Company>Charite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Weber-Carstens</dc:creator>
  <cp:keywords/>
  <dc:description/>
  <cp:lastModifiedBy>jbierbra</cp:lastModifiedBy>
  <cp:revision>19</cp:revision>
  <dcterms:created xsi:type="dcterms:W3CDTF">2009-07-29T09:06:00Z</dcterms:created>
  <dcterms:modified xsi:type="dcterms:W3CDTF">2010-06-16T15:44:00Z</dcterms:modified>
</cp:coreProperties>
</file>