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081" w:rsidRDefault="00077081" w:rsidP="00A05114">
      <w:pPr>
        <w:jc w:val="center"/>
      </w:pPr>
    </w:p>
    <w:p w:rsidR="00077081" w:rsidRDefault="00077081" w:rsidP="00A05114">
      <w:pPr>
        <w:jc w:val="center"/>
      </w:pPr>
    </w:p>
    <w:p w:rsidR="00077081" w:rsidRDefault="00077081" w:rsidP="00A05114">
      <w:pPr>
        <w:jc w:val="center"/>
      </w:pPr>
    </w:p>
    <w:p w:rsidR="00077081" w:rsidRDefault="00077081" w:rsidP="00A05114">
      <w:pPr>
        <w:jc w:val="center"/>
      </w:pPr>
      <w:r>
        <w:t>Supplementary Information</w:t>
      </w:r>
      <w:r w:rsidR="008F672F">
        <w:t xml:space="preserve"> for…</w:t>
      </w:r>
    </w:p>
    <w:p w:rsidR="00077081" w:rsidRPr="00125EC2" w:rsidRDefault="00125EC2" w:rsidP="00077081">
      <w:pPr>
        <w:pStyle w:val="Heading1"/>
        <w:jc w:val="center"/>
        <w:rPr>
          <w:lang w:val="en-US"/>
        </w:rPr>
        <w:sectPr w:rsidR="00077081" w:rsidRPr="00125EC2"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caps w:val="0"/>
        </w:rPr>
        <w:t>Assessing telomer</w:t>
      </w:r>
      <w:r>
        <w:rPr>
          <w:caps w:val="0"/>
          <w:lang w:val="en-US"/>
        </w:rPr>
        <w:t>ic DNA</w:t>
      </w:r>
      <w:r w:rsidRPr="00D67354">
        <w:rPr>
          <w:caps w:val="0"/>
        </w:rPr>
        <w:t xml:space="preserve"> content in pediatric cancers using whole-genome sequencing data</w:t>
      </w:r>
      <w:r>
        <w:rPr>
          <w:caps w:val="0"/>
          <w:lang w:val="en-US"/>
        </w:rPr>
        <w:t>.</w:t>
      </w:r>
    </w:p>
    <w:p w:rsidR="00A31F94" w:rsidRDefault="00614AA1" w:rsidP="00A05114">
      <w:pPr>
        <w:jc w:val="center"/>
      </w:pPr>
      <w:r>
        <w:rPr>
          <w:noProof/>
        </w:rPr>
        <w:lastRenderedPageBreak/>
        <w:drawing>
          <wp:inline distT="0" distB="0" distL="0" distR="0">
            <wp:extent cx="2011680" cy="3641506"/>
            <wp:effectExtent l="0" t="0" r="7620" b="0"/>
            <wp:docPr id="1" name="Picture 1" descr="T:\ZhangLab\JinghuiZhang\Papers\Telomere\GenomeBiology05162012\Revisions\FigureS1_telomeres_WGS_Parker_Genome_Biolog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:\ZhangLab\JinghuiZhang\Papers\Telomere\GenomeBiology05162012\Revisions\FigureS1_telomeres_WGS_Parker_Genome_Biology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331" cy="3642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F94" w:rsidRDefault="00A31F94"/>
    <w:p w:rsidR="00946B9B" w:rsidRDefault="00125EC2">
      <w:r>
        <w:rPr>
          <w:b/>
        </w:rPr>
        <w:t>F</w:t>
      </w:r>
      <w:r w:rsidR="00A31F94" w:rsidRPr="00A31F94">
        <w:rPr>
          <w:b/>
        </w:rPr>
        <w:t xml:space="preserve">igure </w:t>
      </w:r>
      <w:r>
        <w:rPr>
          <w:b/>
        </w:rPr>
        <w:t>S</w:t>
      </w:r>
      <w:bookmarkStart w:id="0" w:name="_GoBack"/>
      <w:bookmarkEnd w:id="0"/>
      <w:r w:rsidR="00A31F94" w:rsidRPr="00A31F94">
        <w:rPr>
          <w:b/>
        </w:rPr>
        <w:t>1</w:t>
      </w:r>
      <w:r w:rsidR="00A31F94">
        <w:t xml:space="preserve"> – Biological Reproducibility</w:t>
      </w:r>
    </w:p>
    <w:p w:rsidR="00A31F94" w:rsidRDefault="00EF1373" w:rsidP="00EF1373">
      <w:r w:rsidRPr="00EF1373">
        <w:rPr>
          <w:b/>
        </w:rPr>
        <w:t>A.</w:t>
      </w:r>
      <w:r>
        <w:t xml:space="preserve">  Infant ALL normalized diagnostic telomere read counts including a set of twins.  Both of these twins contain the same initiating MLL translocation event (data not shown) indicating that their tumors share a common clonal origin.  The standard deviation telomere content in these two samples is under half of the standard</w:t>
      </w:r>
      <w:r w:rsidR="00571343">
        <w:t xml:space="preserve"> deviation for the whole cohort.</w:t>
      </w:r>
      <w:r w:rsidR="009A3BC9">
        <w:t xml:space="preserve"> </w:t>
      </w:r>
    </w:p>
    <w:p w:rsidR="00A05114" w:rsidRDefault="00A05114" w:rsidP="00EF1373"/>
    <w:p w:rsidR="00A05114" w:rsidRDefault="00A05114" w:rsidP="00A05114">
      <w:pPr>
        <w:jc w:val="center"/>
      </w:pPr>
    </w:p>
    <w:p w:rsidR="00A05114" w:rsidRDefault="00A05114" w:rsidP="00A05114">
      <w:pPr>
        <w:jc w:val="center"/>
      </w:pPr>
    </w:p>
    <w:p w:rsidR="00A05114" w:rsidRDefault="00A05114" w:rsidP="00A05114">
      <w:pPr>
        <w:jc w:val="center"/>
      </w:pPr>
    </w:p>
    <w:p w:rsidR="00916707" w:rsidRPr="009A3BC9" w:rsidRDefault="00916707" w:rsidP="00EF1373"/>
    <w:sectPr w:rsidR="00916707" w:rsidRPr="009A3B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081" w:rsidRDefault="00077081" w:rsidP="00077081">
      <w:pPr>
        <w:spacing w:after="0" w:line="240" w:lineRule="auto"/>
      </w:pPr>
      <w:r>
        <w:separator/>
      </w:r>
    </w:p>
  </w:endnote>
  <w:endnote w:type="continuationSeparator" w:id="0">
    <w:p w:rsidR="00077081" w:rsidRDefault="00077081" w:rsidP="00077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22982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7081" w:rsidRDefault="0007708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5EC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77081" w:rsidRDefault="0007708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081" w:rsidRDefault="00077081" w:rsidP="00077081">
      <w:pPr>
        <w:spacing w:after="0" w:line="240" w:lineRule="auto"/>
      </w:pPr>
      <w:r>
        <w:separator/>
      </w:r>
    </w:p>
  </w:footnote>
  <w:footnote w:type="continuationSeparator" w:id="0">
    <w:p w:rsidR="00077081" w:rsidRDefault="00077081" w:rsidP="000770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424C6"/>
    <w:multiLevelType w:val="hybridMultilevel"/>
    <w:tmpl w:val="29088B0C"/>
    <w:lvl w:ilvl="0" w:tplc="F392B7D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F94"/>
    <w:rsid w:val="00077081"/>
    <w:rsid w:val="00125EC2"/>
    <w:rsid w:val="00256000"/>
    <w:rsid w:val="00571343"/>
    <w:rsid w:val="00614AA1"/>
    <w:rsid w:val="00845CEB"/>
    <w:rsid w:val="008F672F"/>
    <w:rsid w:val="00916707"/>
    <w:rsid w:val="00946B9B"/>
    <w:rsid w:val="009A3BC9"/>
    <w:rsid w:val="00A05114"/>
    <w:rsid w:val="00A31F94"/>
    <w:rsid w:val="00A33A5E"/>
    <w:rsid w:val="00A51493"/>
    <w:rsid w:val="00CC31DB"/>
    <w:rsid w:val="00EF1373"/>
    <w:rsid w:val="00FA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7081"/>
    <w:pPr>
      <w:keepNext/>
      <w:keepLines/>
      <w:spacing w:before="480" w:after="0" w:line="480" w:lineRule="auto"/>
      <w:outlineLvl w:val="0"/>
    </w:pPr>
    <w:rPr>
      <w:rFonts w:ascii="Cambria" w:eastAsia="Times New Roman" w:hAnsi="Cambria" w:cs="Times New Roman"/>
      <w:b/>
      <w:bCs/>
      <w:cap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1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F9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F137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77081"/>
    <w:rPr>
      <w:rFonts w:ascii="Cambria" w:eastAsia="Times New Roman" w:hAnsi="Cambria" w:cs="Times New Roman"/>
      <w:b/>
      <w:bCs/>
      <w:caps/>
      <w:sz w:val="28"/>
      <w:szCs w:val="28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0770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7081"/>
  </w:style>
  <w:style w:type="paragraph" w:styleId="Footer">
    <w:name w:val="footer"/>
    <w:basedOn w:val="Normal"/>
    <w:link w:val="FooterChar"/>
    <w:uiPriority w:val="99"/>
    <w:unhideWhenUsed/>
    <w:rsid w:val="000770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70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7081"/>
    <w:pPr>
      <w:keepNext/>
      <w:keepLines/>
      <w:spacing w:before="480" w:after="0" w:line="480" w:lineRule="auto"/>
      <w:outlineLvl w:val="0"/>
    </w:pPr>
    <w:rPr>
      <w:rFonts w:ascii="Cambria" w:eastAsia="Times New Roman" w:hAnsi="Cambria" w:cs="Times New Roman"/>
      <w:b/>
      <w:bCs/>
      <w:cap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1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F9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F137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77081"/>
    <w:rPr>
      <w:rFonts w:ascii="Cambria" w:eastAsia="Times New Roman" w:hAnsi="Cambria" w:cs="Times New Roman"/>
      <w:b/>
      <w:bCs/>
      <w:caps/>
      <w:sz w:val="28"/>
      <w:szCs w:val="28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0770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7081"/>
  </w:style>
  <w:style w:type="paragraph" w:styleId="Footer">
    <w:name w:val="footer"/>
    <w:basedOn w:val="Normal"/>
    <w:link w:val="FooterChar"/>
    <w:uiPriority w:val="99"/>
    <w:unhideWhenUsed/>
    <w:rsid w:val="000770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70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Jude Children's Research Hospital</Company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 Jude</dc:creator>
  <cp:lastModifiedBy>St Jude</cp:lastModifiedBy>
  <cp:revision>15</cp:revision>
  <dcterms:created xsi:type="dcterms:W3CDTF">2012-10-28T22:49:00Z</dcterms:created>
  <dcterms:modified xsi:type="dcterms:W3CDTF">2012-12-10T02:06:00Z</dcterms:modified>
</cp:coreProperties>
</file>