
<file path=[Content_Types].xml><?xml version="1.0" encoding="utf-8"?>
<Types xmlns="http://schemas.openxmlformats.org/package/2006/content-types">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charts/chart1.xml" ContentType="application/vnd.openxmlformats-officedocument.drawingml.chart+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FFF" w:rsidRDefault="00125FFF" w:rsidP="00125FFF">
      <w:pPr>
        <w:spacing w:line="360" w:lineRule="auto"/>
        <w:rPr>
          <w:b/>
          <w:noProof/>
          <w:lang w:eastAsia="nb-NO"/>
        </w:rPr>
      </w:pPr>
      <w:r>
        <w:rPr>
          <w:noProof/>
        </w:rPr>
        <w:drawing>
          <wp:inline distT="0" distB="0" distL="0" distR="0">
            <wp:extent cx="3309855" cy="3218422"/>
            <wp:effectExtent l="19050" t="0" r="4845" b="0"/>
            <wp:docPr id="8" name="Picture 3" descr="suppl_fig_SFAA_number_og_genes_in_oper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_fig_SFAA_number_og_genes_in_operon.png"/>
                    <pic:cNvPicPr/>
                  </pic:nvPicPr>
                  <pic:blipFill>
                    <a:blip r:embed="rId6" cstate="print"/>
                    <a:stretch>
                      <a:fillRect/>
                    </a:stretch>
                  </pic:blipFill>
                  <pic:spPr>
                    <a:xfrm>
                      <a:off x="0" y="0"/>
                      <a:ext cx="3309855" cy="3218422"/>
                    </a:xfrm>
                    <a:prstGeom prst="rect">
                      <a:avLst/>
                    </a:prstGeom>
                  </pic:spPr>
                </pic:pic>
              </a:graphicData>
            </a:graphic>
          </wp:inline>
        </w:drawing>
      </w:r>
    </w:p>
    <w:p w:rsidR="00125FFF" w:rsidRDefault="00125FFF" w:rsidP="00125FFF">
      <w:pPr>
        <w:spacing w:line="360" w:lineRule="auto"/>
        <w:rPr>
          <w:noProof/>
          <w:lang w:eastAsia="nb-NO"/>
        </w:rPr>
      </w:pPr>
      <w:r w:rsidRPr="00565254">
        <w:rPr>
          <w:b/>
          <w:noProof/>
          <w:lang w:eastAsia="nb-NO"/>
        </w:rPr>
        <w:t xml:space="preserve">Suppl. fig. </w:t>
      </w:r>
      <w:r w:rsidRPr="00BA450A">
        <w:rPr>
          <w:b/>
          <w:noProof/>
          <w:lang w:eastAsia="nb-NO"/>
        </w:rPr>
        <w:t>S1.</w:t>
      </w:r>
      <w:r w:rsidRPr="00565254">
        <w:rPr>
          <w:b/>
          <w:noProof/>
          <w:lang w:eastAsia="nb-NO"/>
        </w:rPr>
        <w:t xml:space="preserve"> </w:t>
      </w:r>
      <w:r w:rsidRPr="00322CC3">
        <w:rPr>
          <w:noProof/>
          <w:lang w:eastAsia="nb-NO"/>
        </w:rPr>
        <w:t>Gene number</w:t>
      </w:r>
      <w:r w:rsidRPr="00565254">
        <w:rPr>
          <w:b/>
          <w:noProof/>
          <w:lang w:eastAsia="nb-NO"/>
        </w:rPr>
        <w:t xml:space="preserve"> </w:t>
      </w:r>
      <w:r w:rsidRPr="00565254">
        <w:rPr>
          <w:noProof/>
          <w:lang w:eastAsia="nb-NO"/>
        </w:rPr>
        <w:t>distribution</w:t>
      </w:r>
      <w:r w:rsidR="00E6716E">
        <w:rPr>
          <w:noProof/>
          <w:lang w:eastAsia="nb-NO"/>
        </w:rPr>
        <w:t xml:space="preserve"> </w:t>
      </w:r>
      <w:r w:rsidRPr="00565254">
        <w:rPr>
          <w:noProof/>
          <w:lang w:eastAsia="nb-NO"/>
        </w:rPr>
        <w:t xml:space="preserve">in operons from </w:t>
      </w:r>
      <w:r w:rsidRPr="00565254">
        <w:rPr>
          <w:i/>
          <w:noProof/>
          <w:lang w:eastAsia="nb-NO"/>
        </w:rPr>
        <w:t xml:space="preserve">B. cereus </w:t>
      </w:r>
      <w:r w:rsidRPr="00565254">
        <w:rPr>
          <w:noProof/>
          <w:lang w:eastAsia="nb-NO"/>
        </w:rPr>
        <w:t>strains ATCC 10987 and ATCC 14579</w:t>
      </w:r>
      <w:r w:rsidR="00B1101C">
        <w:rPr>
          <w:noProof/>
          <w:lang w:eastAsia="nb-NO"/>
        </w:rPr>
        <w:t>, respectively</w:t>
      </w:r>
      <w:r w:rsidR="000F3EF6">
        <w:rPr>
          <w:noProof/>
          <w:lang w:eastAsia="nb-NO"/>
        </w:rPr>
        <w:t xml:space="preserve"> (number of operons</w:t>
      </w:r>
      <w:r w:rsidR="00B1101C">
        <w:rPr>
          <w:noProof/>
          <w:lang w:eastAsia="nb-NO"/>
        </w:rPr>
        <w:t xml:space="preserve"> are</w:t>
      </w:r>
      <w:r w:rsidR="000F3EF6">
        <w:rPr>
          <w:noProof/>
          <w:lang w:eastAsia="nb-NO"/>
        </w:rPr>
        <w:t xml:space="preserve"> drawn at log scale)</w:t>
      </w:r>
      <w:r w:rsidRPr="00565254">
        <w:rPr>
          <w:noProof/>
          <w:lang w:eastAsia="nb-NO"/>
        </w:rPr>
        <w:t>.</w:t>
      </w:r>
    </w:p>
    <w:p w:rsidR="00125FFF" w:rsidRDefault="00125FFF" w:rsidP="00125FFF">
      <w:pPr>
        <w:spacing w:line="360" w:lineRule="auto"/>
        <w:rPr>
          <w:noProof/>
          <w:lang w:eastAsia="nb-NO"/>
        </w:rPr>
      </w:pPr>
    </w:p>
    <w:p w:rsidR="00761855" w:rsidRDefault="00761855" w:rsidP="00125FFF">
      <w:pPr>
        <w:rPr>
          <w:noProof/>
          <w:lang w:val="nb-NO" w:eastAsia="nb-NO"/>
        </w:rPr>
      </w:pPr>
    </w:p>
    <w:p w:rsidR="00B86E64" w:rsidRDefault="00B86E64" w:rsidP="00B86E64">
      <w:pPr>
        <w:rPr>
          <w:lang w:val="nb-NO"/>
        </w:rPr>
      </w:pPr>
    </w:p>
    <w:p w:rsidR="00061DB1" w:rsidRDefault="00061DB1" w:rsidP="00061DB1">
      <w:r>
        <w:rPr>
          <w:lang w:val="nb-NO"/>
        </w:rPr>
        <w:br w:type="page"/>
      </w:r>
      <w:r w:rsidR="00F75D73">
        <w:rPr>
          <w:noProof/>
        </w:rPr>
        <w:drawing>
          <wp:inline distT="0" distB="0" distL="0" distR="0">
            <wp:extent cx="5270500" cy="5259705"/>
            <wp:effectExtent l="25400" t="0" r="0" b="0"/>
            <wp:docPr id="5" name="Picture 0" descr="Bc14579_D_mot_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14579_D_mot_B.png"/>
                    <pic:cNvPicPr/>
                  </pic:nvPicPr>
                  <pic:blipFill>
                    <a:blip r:embed="rId7"/>
                    <a:stretch>
                      <a:fillRect/>
                    </a:stretch>
                  </pic:blipFill>
                  <pic:spPr>
                    <a:xfrm>
                      <a:off x="0" y="0"/>
                      <a:ext cx="5270500" cy="5259705"/>
                    </a:xfrm>
                    <a:prstGeom prst="rect">
                      <a:avLst/>
                    </a:prstGeom>
                  </pic:spPr>
                </pic:pic>
              </a:graphicData>
            </a:graphic>
          </wp:inline>
        </w:drawing>
      </w:r>
    </w:p>
    <w:p w:rsidR="00061DB1" w:rsidRDefault="00061DB1" w:rsidP="00061DB1"/>
    <w:p w:rsidR="00061DB1" w:rsidRPr="009B1473" w:rsidRDefault="00B1101C" w:rsidP="00061DB1">
      <w:r>
        <w:rPr>
          <w:b/>
        </w:rPr>
        <w:t>Suppl. f</w:t>
      </w:r>
      <w:r w:rsidR="00BA450A">
        <w:rPr>
          <w:b/>
        </w:rPr>
        <w:t>ig. S4</w:t>
      </w:r>
      <w:r w:rsidR="00061DB1">
        <w:rPr>
          <w:b/>
        </w:rPr>
        <w:t xml:space="preserve">. </w:t>
      </w:r>
      <w:r w:rsidR="00061DB1">
        <w:t xml:space="preserve">Statistical correlation (Pearson correlation) of calculated mRNA half-lives </w:t>
      </w:r>
      <w:r>
        <w:t>from the two biological replicates (B-series and D-series, respectively) analyzed from</w:t>
      </w:r>
      <w:r w:rsidR="00061DB1">
        <w:t xml:space="preserve"> </w:t>
      </w:r>
      <w:r w:rsidR="00061DB1">
        <w:rPr>
          <w:i/>
        </w:rPr>
        <w:t xml:space="preserve">B. cereus </w:t>
      </w:r>
      <w:r>
        <w:t xml:space="preserve">strain </w:t>
      </w:r>
      <w:r w:rsidR="00061DB1">
        <w:t>ATCC 145</w:t>
      </w:r>
      <w:r>
        <w:t>79</w:t>
      </w:r>
      <w:r w:rsidR="00061DB1">
        <w:t xml:space="preserve">.     </w:t>
      </w:r>
    </w:p>
    <w:p w:rsidR="00061DB1" w:rsidRPr="006E0E01" w:rsidRDefault="00061DB1" w:rsidP="00061DB1">
      <w:pPr>
        <w:rPr>
          <w:b/>
        </w:rPr>
      </w:pPr>
    </w:p>
    <w:p w:rsidR="00061DB1" w:rsidRDefault="00061DB1">
      <w:pPr>
        <w:rPr>
          <w:lang w:val="nb-NO"/>
        </w:rPr>
      </w:pPr>
    </w:p>
    <w:p w:rsidR="00061DB1" w:rsidRDefault="00061DB1">
      <w:pPr>
        <w:rPr>
          <w:lang w:val="nb-NO"/>
        </w:rPr>
      </w:pPr>
      <w:r>
        <w:rPr>
          <w:lang w:val="nb-NO"/>
        </w:rPr>
        <w:br w:type="page"/>
      </w:r>
    </w:p>
    <w:p w:rsidR="00061DB1" w:rsidRDefault="00061DB1">
      <w:pPr>
        <w:rPr>
          <w:lang w:val="nb-NO"/>
        </w:rPr>
      </w:pPr>
    </w:p>
    <w:p w:rsidR="00761855" w:rsidRDefault="00B1101C" w:rsidP="00B1101C">
      <w:pPr>
        <w:ind w:firstLine="708"/>
        <w:rPr>
          <w:lang w:val="nb-NO"/>
        </w:rPr>
      </w:pPr>
      <w:r w:rsidRPr="00B1101C">
        <w:rPr>
          <w:b/>
          <w:sz w:val="28"/>
          <w:lang w:val="nb-NO"/>
        </w:rPr>
        <w:t>A</w:t>
      </w:r>
      <w:r>
        <w:rPr>
          <w:b/>
          <w:sz w:val="28"/>
          <w:lang w:val="nb-NO"/>
        </w:rPr>
        <w:tab/>
      </w:r>
      <w:r>
        <w:rPr>
          <w:b/>
          <w:sz w:val="28"/>
          <w:lang w:val="nb-NO"/>
        </w:rPr>
        <w:tab/>
      </w:r>
      <w:r>
        <w:rPr>
          <w:b/>
          <w:sz w:val="28"/>
          <w:lang w:val="nb-NO"/>
        </w:rPr>
        <w:tab/>
      </w:r>
      <w:r>
        <w:rPr>
          <w:b/>
          <w:sz w:val="28"/>
          <w:lang w:val="nb-NO"/>
        </w:rPr>
        <w:tab/>
      </w:r>
      <w:r>
        <w:rPr>
          <w:b/>
          <w:sz w:val="28"/>
          <w:lang w:val="nb-NO"/>
        </w:rPr>
        <w:tab/>
      </w:r>
      <w:r>
        <w:rPr>
          <w:b/>
          <w:sz w:val="28"/>
          <w:lang w:val="nb-NO"/>
        </w:rPr>
        <w:tab/>
      </w:r>
      <w:r>
        <w:rPr>
          <w:b/>
          <w:sz w:val="28"/>
          <w:lang w:val="nb-NO"/>
        </w:rPr>
        <w:tab/>
        <w:t>B</w:t>
      </w:r>
    </w:p>
    <w:p w:rsidR="00761855" w:rsidRDefault="00761855" w:rsidP="00B1101C">
      <w:pPr>
        <w:ind w:left="708"/>
        <w:rPr>
          <w:lang w:val="nb-NO"/>
        </w:rPr>
      </w:pPr>
      <w:r>
        <w:rPr>
          <w:noProof/>
        </w:rPr>
        <w:drawing>
          <wp:inline distT="0" distB="0" distL="0" distR="0">
            <wp:extent cx="5753100" cy="4933950"/>
            <wp:effectExtent l="19050" t="0" r="0" b="0"/>
            <wp:docPr id="1" name="Picture 1" descr="M:\cereus\Simen\RNA_seq\redo3\PCAfinal\TO_USE_10987_Halflife_vs_RBS2an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ereus\Simen\RNA_seq\redo3\PCAfinal\TO_USE_10987_Halflife_vs_RBS2and5.png"/>
                    <pic:cNvPicPr>
                      <a:picLocks noChangeAspect="1" noChangeArrowheads="1"/>
                    </pic:cNvPicPr>
                  </pic:nvPicPr>
                  <pic:blipFill>
                    <a:blip r:embed="rId8" cstate="print"/>
                    <a:srcRect/>
                    <a:stretch>
                      <a:fillRect/>
                    </a:stretch>
                  </pic:blipFill>
                  <pic:spPr bwMode="auto">
                    <a:xfrm>
                      <a:off x="0" y="0"/>
                      <a:ext cx="5753100" cy="4933950"/>
                    </a:xfrm>
                    <a:prstGeom prst="rect">
                      <a:avLst/>
                    </a:prstGeom>
                    <a:noFill/>
                    <a:ln w="9525">
                      <a:noFill/>
                      <a:miter lim="800000"/>
                      <a:headEnd/>
                      <a:tailEnd/>
                    </a:ln>
                  </pic:spPr>
                </pic:pic>
              </a:graphicData>
            </a:graphic>
          </wp:inline>
        </w:drawing>
      </w:r>
    </w:p>
    <w:p w:rsidR="00125FFF" w:rsidRDefault="00B1101C" w:rsidP="00125FFF">
      <w:pPr>
        <w:rPr>
          <w:lang w:val="nb-NO"/>
        </w:rPr>
      </w:pPr>
      <w:r>
        <w:rPr>
          <w:b/>
          <w:sz w:val="28"/>
          <w:lang w:val="nb-NO"/>
        </w:rPr>
        <w:t>C</w:t>
      </w:r>
    </w:p>
    <w:p w:rsidR="00B1101C" w:rsidRDefault="00B1101C" w:rsidP="00125FFF">
      <w:pPr>
        <w:spacing w:line="360" w:lineRule="auto"/>
        <w:rPr>
          <w:b/>
        </w:rPr>
      </w:pPr>
      <w:r>
        <w:rPr>
          <w:noProof/>
        </w:rPr>
        <w:drawing>
          <wp:inline distT="0" distB="0" distL="0" distR="0">
            <wp:extent cx="5753100" cy="895350"/>
            <wp:effectExtent l="19050" t="0" r="0" b="0"/>
            <wp:docPr id="4" name="Picture 5" descr="suppl_fig_SFEE_TO_USE_10987_Halflife_vs_RBS2an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_fig_SFEE_TO_USE_10987_Halflife_vs_RBS2and5.png"/>
                    <pic:cNvPicPr/>
                  </pic:nvPicPr>
                  <pic:blipFill>
                    <a:blip r:embed="rId9" cstate="print"/>
                    <a:srcRect t="85032"/>
                    <a:stretch>
                      <a:fillRect/>
                    </a:stretch>
                  </pic:blipFill>
                  <pic:spPr>
                    <a:xfrm>
                      <a:off x="0" y="0"/>
                      <a:ext cx="5753100" cy="895350"/>
                    </a:xfrm>
                    <a:prstGeom prst="rect">
                      <a:avLst/>
                    </a:prstGeom>
                  </pic:spPr>
                </pic:pic>
              </a:graphicData>
            </a:graphic>
          </wp:inline>
        </w:drawing>
      </w:r>
    </w:p>
    <w:p w:rsidR="00125FFF" w:rsidRPr="00565254" w:rsidRDefault="00125FFF" w:rsidP="00125FFF">
      <w:pPr>
        <w:spacing w:line="360" w:lineRule="auto"/>
      </w:pPr>
      <w:r>
        <w:rPr>
          <w:b/>
        </w:rPr>
        <w:t>Suppl. f</w:t>
      </w:r>
      <w:r w:rsidRPr="00565254">
        <w:rPr>
          <w:b/>
        </w:rPr>
        <w:t xml:space="preserve">ig. </w:t>
      </w:r>
      <w:r w:rsidR="00BA450A">
        <w:rPr>
          <w:b/>
        </w:rPr>
        <w:t>S5</w:t>
      </w:r>
      <w:r w:rsidRPr="00565254">
        <w:rPr>
          <w:b/>
        </w:rPr>
        <w:t>.</w:t>
      </w:r>
      <w:r w:rsidRPr="00565254">
        <w:t xml:space="preserve"> </w:t>
      </w:r>
      <w:proofErr w:type="gramStart"/>
      <w:r w:rsidRPr="00565254">
        <w:t xml:space="preserve">Correlation between the </w:t>
      </w:r>
      <w:r w:rsidR="00B1101C">
        <w:t xml:space="preserve">base composition of the </w:t>
      </w:r>
      <w:r w:rsidRPr="00565254">
        <w:t>ribosomal binding sequence</w:t>
      </w:r>
      <w:r w:rsidR="00B1101C">
        <w:t xml:space="preserve"> (RBS)</w:t>
      </w:r>
      <w:r w:rsidRPr="00565254">
        <w:t xml:space="preserve"> </w:t>
      </w:r>
      <w:r w:rsidR="00B1101C">
        <w:t xml:space="preserve"> (A: second base in RBS, B: Fifth base in RBS) </w:t>
      </w:r>
      <w:r w:rsidRPr="00565254">
        <w:t xml:space="preserve">and </w:t>
      </w:r>
      <w:r w:rsidR="00B1101C">
        <w:t xml:space="preserve">the half-life of its </w:t>
      </w:r>
      <w:r w:rsidRPr="00565254">
        <w:t>downstream gene</w:t>
      </w:r>
      <w:r w:rsidR="00FC64CB">
        <w:t xml:space="preserve"> in </w:t>
      </w:r>
      <w:r w:rsidR="00FC64CB" w:rsidRPr="0093449A">
        <w:rPr>
          <w:i/>
        </w:rPr>
        <w:t>B. cereus</w:t>
      </w:r>
      <w:r w:rsidR="00FC64CB">
        <w:t xml:space="preserve"> ATCC 10987</w:t>
      </w:r>
      <w:r w:rsidRPr="00565254">
        <w:t>.</w:t>
      </w:r>
      <w:proofErr w:type="gramEnd"/>
      <w:r w:rsidRPr="00565254">
        <w:t xml:space="preserve"> The bottom panel</w:t>
      </w:r>
      <w:r w:rsidR="00B1101C">
        <w:t xml:space="preserve"> (C)</w:t>
      </w:r>
      <w:r w:rsidRPr="00565254">
        <w:t xml:space="preserve"> shows the </w:t>
      </w:r>
      <w:proofErr w:type="gramStart"/>
      <w:r w:rsidRPr="00565254">
        <w:t>base-pairing</w:t>
      </w:r>
      <w:proofErr w:type="gramEnd"/>
      <w:r w:rsidRPr="00565254">
        <w:t xml:space="preserve"> between the </w:t>
      </w:r>
      <w:r w:rsidR="00B1101C">
        <w:t xml:space="preserve">consensus </w:t>
      </w:r>
      <w:r w:rsidRPr="00565254">
        <w:t>RBS of an mRNA and the 16S rRNA of the</w:t>
      </w:r>
      <w:r w:rsidR="00B1101C">
        <w:t xml:space="preserve"> </w:t>
      </w:r>
      <w:r w:rsidR="00B1101C">
        <w:rPr>
          <w:i/>
        </w:rPr>
        <w:t>B. cereus</w:t>
      </w:r>
      <w:r w:rsidRPr="00565254">
        <w:t xml:space="preserve"> ribosome. The bases in the </w:t>
      </w:r>
      <w:proofErr w:type="gramStart"/>
      <w:r w:rsidRPr="00565254">
        <w:t>RBS which were analyzed</w:t>
      </w:r>
      <w:proofErr w:type="gramEnd"/>
      <w:r w:rsidRPr="00565254">
        <w:t xml:space="preserve"> are marked with arrows.</w:t>
      </w:r>
    </w:p>
    <w:p w:rsidR="00125FFF" w:rsidRPr="00565254" w:rsidRDefault="00125FFF" w:rsidP="00125FFF">
      <w:pPr>
        <w:spacing w:line="360" w:lineRule="auto"/>
        <w:rPr>
          <w:b/>
          <w:noProof/>
          <w:lang w:eastAsia="nb-NO"/>
        </w:rPr>
      </w:pPr>
    </w:p>
    <w:p w:rsidR="001B4D7C" w:rsidRDefault="00240F6F">
      <w:pPr>
        <w:rPr>
          <w:lang w:val="nb-NO"/>
        </w:rPr>
      </w:pPr>
      <w:r>
        <w:rPr>
          <w:noProof/>
        </w:rPr>
        <w:drawing>
          <wp:inline distT="0" distB="0" distL="0" distR="0">
            <wp:extent cx="5753100" cy="3829050"/>
            <wp:effectExtent l="19050" t="0" r="0" b="0"/>
            <wp:docPr id="3" name="Picture 3" descr="M:\cereus\Simen\RNA_seq\redo3\PCAexp_final\TO_USE_10987_EXP_vs_4fa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ereus\Simen\RNA_seq\redo3\PCAexp_final\TO_USE_10987_EXP_vs_4factors.png"/>
                    <pic:cNvPicPr>
                      <a:picLocks noChangeAspect="1" noChangeArrowheads="1"/>
                    </pic:cNvPicPr>
                  </pic:nvPicPr>
                  <pic:blipFill>
                    <a:blip r:embed="rId10" cstate="print"/>
                    <a:srcRect/>
                    <a:stretch>
                      <a:fillRect/>
                    </a:stretch>
                  </pic:blipFill>
                  <pic:spPr bwMode="auto">
                    <a:xfrm>
                      <a:off x="0" y="0"/>
                      <a:ext cx="5753100" cy="3829050"/>
                    </a:xfrm>
                    <a:prstGeom prst="rect">
                      <a:avLst/>
                    </a:prstGeom>
                    <a:noFill/>
                    <a:ln w="9525">
                      <a:noFill/>
                      <a:miter lim="800000"/>
                      <a:headEnd/>
                      <a:tailEnd/>
                    </a:ln>
                  </pic:spPr>
                </pic:pic>
              </a:graphicData>
            </a:graphic>
          </wp:inline>
        </w:drawing>
      </w:r>
    </w:p>
    <w:p w:rsidR="00125FFF" w:rsidRDefault="00125FFF" w:rsidP="00CD5BC1">
      <w:pPr>
        <w:spacing w:line="360" w:lineRule="auto"/>
      </w:pPr>
      <w:r w:rsidRPr="00565254">
        <w:rPr>
          <w:b/>
        </w:rPr>
        <w:t xml:space="preserve">Suppl. fig. </w:t>
      </w:r>
      <w:r w:rsidRPr="00BA450A">
        <w:rPr>
          <w:b/>
        </w:rPr>
        <w:t>S</w:t>
      </w:r>
      <w:r w:rsidR="00BA450A">
        <w:rPr>
          <w:b/>
        </w:rPr>
        <w:t>6</w:t>
      </w:r>
      <w:r w:rsidRPr="00BA450A">
        <w:rPr>
          <w:b/>
        </w:rPr>
        <w:t>.</w:t>
      </w:r>
      <w:r w:rsidRPr="00565254">
        <w:rPr>
          <w:b/>
        </w:rPr>
        <w:t xml:space="preserve"> </w:t>
      </w:r>
      <w:r w:rsidRPr="00565254">
        <w:t>Factors correlated with mRNA expression level of genes</w:t>
      </w:r>
      <w:r w:rsidR="00FC64CB">
        <w:t xml:space="preserve"> in </w:t>
      </w:r>
      <w:r w:rsidR="00FC64CB" w:rsidRPr="0093449A">
        <w:rPr>
          <w:i/>
        </w:rPr>
        <w:t>B. cereus</w:t>
      </w:r>
      <w:r w:rsidR="00FC64CB">
        <w:t xml:space="preserve"> ATCC 10987</w:t>
      </w:r>
      <w:r w:rsidR="00B50A79">
        <w:t xml:space="preserve"> (A:  distance to origo, B: gene conservation, C: GC% of coding sequence)</w:t>
      </w:r>
      <w:r w:rsidRPr="00565254">
        <w:t xml:space="preserve">. Dashed lines represent regression lines </w:t>
      </w:r>
      <w:r w:rsidR="000E6554">
        <w:t xml:space="preserve">for the correlation </w:t>
      </w:r>
      <w:r w:rsidRPr="00565254">
        <w:t xml:space="preserve">between the expression level and </w:t>
      </w:r>
      <w:r w:rsidR="000E6554">
        <w:t xml:space="preserve">each </w:t>
      </w:r>
      <w:r w:rsidRPr="00565254">
        <w:t>tested factor. The vertical dotted lines in B and C represent the mean CDS id%</w:t>
      </w:r>
      <w:r w:rsidR="000E6554">
        <w:t xml:space="preserve"> (B)</w:t>
      </w:r>
      <w:r w:rsidRPr="00565254">
        <w:t xml:space="preserve"> and GC%</w:t>
      </w:r>
      <w:r w:rsidR="000E6554">
        <w:t xml:space="preserve"> (C)</w:t>
      </w:r>
      <w:r w:rsidRPr="00565254">
        <w:t>, respectively.</w:t>
      </w:r>
    </w:p>
    <w:p w:rsidR="00FD7FA9" w:rsidRDefault="007870F5">
      <w:r>
        <w:br w:type="page"/>
      </w:r>
    </w:p>
    <w:p w:rsidR="00FD7FA9" w:rsidRDefault="007C1587" w:rsidP="00FD7FA9">
      <w:r>
        <w:rPr>
          <w:noProof/>
        </w:rPr>
        <w:drawing>
          <wp:inline distT="0" distB="0" distL="0" distR="0">
            <wp:extent cx="4572000" cy="3057525"/>
            <wp:effectExtent l="0" t="0" r="0" b="0"/>
            <wp:docPr id="7"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D7FA9" w:rsidRDefault="00FD7FA9">
      <w:r>
        <w:rPr>
          <w:b/>
        </w:rPr>
        <w:t>Suppl. fig. S7.</w:t>
      </w:r>
      <w:r w:rsidRPr="00D30354">
        <w:rPr>
          <w:b/>
        </w:rPr>
        <w:t xml:space="preserve"> </w:t>
      </w:r>
      <w:r w:rsidR="000C1EBC">
        <w:t xml:space="preserve">Expression of </w:t>
      </w:r>
      <w:r>
        <w:t xml:space="preserve">16S rRNA </w:t>
      </w:r>
      <w:r w:rsidR="000C1EBC">
        <w:t>at</w:t>
      </w:r>
      <w:r>
        <w:t xml:space="preserve"> 2.5, 5</w:t>
      </w:r>
      <w:r w:rsidRPr="00D30354">
        <w:t>, and 10 minutes after transcription</w:t>
      </w:r>
      <w:r w:rsidR="00E016A7">
        <w:t>al arrest by rifampicin</w:t>
      </w:r>
      <w:r w:rsidR="000C1EBC">
        <w:t xml:space="preserve">, relative to 16S rRNA expression at </w:t>
      </w:r>
      <w:proofErr w:type="gramStart"/>
      <w:r w:rsidR="000C1EBC">
        <w:t>t(</w:t>
      </w:r>
      <w:proofErr w:type="gramEnd"/>
      <w:r w:rsidR="000C1EBC">
        <w:t>0) (time point of rifampicin addition)</w:t>
      </w:r>
      <w:r w:rsidRPr="00D30354">
        <w:t>.</w:t>
      </w:r>
      <w:r w:rsidRPr="00861CDD">
        <w:t xml:space="preserve"> </w:t>
      </w:r>
      <w:r w:rsidR="00DF72A3" w:rsidRPr="00861CDD">
        <w:rPr>
          <w:rFonts w:ascii="Calibri" w:hAnsi="Calibri" w:cs="Helvetica"/>
        </w:rPr>
        <w:t xml:space="preserve">16S rRNA </w:t>
      </w:r>
      <w:r w:rsidR="000C1EBC" w:rsidRPr="00861CDD">
        <w:rPr>
          <w:rFonts w:ascii="Calibri" w:hAnsi="Calibri" w:cs="Helvetica"/>
        </w:rPr>
        <w:t>expression was measured by RT-qPCR</w:t>
      </w:r>
      <w:r w:rsidR="00DF72A3" w:rsidRPr="00861CDD">
        <w:rPr>
          <w:rFonts w:ascii="Calibri" w:hAnsi="Calibri" w:cs="Helvetica"/>
        </w:rPr>
        <w:t xml:space="preserve"> in 12 replicate</w:t>
      </w:r>
      <w:r w:rsidR="000C1EBC" w:rsidRPr="00861CDD">
        <w:rPr>
          <w:rFonts w:ascii="Calibri" w:hAnsi="Calibri" w:cs="Helvetica"/>
        </w:rPr>
        <w:t xml:space="preserve"> RNA</w:t>
      </w:r>
      <w:r w:rsidR="00DF72A3" w:rsidRPr="00861CDD">
        <w:rPr>
          <w:rFonts w:ascii="Calibri" w:hAnsi="Calibri" w:cs="Helvetica"/>
        </w:rPr>
        <w:t xml:space="preserve"> decay series, </w:t>
      </w:r>
      <w:r w:rsidR="0016257A" w:rsidRPr="00861CDD">
        <w:rPr>
          <w:rFonts w:ascii="Calibri" w:hAnsi="Calibri" w:cs="Helvetica"/>
        </w:rPr>
        <w:t xml:space="preserve">using a constant amount of RNA from a constant amount of cells (in the absence of an internal reference), and </w:t>
      </w:r>
      <w:r w:rsidR="00DF72A3" w:rsidRPr="00861CDD">
        <w:rPr>
          <w:rFonts w:ascii="Calibri" w:hAnsi="Calibri" w:cs="Helvetica"/>
        </w:rPr>
        <w:t>experimental conditions</w:t>
      </w:r>
      <w:r w:rsidR="0016257A" w:rsidRPr="00861CDD">
        <w:rPr>
          <w:rFonts w:ascii="Calibri" w:hAnsi="Calibri" w:cs="Helvetica"/>
        </w:rPr>
        <w:t xml:space="preserve"> as described in the Methods section.</w:t>
      </w:r>
      <w:r w:rsidR="00DF72A3" w:rsidRPr="00861CDD">
        <w:rPr>
          <w:rFonts w:ascii="Calibri" w:hAnsi="Calibri" w:cs="Helvetica"/>
        </w:rPr>
        <w:t xml:space="preserve"> Furthermore, for the same samples, the average Pearson correlation of: 1) the amount of 16S rRNA at any one time point within a series, to 2) the length of time passed since rifampicin addition</w:t>
      </w:r>
      <w:r w:rsidR="007E4C36" w:rsidRPr="00861CDD">
        <w:rPr>
          <w:rFonts w:ascii="Calibri" w:hAnsi="Calibri" w:cs="Helvetica"/>
        </w:rPr>
        <w:t xml:space="preserve"> for that time point</w:t>
      </w:r>
      <w:r w:rsidR="00DF72A3" w:rsidRPr="00861CDD">
        <w:rPr>
          <w:rFonts w:ascii="Calibri" w:hAnsi="Calibri" w:cs="Helvetica"/>
        </w:rPr>
        <w:t>, was 0.07.</w:t>
      </w:r>
    </w:p>
    <w:p w:rsidR="00FD7FA9" w:rsidRDefault="00FD7FA9"/>
    <w:p w:rsidR="00FD7FA9" w:rsidRDefault="00FD7FA9"/>
    <w:p w:rsidR="00FD7FA9" w:rsidRDefault="00FD7FA9">
      <w:pPr>
        <w:rPr>
          <w:b/>
        </w:rPr>
      </w:pPr>
    </w:p>
    <w:p w:rsidR="00FD7FA9" w:rsidRPr="00FD7FA9" w:rsidRDefault="00FD7FA9">
      <w:r w:rsidRPr="00FD7FA9">
        <w:br w:type="page"/>
      </w:r>
    </w:p>
    <w:p w:rsidR="00FD7FA9" w:rsidRDefault="00FD7FA9"/>
    <w:p w:rsidR="007870F5" w:rsidRDefault="00F75D73">
      <w:r>
        <w:rPr>
          <w:noProof/>
        </w:rPr>
        <w:drawing>
          <wp:inline distT="0" distB="0" distL="0" distR="0">
            <wp:extent cx="4876800" cy="5384800"/>
            <wp:effectExtent l="25400" t="0" r="0" b="0"/>
            <wp:docPr id="2" name="Picture 1" descr="suppl_fig_S5_boxplot_454_seq_length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_fig_S5_boxplot_454_seq_lengths.png"/>
                    <pic:cNvPicPr/>
                  </pic:nvPicPr>
                  <pic:blipFill>
                    <a:blip r:embed="rId12"/>
                    <a:srcRect t="11544"/>
                    <a:stretch>
                      <a:fillRect/>
                    </a:stretch>
                  </pic:blipFill>
                  <pic:spPr>
                    <a:xfrm>
                      <a:off x="0" y="0"/>
                      <a:ext cx="4876800" cy="5384800"/>
                    </a:xfrm>
                    <a:prstGeom prst="rect">
                      <a:avLst/>
                    </a:prstGeom>
                  </pic:spPr>
                </pic:pic>
              </a:graphicData>
            </a:graphic>
          </wp:inline>
        </w:drawing>
      </w:r>
    </w:p>
    <w:p w:rsidR="00402D1A" w:rsidRDefault="00061DB1" w:rsidP="00533CF4">
      <w:pPr>
        <w:spacing w:line="480" w:lineRule="auto"/>
        <w:rPr>
          <w:rFonts w:ascii="Calibri" w:hAnsi="Calibri"/>
        </w:rPr>
      </w:pPr>
      <w:r>
        <w:rPr>
          <w:rFonts w:ascii="Calibri" w:hAnsi="Calibri"/>
          <w:b/>
        </w:rPr>
        <w:t xml:space="preserve">Suppl. fig. </w:t>
      </w:r>
      <w:r w:rsidR="00FD7FA9">
        <w:rPr>
          <w:rFonts w:ascii="Calibri" w:hAnsi="Calibri"/>
          <w:b/>
        </w:rPr>
        <w:t>S8</w:t>
      </w:r>
      <w:r w:rsidR="00444C03" w:rsidRPr="000F72E8">
        <w:rPr>
          <w:rFonts w:ascii="Calibri" w:hAnsi="Calibri"/>
          <w:b/>
        </w:rPr>
        <w:t xml:space="preserve">. </w:t>
      </w:r>
      <w:r w:rsidR="00444C03" w:rsidRPr="000F72E8">
        <w:rPr>
          <w:rFonts w:ascii="Calibri" w:hAnsi="Calibri"/>
        </w:rPr>
        <w:t xml:space="preserve">Boxplot displaying the distribution of read lengths for reads acquired by 454 sequencing technology and which mapped uniquely to the genome, for </w:t>
      </w:r>
      <w:r w:rsidR="00444C03" w:rsidRPr="000F72E8">
        <w:rPr>
          <w:rFonts w:ascii="Calibri" w:hAnsi="Calibri"/>
          <w:i/>
        </w:rPr>
        <w:t xml:space="preserve">B. cereus </w:t>
      </w:r>
      <w:r w:rsidR="00444C03" w:rsidRPr="000F72E8">
        <w:rPr>
          <w:rFonts w:ascii="Calibri" w:hAnsi="Calibri"/>
        </w:rPr>
        <w:t>strains ATCC 10987</w:t>
      </w:r>
      <w:r w:rsidR="00444C03">
        <w:rPr>
          <w:rFonts w:ascii="Calibri" w:hAnsi="Calibri"/>
        </w:rPr>
        <w:t xml:space="preserve"> (B.c. 10987)</w:t>
      </w:r>
      <w:r w:rsidR="00444C03" w:rsidRPr="000F72E8">
        <w:rPr>
          <w:rFonts w:ascii="Calibri" w:hAnsi="Calibri"/>
        </w:rPr>
        <w:t xml:space="preserve"> and ATCC 14579</w:t>
      </w:r>
      <w:r w:rsidR="00444C03">
        <w:rPr>
          <w:rFonts w:ascii="Calibri" w:hAnsi="Calibri"/>
        </w:rPr>
        <w:t xml:space="preserve"> (B.c. 14579)</w:t>
      </w:r>
      <w:r w:rsidR="00444C03" w:rsidRPr="000F72E8">
        <w:rPr>
          <w:rFonts w:ascii="Calibri" w:hAnsi="Calibri"/>
        </w:rPr>
        <w:t xml:space="preserve">, respectively. </w:t>
      </w:r>
      <w:r w:rsidR="00444C03">
        <w:rPr>
          <w:rFonts w:ascii="Calibri" w:hAnsi="Calibri"/>
        </w:rPr>
        <w:t>Each</w:t>
      </w:r>
      <w:r w:rsidR="00444C03" w:rsidRPr="000F72E8">
        <w:rPr>
          <w:rFonts w:ascii="Calibri" w:hAnsi="Calibri"/>
        </w:rPr>
        <w:t xml:space="preserve"> box comprises the 25 to 75 percentile</w:t>
      </w:r>
      <w:r w:rsidR="00444C03">
        <w:rPr>
          <w:rFonts w:ascii="Calibri" w:hAnsi="Calibri"/>
        </w:rPr>
        <w:t xml:space="preserve"> (i.e. the mid 50%</w:t>
      </w:r>
      <w:r w:rsidR="00444C03" w:rsidRPr="000F72E8">
        <w:rPr>
          <w:rFonts w:ascii="Calibri" w:hAnsi="Calibri"/>
        </w:rPr>
        <w:t xml:space="preserve">) of </w:t>
      </w:r>
      <w:r w:rsidR="00444C03">
        <w:rPr>
          <w:rFonts w:ascii="Calibri" w:hAnsi="Calibri"/>
        </w:rPr>
        <w:t>mapped 454 read lengths</w:t>
      </w:r>
      <w:r w:rsidR="00444C03" w:rsidRPr="000F72E8">
        <w:rPr>
          <w:rFonts w:ascii="Calibri" w:hAnsi="Calibri"/>
        </w:rPr>
        <w:t xml:space="preserve">. Remaining </w:t>
      </w:r>
      <w:r w:rsidR="00444C03">
        <w:rPr>
          <w:rFonts w:ascii="Calibri" w:hAnsi="Calibri"/>
        </w:rPr>
        <w:t>mapped read lengths</w:t>
      </w:r>
      <w:r w:rsidR="00444C03" w:rsidRPr="000F72E8">
        <w:rPr>
          <w:rFonts w:ascii="Calibri" w:hAnsi="Calibri"/>
        </w:rPr>
        <w:t xml:space="preserve"> (upper and lower 25 percentiles, respectively) are enclosed by whiskers, except for extreme </w:t>
      </w:r>
      <w:proofErr w:type="gramStart"/>
      <w:r w:rsidR="00444C03" w:rsidRPr="000F72E8">
        <w:rPr>
          <w:rFonts w:ascii="Calibri" w:hAnsi="Calibri"/>
        </w:rPr>
        <w:t>out</w:t>
      </w:r>
      <w:r w:rsidR="00444C03">
        <w:rPr>
          <w:rFonts w:ascii="Calibri" w:hAnsi="Calibri"/>
        </w:rPr>
        <w:t>liers which</w:t>
      </w:r>
      <w:proofErr w:type="gramEnd"/>
      <w:r w:rsidR="00444C03">
        <w:rPr>
          <w:rFonts w:ascii="Calibri" w:hAnsi="Calibri"/>
        </w:rPr>
        <w:t xml:space="preserve"> are denoted by </w:t>
      </w:r>
      <w:r w:rsidR="00444C03" w:rsidRPr="000F72E8">
        <w:rPr>
          <w:rFonts w:ascii="Calibri" w:hAnsi="Calibri"/>
        </w:rPr>
        <w:t>circles</w:t>
      </w:r>
      <w:r w:rsidR="00444C03">
        <w:rPr>
          <w:rFonts w:ascii="Calibri" w:hAnsi="Calibri"/>
        </w:rPr>
        <w:t>. The horizontal bar inside each</w:t>
      </w:r>
      <w:r w:rsidR="00444C03" w:rsidRPr="000F72E8">
        <w:rPr>
          <w:rFonts w:ascii="Calibri" w:hAnsi="Calibri"/>
        </w:rPr>
        <w:t xml:space="preserve"> box marks the median </w:t>
      </w:r>
      <w:r w:rsidR="00444C03">
        <w:rPr>
          <w:rFonts w:ascii="Calibri" w:hAnsi="Calibri"/>
        </w:rPr>
        <w:t>of mapped 454 read lengths for the two</w:t>
      </w:r>
      <w:r w:rsidR="00444C03" w:rsidRPr="000F72E8">
        <w:rPr>
          <w:rFonts w:ascii="Calibri" w:hAnsi="Calibri"/>
        </w:rPr>
        <w:t xml:space="preserve"> strains (</w:t>
      </w:r>
      <w:r w:rsidR="00444C03">
        <w:rPr>
          <w:rFonts w:ascii="Calibri" w:hAnsi="Calibri"/>
        </w:rPr>
        <w:t xml:space="preserve">354 bp </w:t>
      </w:r>
      <w:r w:rsidR="00444C03" w:rsidRPr="000F72E8">
        <w:rPr>
          <w:rFonts w:ascii="Calibri" w:hAnsi="Calibri"/>
        </w:rPr>
        <w:t xml:space="preserve">for </w:t>
      </w:r>
      <w:r w:rsidR="00444C03" w:rsidRPr="000F72E8">
        <w:rPr>
          <w:rFonts w:ascii="Calibri" w:hAnsi="Calibri"/>
          <w:i/>
        </w:rPr>
        <w:t xml:space="preserve">B. cereus </w:t>
      </w:r>
      <w:r w:rsidR="00444C03" w:rsidRPr="000F72E8">
        <w:rPr>
          <w:rFonts w:ascii="Calibri" w:hAnsi="Calibri"/>
        </w:rPr>
        <w:t xml:space="preserve">ATCC 10987 and </w:t>
      </w:r>
      <w:r w:rsidR="00444C03">
        <w:rPr>
          <w:rFonts w:ascii="Calibri" w:hAnsi="Calibri"/>
        </w:rPr>
        <w:t xml:space="preserve">438 bp for </w:t>
      </w:r>
      <w:r w:rsidR="00444C03" w:rsidRPr="000F72E8">
        <w:rPr>
          <w:rFonts w:ascii="Calibri" w:hAnsi="Calibri"/>
          <w:i/>
        </w:rPr>
        <w:t xml:space="preserve">B. cereus </w:t>
      </w:r>
      <w:r w:rsidR="00444C03" w:rsidRPr="000F72E8">
        <w:rPr>
          <w:rFonts w:ascii="Calibri" w:hAnsi="Calibri"/>
        </w:rPr>
        <w:t>ATCC 14579, respectively).</w:t>
      </w:r>
    </w:p>
    <w:p w:rsidR="00EC1DC1" w:rsidRDefault="00EC1DC1">
      <w:pPr>
        <w:rPr>
          <w:rFonts w:ascii="Calibri" w:hAnsi="Calibri"/>
        </w:rPr>
      </w:pPr>
      <w:r>
        <w:rPr>
          <w:rFonts w:ascii="Calibri" w:hAnsi="Calibri"/>
        </w:rPr>
        <w:br w:type="page"/>
      </w:r>
    </w:p>
    <w:p w:rsidR="00EC1DC1" w:rsidRDefault="00B83EF1" w:rsidP="00EC1DC1">
      <w:pPr>
        <w:rPr>
          <w:rFonts w:ascii="Calibri" w:hAnsi="Calibri"/>
        </w:rPr>
      </w:pPr>
      <w:r w:rsidRPr="00B83EF1">
        <w:rPr>
          <w:noProof/>
        </w:rPr>
        <w:drawing>
          <wp:anchor distT="0" distB="0" distL="114300" distR="114300" simplePos="0" relativeHeight="251660288" behindDoc="0" locked="0" layoutInCell="1" allowOverlap="1">
            <wp:simplePos x="0" y="0"/>
            <wp:positionH relativeFrom="column">
              <wp:posOffset>-2328</wp:posOffset>
            </wp:positionH>
            <wp:positionV relativeFrom="paragraph">
              <wp:posOffset>-3810</wp:posOffset>
            </wp:positionV>
            <wp:extent cx="5756275" cy="5113867"/>
            <wp:effectExtent l="25400" t="0" r="9525" b="0"/>
            <wp:wrapTight wrapText="bothSides">
              <wp:wrapPolygon edited="0">
                <wp:start x="-95" y="0"/>
                <wp:lineTo x="-95" y="21565"/>
                <wp:lineTo x="21636" y="21565"/>
                <wp:lineTo x="21636" y="0"/>
                <wp:lineTo x="-95" y="0"/>
              </wp:wrapPolygon>
            </wp:wrapTight>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5756275" cy="5113655"/>
                    </a:xfrm>
                    <a:prstGeom prst="rect">
                      <a:avLst/>
                    </a:prstGeom>
                    <a:noFill/>
                    <a:ln w="9525">
                      <a:noFill/>
                      <a:miter lim="800000"/>
                      <a:headEnd/>
                      <a:tailEnd/>
                    </a:ln>
                  </pic:spPr>
                </pic:pic>
              </a:graphicData>
            </a:graphic>
          </wp:anchor>
        </w:drawing>
      </w:r>
    </w:p>
    <w:p w:rsidR="00402D1A" w:rsidRDefault="00402D1A" w:rsidP="00EC1DC1">
      <w:pPr>
        <w:rPr>
          <w:rFonts w:ascii="Calibri" w:hAnsi="Calibri"/>
        </w:rPr>
      </w:pPr>
    </w:p>
    <w:p w:rsidR="00241428" w:rsidRPr="00DB0846" w:rsidRDefault="00241428" w:rsidP="00241428">
      <w:pPr>
        <w:spacing w:line="480" w:lineRule="auto"/>
        <w:rPr>
          <w:rFonts w:ascii="Calibri" w:hAnsi="Calibri"/>
          <w:lang w:bidi="en-US"/>
        </w:rPr>
      </w:pPr>
      <w:r w:rsidRPr="00CD2D91">
        <w:rPr>
          <w:rFonts w:ascii="Calibri" w:hAnsi="Calibri"/>
          <w:b/>
        </w:rPr>
        <w:t>Suppl</w:t>
      </w:r>
      <w:r w:rsidR="00FD7FA9">
        <w:rPr>
          <w:rFonts w:ascii="Calibri" w:hAnsi="Calibri"/>
          <w:b/>
        </w:rPr>
        <w:t>.</w:t>
      </w:r>
      <w:r w:rsidRPr="00CD2D91">
        <w:rPr>
          <w:rFonts w:ascii="Calibri" w:hAnsi="Calibri"/>
          <w:b/>
        </w:rPr>
        <w:t xml:space="preserve"> fig. S</w:t>
      </w:r>
      <w:r w:rsidR="00FD7FA9">
        <w:rPr>
          <w:rFonts w:ascii="Calibri" w:hAnsi="Calibri"/>
          <w:b/>
        </w:rPr>
        <w:t>9</w:t>
      </w:r>
      <w:r>
        <w:rPr>
          <w:rFonts w:ascii="Calibri" w:hAnsi="Calibri"/>
        </w:rPr>
        <w:t xml:space="preserve">. </w:t>
      </w:r>
      <w:proofErr w:type="gramStart"/>
      <w:r>
        <w:rPr>
          <w:rFonts w:ascii="Calibri" w:hAnsi="Calibri"/>
        </w:rPr>
        <w:t>Method for normalization of RNA sequencing data using quantitative real-time reverse transcriptase PCR (qPCR).</w:t>
      </w:r>
      <w:proofErr w:type="gramEnd"/>
      <w:r>
        <w:rPr>
          <w:rFonts w:ascii="Calibri" w:hAnsi="Calibri"/>
        </w:rPr>
        <w:t xml:space="preserve">  Due to variable amounts of input RNA, and variable efficiency of cDNA synthesis as well as of RNA depletion in different samples, there was a need to normalize expression data in the RNA sequ</w:t>
      </w:r>
      <w:r w:rsidR="00A753DF">
        <w:rPr>
          <w:rFonts w:ascii="Calibri" w:hAnsi="Calibri"/>
        </w:rPr>
        <w:t>encing data set (example of RNA-</w:t>
      </w:r>
      <w:r>
        <w:rPr>
          <w:rFonts w:ascii="Calibri" w:hAnsi="Calibri"/>
        </w:rPr>
        <w:t xml:space="preserve">Seq expression values for one gene for different time points in one biological replicate series is shown in panel A). Therefore, mRNA decay rates were determined for five chromosomal genes randomly selected from the </w:t>
      </w:r>
      <w:r>
        <w:rPr>
          <w:rFonts w:ascii="Calibri" w:hAnsi="Calibri"/>
          <w:i/>
        </w:rPr>
        <w:t xml:space="preserve">B. cereus </w:t>
      </w:r>
      <w:r>
        <w:rPr>
          <w:rFonts w:ascii="Calibri" w:hAnsi="Calibri"/>
        </w:rPr>
        <w:t xml:space="preserve">ATCC 14579 genome, by using </w:t>
      </w:r>
      <w:r w:rsidR="00A753DF">
        <w:rPr>
          <w:rFonts w:ascii="Calibri" w:hAnsi="Calibri"/>
        </w:rPr>
        <w:t>RT-</w:t>
      </w:r>
      <w:r>
        <w:rPr>
          <w:rFonts w:ascii="Calibri" w:hAnsi="Calibri"/>
          <w:lang w:bidi="en-US"/>
        </w:rPr>
        <w:t>qPCR to calculate</w:t>
      </w:r>
      <w:r w:rsidRPr="00DB0846">
        <w:rPr>
          <w:rFonts w:ascii="Calibri" w:hAnsi="Calibri"/>
          <w:lang w:bidi="en-US"/>
        </w:rPr>
        <w:t xml:space="preserve"> relative expression levels for</w:t>
      </w:r>
      <w:r>
        <w:rPr>
          <w:rFonts w:ascii="Calibri" w:hAnsi="Calibri"/>
          <w:lang w:bidi="en-US"/>
        </w:rPr>
        <w:t xml:space="preserve"> each gene at all time points </w:t>
      </w:r>
      <w:r w:rsidRPr="00DB0846">
        <w:rPr>
          <w:rFonts w:ascii="Calibri" w:hAnsi="Calibri"/>
          <w:lang w:bidi="en-US"/>
        </w:rPr>
        <w:t>u</w:t>
      </w:r>
      <w:r>
        <w:rPr>
          <w:rFonts w:ascii="Calibri" w:hAnsi="Calibri"/>
          <w:lang w:bidi="en-US"/>
        </w:rPr>
        <w:t xml:space="preserve">sed in the mRNA decay analysis (example data for one gene </w:t>
      </w:r>
      <w:r w:rsidR="00A753DF">
        <w:rPr>
          <w:rFonts w:ascii="Calibri" w:hAnsi="Calibri"/>
          <w:lang w:bidi="en-US"/>
        </w:rPr>
        <w:t xml:space="preserve">is </w:t>
      </w:r>
      <w:r>
        <w:rPr>
          <w:rFonts w:ascii="Calibri" w:hAnsi="Calibri"/>
          <w:lang w:bidi="en-US"/>
        </w:rPr>
        <w:t xml:space="preserve">shown in panel B). A normalization factor was then calculated for each of the five genes, for each time point in the analysis (example for one gene </w:t>
      </w:r>
      <w:r w:rsidR="00A753DF">
        <w:rPr>
          <w:rFonts w:ascii="Calibri" w:hAnsi="Calibri"/>
          <w:lang w:bidi="en-US"/>
        </w:rPr>
        <w:t xml:space="preserve">is </w:t>
      </w:r>
      <w:r>
        <w:rPr>
          <w:rFonts w:ascii="Calibri" w:hAnsi="Calibri"/>
          <w:lang w:bidi="en-US"/>
        </w:rPr>
        <w:t xml:space="preserve">shown in panel C), by fitting the RNA-Seq data to the decay curve determined by </w:t>
      </w:r>
      <w:r w:rsidR="00A753DF">
        <w:rPr>
          <w:rFonts w:ascii="Calibri" w:hAnsi="Calibri"/>
          <w:lang w:bidi="en-US"/>
        </w:rPr>
        <w:t>RT-</w:t>
      </w:r>
      <w:r>
        <w:rPr>
          <w:rFonts w:ascii="Calibri" w:hAnsi="Calibri"/>
          <w:lang w:bidi="en-US"/>
        </w:rPr>
        <w:t xml:space="preserve">qPCR. For each time point, the </w:t>
      </w:r>
      <w:r w:rsidRPr="00DB0846">
        <w:rPr>
          <w:rFonts w:ascii="Calibri" w:hAnsi="Calibri"/>
          <w:lang w:bidi="en-US"/>
        </w:rPr>
        <w:t>RNA-Seq data for the rest of the genes in the genome was then normalized</w:t>
      </w:r>
      <w:r>
        <w:rPr>
          <w:rFonts w:ascii="Calibri" w:hAnsi="Calibri"/>
          <w:lang w:bidi="en-US"/>
        </w:rPr>
        <w:t>,</w:t>
      </w:r>
      <w:r w:rsidRPr="00DB0846">
        <w:rPr>
          <w:rFonts w:ascii="Calibri" w:hAnsi="Calibri"/>
          <w:lang w:bidi="en-US"/>
        </w:rPr>
        <w:t xml:space="preserve"> using the </w:t>
      </w:r>
      <w:r>
        <w:rPr>
          <w:rFonts w:ascii="Calibri" w:hAnsi="Calibri"/>
          <w:lang w:bidi="en-US"/>
        </w:rPr>
        <w:t xml:space="preserve">geometric mean of the five </w:t>
      </w:r>
      <w:r w:rsidRPr="00DB0846">
        <w:rPr>
          <w:rFonts w:ascii="Calibri" w:hAnsi="Calibri"/>
          <w:lang w:bidi="en-US"/>
        </w:rPr>
        <w:t>normalization factors</w:t>
      </w:r>
      <w:r>
        <w:rPr>
          <w:rFonts w:ascii="Calibri" w:hAnsi="Calibri"/>
          <w:lang w:bidi="en-US"/>
        </w:rPr>
        <w:t xml:space="preserve"> produced for the five genes.</w:t>
      </w:r>
    </w:p>
    <w:p w:rsidR="008D5A69" w:rsidRPr="008E6839" w:rsidRDefault="008D5A69">
      <w:pPr>
        <w:spacing w:line="480" w:lineRule="auto"/>
        <w:rPr>
          <w:rFonts w:ascii="Calibri" w:hAnsi="Calibri"/>
          <w:b/>
        </w:rPr>
      </w:pPr>
    </w:p>
    <w:sectPr w:rsidR="008D5A69" w:rsidRPr="008E6839" w:rsidSect="001B4D7C">
      <w:pgSz w:w="11906" w:h="16838"/>
      <w:pgMar w:top="1417" w:right="1417" w:bottom="1417"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1EBC" w:rsidRDefault="000C1EBC" w:rsidP="00125FFF">
      <w:pPr>
        <w:spacing w:after="0" w:line="240" w:lineRule="auto"/>
      </w:pPr>
      <w:r>
        <w:separator/>
      </w:r>
    </w:p>
  </w:endnote>
  <w:endnote w:type="continuationSeparator" w:id="0">
    <w:p w:rsidR="000C1EBC" w:rsidRDefault="000C1EBC" w:rsidP="00125F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Lucida Grande">
    <w:panose1 w:val="0206070204030509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1EBC" w:rsidRDefault="000C1EBC" w:rsidP="00125FFF">
      <w:pPr>
        <w:spacing w:after="0" w:line="240" w:lineRule="auto"/>
      </w:pPr>
      <w:r>
        <w:separator/>
      </w:r>
    </w:p>
  </w:footnote>
  <w:footnote w:type="continuationSeparator" w:id="0">
    <w:p w:rsidR="000C1EBC" w:rsidRDefault="000C1EBC" w:rsidP="00125FF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grammar="clean"/>
  <w:doNotTrackMoves/>
  <w:defaultTabStop w:val="708"/>
  <w:hyphenationZone w:val="425"/>
  <w:characterSpacingControl w:val="doNotCompress"/>
  <w:footnotePr>
    <w:footnote w:id="-1"/>
    <w:footnote w:id="0"/>
  </w:footnotePr>
  <w:endnotePr>
    <w:endnote w:id="-1"/>
    <w:endnote w:id="0"/>
  </w:endnotePr>
  <w:compat/>
  <w:rsids>
    <w:rsidRoot w:val="00125FFF"/>
    <w:rsid w:val="00061DB1"/>
    <w:rsid w:val="00087F70"/>
    <w:rsid w:val="000C1EBC"/>
    <w:rsid w:val="000E6554"/>
    <w:rsid w:val="000F3EF6"/>
    <w:rsid w:val="00125FFF"/>
    <w:rsid w:val="0016257A"/>
    <w:rsid w:val="001A6DBD"/>
    <w:rsid w:val="001B4D7C"/>
    <w:rsid w:val="001D27AE"/>
    <w:rsid w:val="002254D6"/>
    <w:rsid w:val="00240F6F"/>
    <w:rsid w:val="00241428"/>
    <w:rsid w:val="00256E94"/>
    <w:rsid w:val="002829F0"/>
    <w:rsid w:val="003018D7"/>
    <w:rsid w:val="003E5513"/>
    <w:rsid w:val="00402D1A"/>
    <w:rsid w:val="00413205"/>
    <w:rsid w:val="00444C03"/>
    <w:rsid w:val="004A7279"/>
    <w:rsid w:val="004C6D76"/>
    <w:rsid w:val="0050234F"/>
    <w:rsid w:val="00533CF4"/>
    <w:rsid w:val="005364DB"/>
    <w:rsid w:val="00552AB6"/>
    <w:rsid w:val="005D795D"/>
    <w:rsid w:val="00602219"/>
    <w:rsid w:val="0060690B"/>
    <w:rsid w:val="006631EE"/>
    <w:rsid w:val="006F1F0F"/>
    <w:rsid w:val="00744541"/>
    <w:rsid w:val="00761855"/>
    <w:rsid w:val="00780468"/>
    <w:rsid w:val="007870F5"/>
    <w:rsid w:val="007A7656"/>
    <w:rsid w:val="007A7D88"/>
    <w:rsid w:val="007C1587"/>
    <w:rsid w:val="007E4C36"/>
    <w:rsid w:val="008147C8"/>
    <w:rsid w:val="0083537B"/>
    <w:rsid w:val="00861CDD"/>
    <w:rsid w:val="008D49DE"/>
    <w:rsid w:val="008D5A69"/>
    <w:rsid w:val="008E6839"/>
    <w:rsid w:val="009054AC"/>
    <w:rsid w:val="0093043D"/>
    <w:rsid w:val="0096580B"/>
    <w:rsid w:val="009B1473"/>
    <w:rsid w:val="009D029B"/>
    <w:rsid w:val="00A56555"/>
    <w:rsid w:val="00A753DF"/>
    <w:rsid w:val="00A87E34"/>
    <w:rsid w:val="00AC1F9E"/>
    <w:rsid w:val="00B1101C"/>
    <w:rsid w:val="00B20DCD"/>
    <w:rsid w:val="00B50A79"/>
    <w:rsid w:val="00B53A00"/>
    <w:rsid w:val="00B83EF1"/>
    <w:rsid w:val="00B86E64"/>
    <w:rsid w:val="00BA1EE1"/>
    <w:rsid w:val="00BA450A"/>
    <w:rsid w:val="00CD2D91"/>
    <w:rsid w:val="00CD5BC1"/>
    <w:rsid w:val="00D1278F"/>
    <w:rsid w:val="00D51FC2"/>
    <w:rsid w:val="00D6055B"/>
    <w:rsid w:val="00DB0846"/>
    <w:rsid w:val="00DD3BBC"/>
    <w:rsid w:val="00DF72A3"/>
    <w:rsid w:val="00E016A7"/>
    <w:rsid w:val="00E27638"/>
    <w:rsid w:val="00E6716E"/>
    <w:rsid w:val="00E901E9"/>
    <w:rsid w:val="00E93B95"/>
    <w:rsid w:val="00EC1DC1"/>
    <w:rsid w:val="00EF53C8"/>
    <w:rsid w:val="00F012BC"/>
    <w:rsid w:val="00F75D73"/>
    <w:rsid w:val="00FB3C46"/>
    <w:rsid w:val="00FC64CB"/>
    <w:rsid w:val="00FD7FA9"/>
    <w:rsid w:val="00FF78AE"/>
  </w:rsids>
  <m:mathPr>
    <m:mathFont m:val="Arial Black"/>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B4D7C"/>
    <w:rPr>
      <w:lang w:val="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uiPriority w:val="99"/>
    <w:semiHidden/>
    <w:unhideWhenUsed/>
    <w:rsid w:val="00125F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95A"/>
    <w:rPr>
      <w:rFonts w:ascii="Lucida Grande" w:hAnsi="Lucida Grande"/>
      <w:sz w:val="18"/>
      <w:szCs w:val="18"/>
    </w:rPr>
  </w:style>
  <w:style w:type="character" w:customStyle="1" w:styleId="BalloonTextChar1">
    <w:name w:val="Balloon Text Char1"/>
    <w:basedOn w:val="DefaultParagraphFont"/>
    <w:link w:val="BalloonText"/>
    <w:uiPriority w:val="99"/>
    <w:semiHidden/>
    <w:rsid w:val="00125FFF"/>
    <w:rPr>
      <w:rFonts w:ascii="Tahoma" w:hAnsi="Tahoma" w:cs="Tahoma"/>
      <w:sz w:val="16"/>
      <w:szCs w:val="16"/>
      <w:lang w:val="en-US"/>
    </w:rPr>
  </w:style>
  <w:style w:type="paragraph" w:styleId="Header">
    <w:name w:val="header"/>
    <w:basedOn w:val="Normal"/>
    <w:link w:val="HeaderChar"/>
    <w:uiPriority w:val="99"/>
    <w:semiHidden/>
    <w:unhideWhenUsed/>
    <w:rsid w:val="00125FF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25FFF"/>
    <w:rPr>
      <w:lang w:val="en-US"/>
    </w:rPr>
  </w:style>
  <w:style w:type="paragraph" w:styleId="Footer">
    <w:name w:val="footer"/>
    <w:basedOn w:val="Normal"/>
    <w:link w:val="FooterChar"/>
    <w:uiPriority w:val="99"/>
    <w:semiHidden/>
    <w:unhideWhenUsed/>
    <w:rsid w:val="00125FFF"/>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125FFF"/>
    <w:rPr>
      <w:lang w:val="en-U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1.xml"/><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Simen\Documents\Supplementary_table_S6_MED_figu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
  <c:chart>
    <c:plotArea>
      <c:layout>
        <c:manualLayout>
          <c:layoutTarget val="inner"/>
          <c:xMode val="edge"/>
          <c:yMode val="edge"/>
          <c:x val="0.148377296587927"/>
          <c:y val="0.0288583085992756"/>
          <c:w val="0.750568460192476"/>
          <c:h val="0.798225065616798"/>
        </c:manualLayout>
      </c:layout>
      <c:barChart>
        <c:barDir val="col"/>
        <c:grouping val="clustered"/>
        <c:ser>
          <c:idx val="0"/>
          <c:order val="0"/>
          <c:errBars>
            <c:errBarType val="both"/>
            <c:errValType val="cust"/>
            <c:plus>
              <c:numRef>
                <c:f>Sheet1!$G$16:$I$16</c:f>
                <c:numCache>
                  <c:formatCode>General</c:formatCode>
                  <c:ptCount val="3"/>
                  <c:pt idx="0">
                    <c:v>0.214135971373133</c:v>
                  </c:pt>
                  <c:pt idx="1">
                    <c:v>0.320747612731451</c:v>
                  </c:pt>
                  <c:pt idx="2">
                    <c:v>0.450197099392049</c:v>
                  </c:pt>
                </c:numCache>
              </c:numRef>
            </c:plus>
            <c:minus>
              <c:numRef>
                <c:f>Sheet1!$G$16:$I$16</c:f>
                <c:numCache>
                  <c:formatCode>General</c:formatCode>
                  <c:ptCount val="3"/>
                  <c:pt idx="0">
                    <c:v>0.214135971373133</c:v>
                  </c:pt>
                  <c:pt idx="1">
                    <c:v>0.320747612731451</c:v>
                  </c:pt>
                  <c:pt idx="2">
                    <c:v>0.450197099392049</c:v>
                  </c:pt>
                </c:numCache>
              </c:numRef>
            </c:minus>
          </c:errBars>
          <c:cat>
            <c:numRef>
              <c:f>Sheet1!$G$2:$I$2</c:f>
              <c:numCache>
                <c:formatCode>General</c:formatCode>
                <c:ptCount val="3"/>
                <c:pt idx="0">
                  <c:v>2.5</c:v>
                </c:pt>
                <c:pt idx="1">
                  <c:v>5.0</c:v>
                </c:pt>
                <c:pt idx="2">
                  <c:v>10.0</c:v>
                </c:pt>
              </c:numCache>
            </c:numRef>
          </c:cat>
          <c:val>
            <c:numRef>
              <c:f>Sheet1!$G$15:$I$15</c:f>
              <c:numCache>
                <c:formatCode>General</c:formatCode>
                <c:ptCount val="3"/>
                <c:pt idx="0">
                  <c:v>0.944878574501418</c:v>
                </c:pt>
                <c:pt idx="1">
                  <c:v>1.018645429899654</c:v>
                </c:pt>
                <c:pt idx="2">
                  <c:v>1.050414597277029</c:v>
                </c:pt>
              </c:numCache>
            </c:numRef>
          </c:val>
        </c:ser>
        <c:axId val="158983400"/>
        <c:axId val="918379336"/>
      </c:barChart>
      <c:catAx>
        <c:axId val="158983400"/>
        <c:scaling>
          <c:orientation val="minMax"/>
        </c:scaling>
        <c:axPos val="b"/>
        <c:title>
          <c:tx>
            <c:rich>
              <a:bodyPr/>
              <a:lstStyle/>
              <a:p>
                <a:pPr>
                  <a:defRPr lang="nb-NO" sz="1100"/>
                </a:pPr>
                <a:r>
                  <a:rPr lang="nb-NO" sz="1100"/>
                  <a:t>Minutes</a:t>
                </a:r>
                <a:r>
                  <a:rPr lang="nb-NO" sz="1100" baseline="0"/>
                  <a:t> after rifampicin addition</a:t>
                </a:r>
                <a:endParaRPr lang="nb-NO" sz="1100"/>
              </a:p>
            </c:rich>
          </c:tx>
          <c:layout/>
        </c:title>
        <c:numFmt formatCode="General" sourceLinked="1"/>
        <c:tickLblPos val="nextTo"/>
        <c:txPr>
          <a:bodyPr/>
          <a:lstStyle/>
          <a:p>
            <a:pPr>
              <a:defRPr lang="nb-NO"/>
            </a:pPr>
            <a:endParaRPr lang="en-US"/>
          </a:p>
        </c:txPr>
        <c:crossAx val="918379336"/>
        <c:crosses val="autoZero"/>
        <c:auto val="1"/>
        <c:lblAlgn val="ctr"/>
        <c:lblOffset val="100"/>
      </c:catAx>
      <c:valAx>
        <c:axId val="918379336"/>
        <c:scaling>
          <c:orientation val="minMax"/>
          <c:max val="1.6"/>
          <c:min val="0.0"/>
        </c:scaling>
        <c:axPos val="l"/>
        <c:title>
          <c:tx>
            <c:rich>
              <a:bodyPr rot="-5400000" vert="horz"/>
              <a:lstStyle/>
              <a:p>
                <a:pPr>
                  <a:defRPr lang="nb-NO" sz="1100"/>
                </a:pPr>
                <a:r>
                  <a:rPr lang="nb-NO" sz="1100"/>
                  <a:t>16S</a:t>
                </a:r>
                <a:r>
                  <a:rPr lang="nb-NO" sz="1100" baseline="0"/>
                  <a:t> rRNA expression relative to t0</a:t>
                </a:r>
                <a:endParaRPr lang="nb-NO" sz="1100"/>
              </a:p>
            </c:rich>
          </c:tx>
          <c:layout/>
        </c:title>
        <c:numFmt formatCode="General" sourceLinked="1"/>
        <c:tickLblPos val="nextTo"/>
        <c:txPr>
          <a:bodyPr/>
          <a:lstStyle/>
          <a:p>
            <a:pPr>
              <a:defRPr lang="nb-NO"/>
            </a:pPr>
            <a:endParaRPr lang="en-US"/>
          </a:p>
        </c:txPr>
        <c:crossAx val="158983400"/>
        <c:crosses val="autoZero"/>
        <c:crossBetween val="between"/>
      </c:valAx>
    </c:plotArea>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537</Words>
  <Characters>3064</Characters>
  <Application>Microsoft Macintosh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simemk</dc:creator>
  <cp:lastModifiedBy>Ole Andreas Økstad</cp:lastModifiedBy>
  <cp:revision>5</cp:revision>
  <cp:lastPrinted>2010-11-23T18:53:00Z</cp:lastPrinted>
  <dcterms:created xsi:type="dcterms:W3CDTF">2012-03-19T12:19:00Z</dcterms:created>
  <dcterms:modified xsi:type="dcterms:W3CDTF">2012-04-24T12:07:00Z</dcterms:modified>
</cp:coreProperties>
</file>