
<file path=[Content_Types].xml><?xml version="1.0" encoding="utf-8"?>
<Types xmlns="http://schemas.openxmlformats.org/package/2006/content-types">
  <Default Extension="xml" ContentType="application/xml"/>
  <Default Extension="wmf" ContentType="image/x-wmf"/>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DC5B2F" w14:textId="71314CA3" w:rsidR="005B5115" w:rsidRPr="00933269" w:rsidRDefault="00933269" w:rsidP="005B5115">
      <w:pPr>
        <w:spacing w:line="480" w:lineRule="auto"/>
        <w:rPr>
          <w:rFonts w:ascii="Arial" w:hAnsi="Arial" w:cs="Arial"/>
          <w:b/>
          <w:color w:val="000000" w:themeColor="text1"/>
          <w:sz w:val="32"/>
          <w:szCs w:val="32"/>
        </w:rPr>
      </w:pPr>
      <w:r w:rsidRPr="00933269">
        <w:rPr>
          <w:rFonts w:ascii="Arial" w:hAnsi="Arial" w:cs="Arial"/>
          <w:b/>
          <w:color w:val="000000" w:themeColor="text1"/>
          <w:sz w:val="32"/>
          <w:szCs w:val="32"/>
        </w:rPr>
        <w:t>Additional file 1</w:t>
      </w:r>
      <w:r>
        <w:rPr>
          <w:rFonts w:ascii="Arial" w:hAnsi="Arial" w:cs="Arial"/>
          <w:b/>
          <w:color w:val="000000" w:themeColor="text1"/>
          <w:sz w:val="32"/>
          <w:szCs w:val="32"/>
        </w:rPr>
        <w:t xml:space="preserve"> – Supplemental Methods, Results, Figures, and Table S4</w:t>
      </w:r>
    </w:p>
    <w:p w14:paraId="5D92E2A1" w14:textId="77777777" w:rsidR="00E363E2" w:rsidRDefault="00E363E2" w:rsidP="00E363E2">
      <w:pPr>
        <w:spacing w:line="480" w:lineRule="auto"/>
        <w:rPr>
          <w:rFonts w:ascii="Times" w:hAnsi="Times"/>
          <w:b/>
          <w:color w:val="000000" w:themeColor="text1"/>
        </w:rPr>
      </w:pPr>
    </w:p>
    <w:p w14:paraId="54D5B20C" w14:textId="498F0709" w:rsidR="00E363E2" w:rsidRPr="00E363E2" w:rsidRDefault="00E363E2" w:rsidP="00E363E2">
      <w:pPr>
        <w:spacing w:line="480" w:lineRule="auto"/>
        <w:rPr>
          <w:rFonts w:ascii="Arial" w:hAnsi="Arial" w:cs="Arial"/>
          <w:b/>
          <w:color w:val="000000" w:themeColor="text1"/>
          <w:sz w:val="32"/>
          <w:szCs w:val="32"/>
        </w:rPr>
      </w:pPr>
      <w:r w:rsidRPr="00121840">
        <w:rPr>
          <w:rFonts w:ascii="Arial" w:hAnsi="Arial" w:cs="Arial"/>
          <w:b/>
          <w:color w:val="000000" w:themeColor="text1"/>
          <w:sz w:val="32"/>
          <w:szCs w:val="32"/>
        </w:rPr>
        <w:t xml:space="preserve">Supplemental </w:t>
      </w:r>
      <w:r>
        <w:rPr>
          <w:rFonts w:ascii="Arial" w:hAnsi="Arial" w:cs="Arial"/>
          <w:b/>
          <w:color w:val="000000" w:themeColor="text1"/>
          <w:sz w:val="32"/>
          <w:szCs w:val="32"/>
        </w:rPr>
        <w:t>Methods</w:t>
      </w:r>
    </w:p>
    <w:p w14:paraId="251C4CE7" w14:textId="77777777" w:rsidR="00E363E2" w:rsidRPr="00121840" w:rsidRDefault="00E363E2" w:rsidP="00E363E2">
      <w:pPr>
        <w:spacing w:line="480" w:lineRule="auto"/>
        <w:jc w:val="both"/>
        <w:rPr>
          <w:rFonts w:ascii="Arial" w:hAnsi="Arial" w:cs="Arial"/>
          <w:b/>
          <w:color w:val="000000" w:themeColor="text1"/>
        </w:rPr>
      </w:pPr>
      <w:r w:rsidRPr="00121840">
        <w:rPr>
          <w:rFonts w:ascii="Arial" w:hAnsi="Arial" w:cs="Arial"/>
          <w:b/>
          <w:color w:val="000000" w:themeColor="text1"/>
        </w:rPr>
        <w:t>Retrovirus production and transduction</w:t>
      </w:r>
    </w:p>
    <w:p w14:paraId="49BF0BE4" w14:textId="77777777" w:rsidR="00E363E2" w:rsidRDefault="00E363E2" w:rsidP="00E363E2">
      <w:pPr>
        <w:spacing w:line="480" w:lineRule="auto"/>
        <w:jc w:val="both"/>
        <w:rPr>
          <w:rFonts w:ascii="Times New Roman" w:hAnsi="Times New Roman"/>
          <w:color w:val="000000" w:themeColor="text1"/>
        </w:rPr>
      </w:pPr>
      <w:r w:rsidRPr="00191468">
        <w:rPr>
          <w:rFonts w:ascii="Times New Roman" w:hAnsi="Times New Roman"/>
          <w:color w:val="000000" w:themeColor="text1"/>
        </w:rPr>
        <w:t>5.5x10</w:t>
      </w:r>
      <w:r w:rsidRPr="00191468">
        <w:rPr>
          <w:rFonts w:ascii="Times New Roman" w:hAnsi="Times New Roman"/>
          <w:color w:val="000000" w:themeColor="text1"/>
          <w:vertAlign w:val="superscript"/>
        </w:rPr>
        <w:t>6</w:t>
      </w:r>
      <w:r w:rsidRPr="00191468">
        <w:rPr>
          <w:rFonts w:ascii="Times New Roman" w:hAnsi="Times New Roman"/>
          <w:color w:val="000000" w:themeColor="text1"/>
        </w:rPr>
        <w:t xml:space="preserve"> PLA-E cells were seeded and the next day</w:t>
      </w:r>
      <w:r w:rsidRPr="00191468">
        <w:rPr>
          <w:rFonts w:ascii="Times New Roman" w:hAnsi="Times New Roman"/>
          <w:strike/>
          <w:color w:val="000000" w:themeColor="text1"/>
        </w:rPr>
        <w:t xml:space="preserve"> </w:t>
      </w:r>
      <w:r w:rsidRPr="00191468">
        <w:rPr>
          <w:rFonts w:ascii="Times New Roman" w:hAnsi="Times New Roman"/>
          <w:color w:val="000000" w:themeColor="text1"/>
        </w:rPr>
        <w:t>transfected with 9 µg of pMX vectors (encoding Oct4, Sox2, Klf4, and cMyc). Medium was refreshed one day after transfection and virus-containing supernatants were collected 24 h later. The ‘four factor’ (4F) virus supernatants were combined and centrifuged at 4000 rpm for 5 min to remove cell debris, filtered through a 0.45 µm syringe filter (Millipore, Cat.SLHV33RS), and supplemented with 4 µg/ml Polybrene (Millipore, Cat.TR-1003-G).</w:t>
      </w:r>
    </w:p>
    <w:p w14:paraId="4137F8BA" w14:textId="77777777" w:rsidR="00E363E2" w:rsidRDefault="00E363E2" w:rsidP="00E363E2">
      <w:pPr>
        <w:spacing w:line="480" w:lineRule="auto"/>
        <w:ind w:firstLine="720"/>
        <w:jc w:val="both"/>
        <w:rPr>
          <w:rFonts w:ascii="Times New Roman" w:hAnsi="Times New Roman"/>
          <w:color w:val="000000" w:themeColor="text1"/>
        </w:rPr>
      </w:pPr>
    </w:p>
    <w:p w14:paraId="1B4DDBAD" w14:textId="77777777" w:rsidR="00E363E2" w:rsidRPr="00E363E2" w:rsidRDefault="00E363E2" w:rsidP="00E363E2">
      <w:pPr>
        <w:spacing w:line="480" w:lineRule="auto"/>
        <w:jc w:val="both"/>
        <w:rPr>
          <w:rFonts w:ascii="Arial" w:hAnsi="Arial" w:cs="Arial"/>
          <w:b/>
          <w:color w:val="000000" w:themeColor="text1"/>
        </w:rPr>
      </w:pPr>
      <w:r w:rsidRPr="00E363E2">
        <w:rPr>
          <w:rFonts w:ascii="Arial" w:hAnsi="Arial" w:cs="Arial"/>
          <w:b/>
          <w:color w:val="000000" w:themeColor="text1"/>
        </w:rPr>
        <w:t>Isolation of intermediate states during reprogramming</w:t>
      </w:r>
    </w:p>
    <w:p w14:paraId="14F1491A" w14:textId="416C0295" w:rsidR="00E363E2" w:rsidRPr="00121840" w:rsidRDefault="00E363E2" w:rsidP="00E363E2">
      <w:pPr>
        <w:spacing w:line="480" w:lineRule="auto"/>
        <w:jc w:val="both"/>
        <w:rPr>
          <w:rFonts w:ascii="Times New Roman" w:hAnsi="Times New Roman" w:cs="Times New Roman"/>
          <w:color w:val="000000" w:themeColor="text1"/>
        </w:rPr>
      </w:pPr>
      <w:r w:rsidRPr="00121840">
        <w:rPr>
          <w:rFonts w:ascii="Times New Roman" w:hAnsi="Times New Roman" w:cs="Times New Roman"/>
        </w:rPr>
        <w:t xml:space="preserve">Oct4-GFP MEFs were derived from mice carrying an IRES–EGFP fusion cassette downstream of the stop codon of </w:t>
      </w:r>
      <w:r w:rsidRPr="00121840">
        <w:rPr>
          <w:rFonts w:ascii="Times New Roman" w:hAnsi="Times New Roman" w:cs="Times New Roman"/>
          <w:i/>
        </w:rPr>
        <w:t>Pou5f1/Oct4</w:t>
      </w:r>
      <w:r w:rsidRPr="00121840">
        <w:rPr>
          <w:rFonts w:ascii="Times New Roman" w:hAnsi="Times New Roman" w:cs="Times New Roman"/>
        </w:rPr>
        <w:t xml:space="preserve"> </w:t>
      </w:r>
      <w:r w:rsidRPr="00121840">
        <w:rPr>
          <w:rFonts w:ascii="Times New Roman" w:hAnsi="Times New Roman" w:cs="Times New Roman"/>
          <w:color w:val="312A2A"/>
          <w:szCs w:val="26"/>
        </w:rPr>
        <w:fldChar w:fldCharType="begin"/>
      </w:r>
      <w:r w:rsidR="006541A5">
        <w:rPr>
          <w:rFonts w:ascii="Times New Roman" w:hAnsi="Times New Roman" w:cs="Times New Roman"/>
          <w:color w:val="312A2A"/>
          <w:szCs w:val="26"/>
        </w:rPr>
        <w:instrText xml:space="preserve"> ADDIN PAPERS2_CITATIONS &lt;citation&gt;&lt;uuid&gt;C88C0DAE-B372-4C5D-A9B6-DC19410B7C8F&lt;/uuid&gt;&lt;priority&gt;0&lt;/priority&gt;&lt;publications&gt;&lt;publication&gt;&lt;volume&gt;18&lt;/volume&gt;&lt;publication_date&gt;99200803171200000000222000&lt;/publication_date&gt;&lt;number&gt;4&lt;/number&gt;&lt;doi&gt;10.1101/gr.7179508&lt;/doi&gt;&lt;startpage&gt;610&lt;/startpage&gt;&lt;title&gt;Application of massively parallel sequencing to microRNA profiling and discovery in human embryonic stem cells&lt;/title&gt;&lt;uuid&gt;EE1168E4-F4B8-4B6D-80F4-B33149DD65FA&lt;/uuid&gt;&lt;subtype&gt;400&lt;/subtype&gt;&lt;endpage&gt;621&lt;/endpage&gt;&lt;type&gt;400&lt;/type&gt;&lt;url&gt;http://www.genome.org/cgi/doi/10.1101/gr.7179508&lt;/url&gt;&lt;bundle&gt;&lt;publication&gt;&lt;title&gt;Genome Research&lt;/title&gt;&lt;type&gt;-100&lt;/type&gt;&lt;subtype&gt;-100&lt;/subtype&gt;&lt;uuid&gt;8931CE8C-D74F-4594-A1BB-F22EE520DFBB&lt;/uuid&gt;&lt;/publication&gt;&lt;/bundle&gt;&lt;authors&gt;&lt;author&gt;&lt;firstName&gt;R&lt;/firstName&gt;&lt;middleNames&gt;D&lt;/middleNames&gt;&lt;lastName&gt;Morin&lt;/lastName&gt;&lt;/author&gt;&lt;author&gt;&lt;firstName&gt;M&lt;/firstName&gt;&lt;middleNames&gt;D&lt;/middleNames&gt;&lt;lastName&gt;O'Connor&lt;/lastName&gt;&lt;/author&gt;&lt;author&gt;&lt;firstName&gt;M&lt;/firstName&gt;&lt;lastName&gt;Griffith&lt;/lastName&gt;&lt;/author&gt;&lt;author&gt;&lt;firstName&gt;F&lt;/firstName&gt;&lt;lastName&gt;Kuchenbauer&lt;/lastName&gt;&lt;/author&gt;&lt;author&gt;&lt;firstName&gt;A&lt;/firstName&gt;&lt;lastName&gt;Delaney&lt;/lastName&gt;&lt;/author&gt;&lt;author&gt;&lt;firstName&gt;A&lt;/firstName&gt;&lt;middleNames&gt;L&lt;/middleNames&gt;&lt;lastName&gt;Prabhu&lt;/lastName&gt;&lt;/author&gt;&lt;author&gt;&lt;firstName&gt;Y&lt;/firstName&gt;&lt;lastName&gt;Zhao&lt;/lastName&gt;&lt;/author&gt;&lt;author&gt;&lt;firstName&gt;H&lt;/firstName&gt;&lt;lastName&gt;McDonald&lt;/lastName&gt;&lt;/author&gt;&lt;author&gt;&lt;firstName&gt;T&lt;/firstName&gt;&lt;lastName&gt;Zeng&lt;/lastName&gt;&lt;/author&gt;&lt;author&gt;&lt;firstName&gt;M&lt;/firstName&gt;&lt;lastName&gt;Hirst&lt;/lastName&gt;&lt;/author&gt;&lt;author&gt;&lt;firstName&gt;C&lt;/firstName&gt;&lt;middleNames&gt;J&lt;/middleNames&gt;&lt;lastName&gt;Eaves&lt;/lastName&gt;&lt;/author&gt;&lt;author&gt;&lt;firstName&gt;M&lt;/firstName&gt;&lt;middleNames&gt;A&lt;/middleNames&gt;&lt;lastName&gt;Marra&lt;/lastName&gt;&lt;/author&gt;&lt;/authors&gt;&lt;/publication&gt;&lt;publication&gt;&lt;volume&gt;1&lt;/volume&gt;&lt;publication_date&gt;99200710001200000000220000&lt;/publication_date&gt;&lt;number&gt;4&lt;/number&gt;&lt;doi&gt;10.1016/j.stem.2007.07.020&lt;/doi&gt;&lt;startpage&gt;403&lt;/startpage&gt;&lt;title&gt;Oct4 Expression Is Not Required for Mouse Somatic Stem Cell Self-Renewal&lt;/title&gt;&lt;uuid&gt;708C8ED4-BC7A-4DF5-B64B-98B55A4736E7&lt;/uuid&gt;&lt;subtype&gt;400&lt;/subtype&gt;&lt;endpage&gt;415&lt;/endpage&gt;&lt;type&gt;400&lt;/type&gt;&lt;url&gt;http://linkinghub.elsevier.com/retrieve/pii/S1934590907000859&lt;/url&gt;&lt;bundle&gt;&lt;publication&gt;&lt;publisher&gt;Elsevier&lt;/publisher&gt;&lt;url&gt;http://www.cell.com/cell-stem-cell/&lt;/url&gt;&lt;title&gt;Cell Stem Cell&lt;/title&gt;&lt;type&gt;-100&lt;/type&gt;&lt;subtype&gt;-100&lt;/subtype&gt;&lt;uuid&gt;251071B3-37C2-406E-B505-51AAE1B5278C&lt;/uuid&gt;&lt;/publication&gt;&lt;/bundle&gt;&lt;authors&gt;&lt;author&gt;&lt;firstName&gt;Christopher&lt;/firstName&gt;&lt;middleNames&gt;J&lt;/middleNames&gt;&lt;lastName&gt;Lengner&lt;/lastName&gt;&lt;/author&gt;&lt;author&gt;&lt;firstName&gt;Fernando&lt;/firstName&gt;&lt;middleNames&gt;D&lt;/middleNames&gt;&lt;lastName&gt;Camargo&lt;/lastName&gt;&lt;/author&gt;&lt;author&gt;&lt;firstName&gt;Konrad&lt;/firstName&gt;&lt;lastName&gt;Hochedlinger&lt;/lastName&gt;&lt;/author&gt;&lt;author&gt;&lt;firstName&gt;G&lt;/firstName&gt;&lt;middleNames&gt;Grant&lt;/middleNames&gt;&lt;lastName&gt;Welstead&lt;/lastName&gt;&lt;/author&gt;&lt;author&gt;&lt;firstName&gt;Samir&lt;/firstName&gt;&lt;lastName&gt;Zaidi&lt;/lastName&gt;&lt;/author&gt;&lt;author&gt;&lt;firstName&gt;Sumita&lt;/firstName&gt;&lt;lastName&gt;Gokhale&lt;/lastName&gt;&lt;/author&gt;&lt;author&gt;&lt;firstName&gt;Hans&lt;/firstName&gt;&lt;middleNames&gt;R&lt;/middleNames&gt;&lt;lastName&gt;Schöler&lt;/lastName&gt;&lt;/author&gt;&lt;author&gt;&lt;firstName&gt;Alexey&lt;/firstName&gt;&lt;lastName&gt;Tomilin&lt;/lastName&gt;&lt;/author&gt;&lt;author&gt;&lt;firstName&gt;Rudolf&lt;/firstName&gt;&lt;lastName&gt;Jaenisch&lt;/lastName&gt;&lt;/author&gt;&lt;/authors&gt;&lt;/publication&gt;&lt;/publications&gt;&lt;cites&gt;&lt;/cites&gt;&lt;/citation&gt;</w:instrText>
      </w:r>
      <w:r w:rsidRPr="00121840">
        <w:rPr>
          <w:rFonts w:ascii="Times New Roman" w:hAnsi="Times New Roman" w:cs="Times New Roman"/>
          <w:color w:val="312A2A"/>
          <w:szCs w:val="26"/>
        </w:rPr>
        <w:fldChar w:fldCharType="separate"/>
      </w:r>
      <w:r w:rsidR="006541A5">
        <w:rPr>
          <w:rFonts w:ascii="Times New Roman" w:hAnsi="Times New Roman" w:cs="Times New Roman"/>
        </w:rPr>
        <w:t>[1, 2]</w:t>
      </w:r>
      <w:r w:rsidRPr="00121840">
        <w:rPr>
          <w:rFonts w:ascii="Times New Roman" w:hAnsi="Times New Roman" w:cs="Times New Roman"/>
          <w:color w:val="312A2A"/>
          <w:szCs w:val="26"/>
        </w:rPr>
        <w:fldChar w:fldCharType="end"/>
      </w:r>
      <w:r w:rsidRPr="00121840">
        <w:rPr>
          <w:rFonts w:ascii="Times New Roman" w:hAnsi="Times New Roman" w:cs="Times New Roman"/>
        </w:rPr>
        <w:t xml:space="preserve"> (Jackson Lab, Stock #008214), and transfected with </w:t>
      </w:r>
      <w:r w:rsidRPr="00121840">
        <w:rPr>
          <w:rFonts w:ascii="Times New Roman" w:hAnsi="Times New Roman" w:cs="Times New Roman"/>
          <w:color w:val="000000" w:themeColor="text1"/>
        </w:rPr>
        <w:t xml:space="preserve">10 ml ‘four factor’ (4F) virus supernatant (encoding Oct4, Sox2, Klf4, and cMyc). </w:t>
      </w:r>
    </w:p>
    <w:p w14:paraId="078E2857" w14:textId="77777777" w:rsidR="00E363E2" w:rsidRPr="00121840" w:rsidRDefault="00E363E2" w:rsidP="00E363E2">
      <w:pPr>
        <w:spacing w:line="480" w:lineRule="auto"/>
        <w:jc w:val="both"/>
        <w:rPr>
          <w:rFonts w:ascii="Times New Roman" w:hAnsi="Times New Roman" w:cs="Times New Roman"/>
          <w:color w:val="000000" w:themeColor="text1"/>
        </w:rPr>
      </w:pPr>
    </w:p>
    <w:p w14:paraId="73AE466D" w14:textId="24168BBB" w:rsidR="00E363E2" w:rsidRPr="00121840" w:rsidRDefault="00E363E2" w:rsidP="00E363E2">
      <w:pPr>
        <w:spacing w:line="480" w:lineRule="auto"/>
        <w:jc w:val="both"/>
        <w:rPr>
          <w:rFonts w:ascii="Times New Roman" w:hAnsi="Times New Roman" w:cs="Times New Roman"/>
          <w:color w:val="000000" w:themeColor="text1"/>
        </w:rPr>
      </w:pPr>
      <w:r w:rsidRPr="00121840">
        <w:rPr>
          <w:rFonts w:ascii="Times New Roman" w:hAnsi="Times New Roman" w:cs="Times New Roman"/>
          <w:color w:val="000000" w:themeColor="text1"/>
        </w:rPr>
        <w:t xml:space="preserve">The starting </w:t>
      </w:r>
      <w:proofErr w:type="gramStart"/>
      <w:r w:rsidRPr="00121840">
        <w:rPr>
          <w:rFonts w:ascii="Times New Roman" w:hAnsi="Times New Roman" w:cs="Times New Roman"/>
          <w:color w:val="000000" w:themeColor="text1"/>
        </w:rPr>
        <w:t>population of MEFs become</w:t>
      </w:r>
      <w:proofErr w:type="gramEnd"/>
      <w:r w:rsidRPr="00121840">
        <w:rPr>
          <w:rFonts w:ascii="Times New Roman" w:hAnsi="Times New Roman" w:cs="Times New Roman"/>
          <w:color w:val="000000" w:themeColor="text1"/>
        </w:rPr>
        <w:t xml:space="preserve"> GFP+ when </w:t>
      </w:r>
      <w:r w:rsidRPr="00121840">
        <w:rPr>
          <w:rFonts w:ascii="Times New Roman" w:hAnsi="Times New Roman" w:cs="Times New Roman"/>
          <w:i/>
          <w:color w:val="000000" w:themeColor="text1"/>
        </w:rPr>
        <w:t>Pou5f1/Oct4</w:t>
      </w:r>
      <w:r w:rsidRPr="00121840">
        <w:rPr>
          <w:rFonts w:ascii="Times New Roman" w:hAnsi="Times New Roman" w:cs="Times New Roman"/>
          <w:color w:val="000000" w:themeColor="text1"/>
        </w:rPr>
        <w:t xml:space="preserve"> is endogenously activated and they are fully reprogrammed to an ES-like stage. During reprogramming, Thy1+ MEFs first down-regulate expression of MEF-specific markers and become Thy1–, then SSEA1 expression is induced in a small percentage of cells. These cells are capable of becoming GFP+ once fully reprogrammed </w:t>
      </w:r>
      <w:r w:rsidRPr="00121840">
        <w:rPr>
          <w:rFonts w:ascii="Times New Roman" w:hAnsi="Times New Roman" w:cs="Times New Roman"/>
          <w:color w:val="000000" w:themeColor="text1"/>
        </w:rPr>
        <w:fldChar w:fldCharType="begin"/>
      </w:r>
      <w:r w:rsidR="006541A5">
        <w:rPr>
          <w:rFonts w:ascii="Times New Roman" w:hAnsi="Times New Roman" w:cs="Times New Roman"/>
          <w:color w:val="000000" w:themeColor="text1"/>
        </w:rPr>
        <w:instrText xml:space="preserve"> ADDIN PAPERS2_CITATIONS &lt;citation&gt;&lt;uuid&gt;EE696986-B7F8-4FEC-ABDF-A2F15751F841&lt;/uuid&gt;&lt;priority&gt;1&lt;/priority&gt;&lt;publications&gt;&lt;publication&gt;&lt;volume&gt;2&lt;/volume&gt;&lt;number&gt;2&lt;/number&gt;&lt;startpage&gt;151&lt;/startpage&gt;&lt;title&gt;Sequential expression of pluripotency markers during direct reprogramming of mouse somatic cells&lt;/title&gt;&lt;uuid&gt;AD903437-AA62-48B2-9352-65B9883057F8&lt;/uuid&gt;&lt;subtype&gt;400&lt;/subtype&gt;&lt;endpage&gt;159&lt;/endpage&gt;&lt;type&gt;400&lt;/type&gt;&lt;publication_date&gt;99200800001200000000200000&lt;/publication_date&gt;&lt;bundle&gt;&lt;publication&gt;&lt;publisher&gt;Elsevier&lt;/publisher&gt;&lt;url&gt;http://www.cell.com/cell-stem-cell/&lt;/url&gt;&lt;title&gt;Cell Stem Cell&lt;/title&gt;&lt;type&gt;-100&lt;/type&gt;&lt;subtype&gt;-100&lt;/subtype&gt;&lt;uuid&gt;251071B3-37C2-406E-B505-51AAE1B5278C&lt;/uuid&gt;&lt;/publication&gt;&lt;/bundle&gt;&lt;authors&gt;&lt;author&gt;&lt;firstName&gt;T&lt;/firstName&gt;&lt;lastName&gt;Brambrink&lt;/lastName&gt;&lt;/author&gt;&lt;author&gt;&lt;firstName&gt;R&lt;/firstName&gt;&lt;lastName&gt;Foreman&lt;/lastName&gt;&lt;/author&gt;&lt;author&gt;&lt;firstName&gt;GG&lt;/firstName&gt;&lt;lastName&gt;Welstead&lt;/lastName&gt;&lt;/author&gt;&lt;author&gt;&lt;firstName&gt;CJ&lt;/firstName&gt;&lt;lastName&gt;Lengner&lt;/lastName&gt;&lt;/author&gt;&lt;author&gt;&lt;firstName&gt;M&lt;/firstName&gt;&lt;lastName&gt;Wernig&lt;/lastName&gt;&lt;/author&gt;&lt;author&gt;&lt;firstName&gt;H&lt;/firstName&gt;&lt;lastName&gt;Suh&lt;/lastName&gt;&lt;/author&gt;&lt;author&gt;&lt;firstName&gt;R&lt;/firstName&gt;&lt;lastName&gt;Jaenisch&lt;/lastName&gt;&lt;/author&gt;&lt;/authors&gt;&lt;/publication&gt;&lt;publication&gt;&lt;volume&gt;2&lt;/volume&gt;&lt;number&gt;3&lt;/number&gt;&lt;startpage&gt;230&lt;/startpage&gt;&lt;title&gt;Defining molecular cornerstones during fibroblast to iPS cell reprogramming in mouse&lt;/title&gt;&lt;uuid&gt;B4FA63B6-8E28-43CE-9F16-64EA0DD431B0&lt;/uuid&gt;&lt;subtype&gt;400&lt;/subtype&gt;&lt;endpage&gt;240&lt;/endpage&gt;&lt;type&gt;400&lt;/type&gt;&lt;publication_date&gt;99200800001200000000200000&lt;/publication_date&gt;&lt;bundle&gt;&lt;publication&gt;&lt;publisher&gt;Elsevier&lt;/publisher&gt;&lt;url&gt;http://www.cell.com/cell-stem-cell/&lt;/url&gt;&lt;title&gt;Cell Stem Cell&lt;/title&gt;&lt;type&gt;-100&lt;/type&gt;&lt;subtype&gt;-100&lt;/subtype&gt;&lt;uuid&gt;251071B3-37C2-406E-B505-51AAE1B5278C&lt;/uuid&gt;&lt;/publication&gt;&lt;/bundle&gt;&lt;authors&gt;&lt;author&gt;&lt;firstName&gt;M&lt;/firstName&gt;&lt;lastName&gt;Stadtfeld&lt;/lastName&gt;&lt;/author&gt;&lt;author&gt;&lt;firstName&gt;N&lt;/firstName&gt;&lt;lastName&gt;Maherali&lt;/lastName&gt;&lt;/author&gt;&lt;author&gt;&lt;firstName&gt;DT&lt;/firstName&gt;&lt;lastName&gt;Breault&lt;/lastName&gt;&lt;/author&gt;&lt;author&gt;&lt;firstName&gt;K&lt;/firstName&gt;&lt;lastName&gt;Hochedlinger&lt;/lastName&gt;&lt;/author&gt;&lt;/authors&gt;&lt;/publication&gt;&lt;/publications&gt;&lt;cites&gt;&lt;/cites&gt;&lt;/citation&gt;</w:instrText>
      </w:r>
      <w:r w:rsidRPr="00121840">
        <w:rPr>
          <w:rFonts w:ascii="Times New Roman" w:hAnsi="Times New Roman" w:cs="Times New Roman"/>
          <w:color w:val="000000" w:themeColor="text1"/>
        </w:rPr>
        <w:fldChar w:fldCharType="separate"/>
      </w:r>
      <w:r w:rsidR="006541A5">
        <w:rPr>
          <w:rFonts w:ascii="Times New Roman" w:hAnsi="Times New Roman" w:cs="Times New Roman"/>
        </w:rPr>
        <w:t>[3, 4]</w:t>
      </w:r>
      <w:r w:rsidRPr="00121840">
        <w:rPr>
          <w:rFonts w:ascii="Times New Roman" w:hAnsi="Times New Roman" w:cs="Times New Roman"/>
          <w:color w:val="000000" w:themeColor="text1"/>
        </w:rPr>
        <w:fldChar w:fldCharType="end"/>
      </w:r>
      <w:r w:rsidRPr="00121840">
        <w:rPr>
          <w:rFonts w:ascii="Times New Roman" w:hAnsi="Times New Roman" w:cs="Times New Roman"/>
          <w:color w:val="000000" w:themeColor="text1"/>
        </w:rPr>
        <w:t xml:space="preserve">. Initially, 85% of MEFs were positive for Thy1 (Figure 1A), and five days </w:t>
      </w:r>
      <w:r w:rsidRPr="00121840">
        <w:rPr>
          <w:rFonts w:ascii="Times New Roman" w:hAnsi="Times New Roman" w:cs="Times New Roman"/>
          <w:color w:val="000000" w:themeColor="text1"/>
        </w:rPr>
        <w:lastRenderedPageBreak/>
        <w:t xml:space="preserve">after transduction with the OSKM viruses ~45% of cells became Thy1– (Figure 1A), consistent with the previous report </w:t>
      </w:r>
      <w:r w:rsidRPr="00121840">
        <w:rPr>
          <w:rFonts w:ascii="Times New Roman" w:hAnsi="Times New Roman" w:cs="Times New Roman"/>
          <w:color w:val="000000" w:themeColor="text1"/>
        </w:rPr>
        <w:fldChar w:fldCharType="begin">
          <w:fldData xml:space="preserve">PEVuZE5vdGU+PENpdGU+PEF1dGhvcj5CcmFtYnJpbms8L0F1dGhvcj48WWVhcj4yMDA4PC9ZZWFy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</w:fldData>
        </w:fldChar>
      </w:r>
      <w:r w:rsidRPr="00121840">
        <w:rPr>
          <w:rFonts w:ascii="Times New Roman" w:hAnsi="Times New Roman" w:cs="Times New Roman"/>
          <w:color w:val="000000" w:themeColor="text1"/>
        </w:rPr>
        <w:instrText xml:space="preserve"> ADDIN EN.CITE </w:instrText>
      </w:r>
      <w:r w:rsidRPr="00121840">
        <w:rPr>
          <w:rFonts w:ascii="Times New Roman" w:hAnsi="Times New Roman" w:cs="Times New Roman"/>
          <w:color w:val="000000" w:themeColor="text1"/>
        </w:rPr>
        <w:fldChar w:fldCharType="begin">
          <w:fldData xml:space="preserve">PEVuZE5vdGU+PENpdGU+PEF1dGhvcj5CcmFtYnJpbms8L0F1dGhvcj48WWVhcj4yMDA4PC9ZZWFy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</w:fldData>
        </w:fldChar>
      </w:r>
      <w:r w:rsidRPr="00121840">
        <w:rPr>
          <w:rFonts w:ascii="Times New Roman" w:hAnsi="Times New Roman" w:cs="Times New Roman"/>
          <w:color w:val="000000" w:themeColor="text1"/>
        </w:rPr>
        <w:instrText xml:space="preserve"> ADDIN EN.CITE.DATA </w:instrText>
      </w:r>
      <w:r w:rsidRPr="00121840">
        <w:rPr>
          <w:rFonts w:ascii="Times New Roman" w:hAnsi="Times New Roman" w:cs="Times New Roman"/>
          <w:color w:val="000000" w:themeColor="text1"/>
        </w:rPr>
      </w:r>
      <w:r w:rsidRPr="00121840">
        <w:rPr>
          <w:rFonts w:ascii="Times New Roman" w:hAnsi="Times New Roman" w:cs="Times New Roman"/>
          <w:color w:val="000000" w:themeColor="text1"/>
        </w:rPr>
        <w:fldChar w:fldCharType="end"/>
      </w:r>
      <w:r w:rsidRPr="00121840">
        <w:rPr>
          <w:rFonts w:ascii="Times New Roman" w:hAnsi="Times New Roman" w:cs="Times New Roman"/>
          <w:color w:val="000000" w:themeColor="text1"/>
        </w:rPr>
      </w:r>
      <w:r w:rsidRPr="00121840">
        <w:rPr>
          <w:rFonts w:ascii="Times New Roman" w:hAnsi="Times New Roman" w:cs="Times New Roman"/>
          <w:color w:val="000000" w:themeColor="text1"/>
        </w:rPr>
        <w:fldChar w:fldCharType="end"/>
      </w:r>
      <w:r w:rsidRPr="00121840">
        <w:rPr>
          <w:rFonts w:ascii="Times New Roman" w:hAnsi="Times New Roman" w:cs="Times New Roman"/>
          <w:color w:val="000000" w:themeColor="text1"/>
        </w:rPr>
        <w:fldChar w:fldCharType="begin"/>
      </w:r>
      <w:r w:rsidR="006541A5">
        <w:rPr>
          <w:rFonts w:ascii="Times New Roman" w:hAnsi="Times New Roman" w:cs="Times New Roman"/>
          <w:color w:val="000000" w:themeColor="text1"/>
        </w:rPr>
        <w:instrText xml:space="preserve"> ADDIN PAPERS2_CITATIONS &lt;citation&gt;&lt;uuid&gt;9F216A36-3EE6-4EF4-8BB4-FFBF67B32523&lt;/uuid&gt;&lt;priority&gt;2&lt;/priority&gt;&lt;publications&gt;&lt;publication&gt;&lt;volume&gt;2&lt;/volume&gt;&lt;number&gt;2&lt;/number&gt;&lt;startpage&gt;151&lt;/startpage&gt;&lt;title&gt;Sequential expression of pluripotency markers during direct reprogramming of mouse somatic cells&lt;/title&gt;&lt;uuid&gt;AD903437-AA62-48B2-9352-65B9883057F8&lt;/uuid&gt;&lt;subtype&gt;400&lt;/subtype&gt;&lt;endpage&gt;159&lt;/endpage&gt;&lt;type&gt;400&lt;/type&gt;&lt;publication_date&gt;99200800001200000000200000&lt;/publication_date&gt;&lt;bundle&gt;&lt;publication&gt;&lt;publisher&gt;Elsevier&lt;/publisher&gt;&lt;url&gt;http://www.cell.com/cell-stem-cell/&lt;/url&gt;&lt;title&gt;Cell Stem Cell&lt;/title&gt;&lt;type&gt;-100&lt;/type&gt;&lt;subtype&gt;-100&lt;/subtype&gt;&lt;uuid&gt;251071B3-37C2-406E-B505-51AAE1B5278C&lt;/uuid&gt;&lt;/publication&gt;&lt;/bundle&gt;&lt;authors&gt;&lt;author&gt;&lt;firstName&gt;T&lt;/firstName&gt;&lt;lastName&gt;Brambrink&lt;/lastName&gt;&lt;/author&gt;&lt;author&gt;&lt;firstName&gt;R&lt;/firstName&gt;&lt;lastName&gt;Foreman&lt;/lastName&gt;&lt;/author&gt;&lt;author&gt;&lt;firstName&gt;GG&lt;/firstName&gt;&lt;lastName&gt;Welstead&lt;/lastName&gt;&lt;/author&gt;&lt;author&gt;&lt;firstName&gt;CJ&lt;/firstName&gt;&lt;lastName&gt;Lengner&lt;/lastName&gt;&lt;/author&gt;&lt;author&gt;&lt;firstName&gt;M&lt;/firstName&gt;&lt;lastName&gt;Wernig&lt;/lastName&gt;&lt;/author&gt;&lt;author&gt;&lt;firstName&gt;H&lt;/firstName&gt;&lt;lastName&gt;Suh&lt;/lastName&gt;&lt;/author&gt;&lt;author&gt;&lt;firstName&gt;R&lt;/firstName&gt;&lt;lastName&gt;Jaenisch&lt;/lastName&gt;&lt;/author&gt;&lt;/authors&gt;&lt;/publication&gt;&lt;/publications&gt;&lt;cites&gt;&lt;/cites&gt;&lt;/citation&gt;</w:instrText>
      </w:r>
      <w:r w:rsidRPr="00121840">
        <w:rPr>
          <w:rFonts w:ascii="Times New Roman" w:hAnsi="Times New Roman" w:cs="Times New Roman"/>
          <w:color w:val="000000" w:themeColor="text1"/>
        </w:rPr>
        <w:fldChar w:fldCharType="separate"/>
      </w:r>
      <w:r w:rsidR="006541A5">
        <w:rPr>
          <w:rFonts w:ascii="Times New Roman" w:hAnsi="Times New Roman" w:cs="Times New Roman"/>
        </w:rPr>
        <w:t>[3]</w:t>
      </w:r>
      <w:r w:rsidRPr="00121840">
        <w:rPr>
          <w:rFonts w:ascii="Times New Roman" w:hAnsi="Times New Roman" w:cs="Times New Roman"/>
          <w:color w:val="000000" w:themeColor="text1"/>
        </w:rPr>
        <w:fldChar w:fldCharType="end"/>
      </w:r>
      <w:r w:rsidRPr="00121840">
        <w:rPr>
          <w:rFonts w:ascii="Times New Roman" w:hAnsi="Times New Roman" w:cs="Times New Roman"/>
          <w:color w:val="000000" w:themeColor="text1"/>
        </w:rPr>
        <w:t xml:space="preserve">. At day 9 to 10 post-transduction, 5.5% of the cells were SSEA1-positive (Figure 1B), and by day 14 ~3.7% of the cells reached the fully reprogrammed state, as judged by GFP expression (Figure 1C). </w:t>
      </w:r>
    </w:p>
    <w:p w14:paraId="7FD0C5F8" w14:textId="77777777" w:rsidR="00E363E2" w:rsidRPr="00121840" w:rsidRDefault="00E363E2" w:rsidP="00E363E2">
      <w:pPr>
        <w:spacing w:line="480" w:lineRule="auto"/>
        <w:jc w:val="both"/>
        <w:rPr>
          <w:rFonts w:ascii="Times New Roman" w:hAnsi="Times New Roman" w:cs="Times New Roman"/>
          <w:color w:val="000000" w:themeColor="text1"/>
        </w:rPr>
      </w:pPr>
    </w:p>
    <w:p w14:paraId="0747BD66" w14:textId="77777777" w:rsidR="00E363E2" w:rsidRPr="00121840" w:rsidRDefault="00E363E2" w:rsidP="00E363E2">
      <w:pPr>
        <w:spacing w:line="480" w:lineRule="auto"/>
        <w:jc w:val="both"/>
        <w:rPr>
          <w:rFonts w:ascii="Times New Roman" w:hAnsi="Times New Roman" w:cs="Times New Roman"/>
          <w:color w:val="000000" w:themeColor="text1"/>
        </w:rPr>
      </w:pPr>
      <w:r w:rsidRPr="00121840">
        <w:rPr>
          <w:rFonts w:ascii="Times New Roman" w:hAnsi="Times New Roman" w:cs="Times New Roman"/>
          <w:color w:val="000000" w:themeColor="text1"/>
        </w:rPr>
        <w:t>For purification of the Thy1– population, cells were harvested from day five post-transduction cultures, trypsinized into single cell suspensions and washed once in PBS containing 0.5% BSA (w/v). Approximately 1x10</w:t>
      </w:r>
      <w:r w:rsidRPr="00121840">
        <w:rPr>
          <w:rFonts w:ascii="Times New Roman" w:hAnsi="Times New Roman" w:cs="Times New Roman"/>
          <w:color w:val="000000" w:themeColor="text1"/>
          <w:vertAlign w:val="superscript"/>
        </w:rPr>
        <w:t>7</w:t>
      </w:r>
      <w:r w:rsidRPr="00121840">
        <w:rPr>
          <w:rFonts w:ascii="Times New Roman" w:hAnsi="Times New Roman" w:cs="Times New Roman"/>
          <w:color w:val="000000" w:themeColor="text1"/>
        </w:rPr>
        <w:t xml:space="preserve"> cells were stained with ~80 μl PE-conjugated anti-mouse Thy1 antibody (eBioscience, San Diego, CA; Cat.12-0902-82) in 1 ml of 0.5% BSA/PBS for 30 min on ice and then FACS-sorted (Fig. 1A). As positive controls for FACS-sorting, uninfected Oct4-GFP MEFs were stained in an identical manner. Unstained MEFs were used as staining controls. To verify the functional integrity of the sorted cells and the progression of 4F reprogramming, 4x10</w:t>
      </w:r>
      <w:r w:rsidRPr="00121840">
        <w:rPr>
          <w:rFonts w:ascii="Times New Roman" w:hAnsi="Times New Roman" w:cs="Times New Roman"/>
          <w:color w:val="000000" w:themeColor="text1"/>
          <w:vertAlign w:val="superscript"/>
        </w:rPr>
        <w:t>4</w:t>
      </w:r>
      <w:r w:rsidRPr="00121840">
        <w:rPr>
          <w:rFonts w:ascii="Times New Roman" w:hAnsi="Times New Roman" w:cs="Times New Roman"/>
          <w:color w:val="000000" w:themeColor="text1"/>
        </w:rPr>
        <w:t xml:space="preserve"> Thy1– and Thy1+ cells were collected and reseeded on irradiated MEF feeder plates until day 14. The cells were then cultured in mES medium for 14 days to evaluate their ability to form GFP</w:t>
      </w:r>
      <w:r w:rsidRPr="00121840">
        <w:rPr>
          <w:rFonts w:ascii="Times New Roman" w:hAnsi="Times New Roman" w:cs="Times New Roman"/>
          <w:color w:val="000000" w:themeColor="text1"/>
          <w:vertAlign w:val="superscript"/>
        </w:rPr>
        <w:t>+</w:t>
      </w:r>
      <w:r w:rsidRPr="00121840">
        <w:rPr>
          <w:rFonts w:ascii="Times New Roman" w:hAnsi="Times New Roman" w:cs="Times New Roman"/>
          <w:color w:val="000000" w:themeColor="text1"/>
        </w:rPr>
        <w:t xml:space="preserve"> iPSC colonies; Thy1– cells formed at least 10-fold more cells with iPSC-generating potential than Thy1+ cells (Fig. S1A). </w:t>
      </w:r>
    </w:p>
    <w:p w14:paraId="6639A0BC" w14:textId="77777777" w:rsidR="00E363E2" w:rsidRPr="00121840" w:rsidRDefault="00E363E2" w:rsidP="00E363E2">
      <w:pPr>
        <w:spacing w:line="480" w:lineRule="auto"/>
        <w:jc w:val="both"/>
        <w:rPr>
          <w:rFonts w:ascii="Times New Roman" w:hAnsi="Times New Roman" w:cs="Times New Roman"/>
          <w:color w:val="000000" w:themeColor="text1"/>
        </w:rPr>
      </w:pPr>
    </w:p>
    <w:p w14:paraId="4BD82C5B" w14:textId="77777777" w:rsidR="00E363E2" w:rsidRPr="00121840" w:rsidRDefault="00E363E2" w:rsidP="00E363E2">
      <w:pPr>
        <w:spacing w:line="480" w:lineRule="auto"/>
        <w:jc w:val="both"/>
        <w:rPr>
          <w:rFonts w:ascii="Times New Roman" w:hAnsi="Times New Roman" w:cs="Times New Roman"/>
          <w:color w:val="000000" w:themeColor="text1"/>
        </w:rPr>
      </w:pPr>
      <w:r w:rsidRPr="00121840">
        <w:rPr>
          <w:rFonts w:ascii="Times New Roman" w:hAnsi="Times New Roman" w:cs="Times New Roman"/>
          <w:color w:val="000000" w:themeColor="text1"/>
        </w:rPr>
        <w:t xml:space="preserve">For purification of the SSEA1+ population, cells were harvested from culture on day 9 or 10 post-4F transduction. Cells were trypsinized into single cell suspensions and washed once with 0.5% BSA/PBS. Cells were stained as described above with APC-conjugated anti-SSEA1 (R&amp;D Systems, Minneapolis, MN; Cat. </w:t>
      </w:r>
      <w:proofErr w:type="gramStart"/>
      <w:r w:rsidRPr="00121840">
        <w:rPr>
          <w:rFonts w:ascii="Times New Roman" w:hAnsi="Times New Roman" w:cs="Times New Roman"/>
          <w:color w:val="000000" w:themeColor="text1"/>
        </w:rPr>
        <w:t>FAB2155A), according to the manufacturer’s recommendations.</w:t>
      </w:r>
      <w:proofErr w:type="gramEnd"/>
      <w:r w:rsidRPr="00121840">
        <w:rPr>
          <w:rFonts w:ascii="Times New Roman" w:hAnsi="Times New Roman" w:cs="Times New Roman"/>
          <w:color w:val="000000" w:themeColor="text1"/>
        </w:rPr>
        <w:t xml:space="preserve"> For purification of the GFP+ population, cells were harvested into single cell suspensions and sorted without further staining.</w:t>
      </w:r>
    </w:p>
    <w:p w14:paraId="3F2A73A7" w14:textId="77777777" w:rsidR="00E363E2" w:rsidRPr="00121840" w:rsidRDefault="00E363E2" w:rsidP="00E363E2">
      <w:pPr>
        <w:spacing w:line="480" w:lineRule="auto"/>
        <w:jc w:val="both"/>
        <w:rPr>
          <w:rFonts w:ascii="Times New Roman" w:hAnsi="Times New Roman" w:cs="Times New Roman"/>
          <w:color w:val="000000" w:themeColor="text1"/>
        </w:rPr>
      </w:pPr>
    </w:p>
    <w:p w14:paraId="5AA3AA47" w14:textId="77777777" w:rsidR="00E363E2" w:rsidRPr="00121840" w:rsidRDefault="00E363E2" w:rsidP="00E363E2">
      <w:pPr>
        <w:spacing w:line="480" w:lineRule="auto"/>
        <w:jc w:val="both"/>
        <w:rPr>
          <w:rFonts w:ascii="Times New Roman" w:hAnsi="Times New Roman" w:cs="Times New Roman"/>
          <w:color w:val="000000" w:themeColor="text1"/>
        </w:rPr>
      </w:pPr>
      <w:r w:rsidRPr="00121840">
        <w:rPr>
          <w:rFonts w:ascii="Times New Roman" w:hAnsi="Times New Roman" w:cs="Times New Roman"/>
          <w:color w:val="000000" w:themeColor="text1"/>
        </w:rPr>
        <w:t>To verify the progression of 4F reprogramming, 4x10</w:t>
      </w:r>
      <w:r w:rsidRPr="00121840">
        <w:rPr>
          <w:rFonts w:ascii="Times New Roman" w:hAnsi="Times New Roman" w:cs="Times New Roman"/>
          <w:color w:val="000000" w:themeColor="text1"/>
          <w:vertAlign w:val="superscript"/>
        </w:rPr>
        <w:t>4</w:t>
      </w:r>
      <w:r w:rsidRPr="00121840">
        <w:rPr>
          <w:rFonts w:ascii="Times New Roman" w:hAnsi="Times New Roman" w:cs="Times New Roman"/>
          <w:color w:val="000000" w:themeColor="text1"/>
        </w:rPr>
        <w:t xml:space="preserve"> Thy1– and Thy1+ cells were collected and reseeded on irradiated MEF feeder plates until day 14. The cells were then cultured in mES medium for 14 days to evaluate their ability to form GFP</w:t>
      </w:r>
      <w:r w:rsidRPr="00121840">
        <w:rPr>
          <w:rFonts w:ascii="Times New Roman" w:hAnsi="Times New Roman" w:cs="Times New Roman"/>
          <w:color w:val="000000" w:themeColor="text1"/>
          <w:vertAlign w:val="superscript"/>
        </w:rPr>
        <w:t>+</w:t>
      </w:r>
      <w:r w:rsidRPr="00121840">
        <w:rPr>
          <w:rFonts w:ascii="Times New Roman" w:hAnsi="Times New Roman" w:cs="Times New Roman"/>
          <w:color w:val="000000" w:themeColor="text1"/>
        </w:rPr>
        <w:t xml:space="preserve"> iPSC colonies. Analysis of these cultures confirmed the presence of many alkaline phosphatase (AP)-positive colonies (indicative of ES cells) in the cultures originating from Thy1– cells, with at least 10-fold more cells with iPSC-generating potential in the Thy1– than in the Thy1+ population, based on quantification of AP+ and GFP+ colonies (Figure S1B, S1C). For the cell sorting analyses, wild type MEFs and established iPSCs were used as negative and positive control cells for marker expression. These data confirmed that we successfully purified an intermediate cell population from the reprogramming process. </w:t>
      </w:r>
    </w:p>
    <w:p w14:paraId="53C8531D" w14:textId="77777777" w:rsidR="00E363E2" w:rsidRPr="00B75B1E" w:rsidRDefault="00E363E2" w:rsidP="00E363E2">
      <w:pPr>
        <w:spacing w:line="480" w:lineRule="auto"/>
        <w:ind w:firstLine="720"/>
        <w:jc w:val="both"/>
        <w:rPr>
          <w:rFonts w:ascii="Times" w:hAnsi="Times"/>
          <w:color w:val="000000" w:themeColor="text1"/>
        </w:rPr>
      </w:pPr>
    </w:p>
    <w:p w14:paraId="472959E6" w14:textId="77777777" w:rsidR="00E363E2" w:rsidRPr="00121840" w:rsidRDefault="00E363E2" w:rsidP="00E363E2">
      <w:pPr>
        <w:spacing w:line="480" w:lineRule="auto"/>
        <w:rPr>
          <w:rFonts w:ascii="Arial" w:hAnsi="Arial" w:cs="Arial"/>
          <w:b/>
        </w:rPr>
      </w:pPr>
      <w:r w:rsidRPr="00121840">
        <w:rPr>
          <w:rFonts w:ascii="Arial" w:hAnsi="Arial" w:cs="Arial"/>
          <w:b/>
        </w:rPr>
        <w:t>Library preparation and sequencing</w:t>
      </w:r>
    </w:p>
    <w:p w14:paraId="186AA8A5" w14:textId="77777777" w:rsidR="00E363E2" w:rsidRPr="00121840" w:rsidRDefault="00E363E2" w:rsidP="00E363E2">
      <w:pPr>
        <w:spacing w:line="480" w:lineRule="auto"/>
        <w:rPr>
          <w:rFonts w:ascii="Times New Roman" w:hAnsi="Times New Roman" w:cs="Times New Roman"/>
        </w:rPr>
      </w:pPr>
      <w:r w:rsidRPr="00121840">
        <w:rPr>
          <w:rFonts w:ascii="Times New Roman" w:hAnsi="Times New Roman" w:cs="Times New Roman"/>
        </w:rPr>
        <w:t>RNA was extracted from two replicates of the MEF to Thy1– to SSEA1+ to Oct4-GFP+ reprogramming samples, as well as an additional iPS line, mES line, and two partial iPS lines (piPS4 and piPS5). The first library was prepared using the SOLiD Small RNA Expression Kit (SREK, Part #4445374, Applied Biosystems) and sequenced with SOLiD version 3 chemistry. The second replicate was prepared after the discontinuation of the SREK kit, and was instead prepared with its successor, Total RNA-Seq kit (Part #4399434) and SOLiD version 4.</w:t>
      </w:r>
    </w:p>
    <w:p w14:paraId="4ED47E7C" w14:textId="77777777" w:rsidR="00E363E2" w:rsidRPr="00B65002" w:rsidRDefault="00E363E2" w:rsidP="00E363E2">
      <w:pPr>
        <w:spacing w:line="480" w:lineRule="auto"/>
        <w:rPr>
          <w:rFonts w:ascii="Times" w:hAnsi="Times"/>
        </w:rPr>
      </w:pPr>
    </w:p>
    <w:p w14:paraId="49052BE5" w14:textId="77777777" w:rsidR="00E363E2" w:rsidRPr="00121840" w:rsidRDefault="00E363E2" w:rsidP="00E363E2">
      <w:pPr>
        <w:spacing w:line="480" w:lineRule="auto"/>
        <w:rPr>
          <w:rFonts w:ascii="Arial" w:hAnsi="Arial" w:cs="Arial"/>
          <w:b/>
        </w:rPr>
      </w:pPr>
      <w:r w:rsidRPr="00121840">
        <w:rPr>
          <w:rFonts w:ascii="Arial" w:hAnsi="Arial" w:cs="Arial"/>
          <w:b/>
        </w:rPr>
        <w:t>Mapping</w:t>
      </w:r>
    </w:p>
    <w:p w14:paraId="6671C9A7" w14:textId="77777777" w:rsidR="00E363E2" w:rsidRPr="00121840" w:rsidRDefault="00E363E2" w:rsidP="00E363E2">
      <w:pPr>
        <w:spacing w:line="480" w:lineRule="auto"/>
        <w:rPr>
          <w:rFonts w:ascii="Times New Roman" w:hAnsi="Times New Roman" w:cs="Times New Roman"/>
        </w:rPr>
      </w:pPr>
      <w:r w:rsidRPr="00121840">
        <w:rPr>
          <w:rFonts w:ascii="Times New Roman" w:hAnsi="Times New Roman" w:cs="Times New Roman"/>
        </w:rPr>
        <w:t>The SOLiD Small RNA Analysis Tool (Applied Biosystems) was used to map the colorspace reads to miRbase version 16 mouse miRNAs and then to the mouse genome. Reads were mapped uniquely allowing 0 or 1 color space mismatch. With the dibase reading method used by the SOLiD, one color space mismatch is equivalent to no mismatches in base space. Several of the version 16 mouse miRNAs have since been identified as fragments of rRNA or tRNA, or otherwise not miRNAs and removed from miRbase, and reads mapping to these miRNAs were removed from the dataset. These 80 dead miRNAs were removed from the dataset prior to analysis: mir-1274a-5p, mir-1274a-3p, mir-1937a-5p, mir-1937a-3p, mir-1937b-1-5p, mir-1937b-1-3p, mir-1937b-2-5p, mir-1937b-2-3p, mir-1937b-3-5p, mir-1937b-3-3p, mir-1937b-4-5p, mir-1937b-4-3p, mir-1937b-5-5p, mir-1937b-5-3p, mir-1937c-5p, mir-1937c-3p, mir-1939-5p, mir-1939-3p, mir-1944-5p, mir-1944-3p, mir-1959-5p, mir-1959-3p, mir-2132-5p, mir-2132-3p, mir-2133-1-5p, mir-2133-1-3p, mir-2133-2-5p, mir-2133-2-3p, mir-2134-1-5p, mir-2134-1-3p, mir-2134-2-5p, mir-2134-2-3p, mir-2134-3-5p, mir-2134-3-3p, mir-2134-4-5p, mir-2134-4-3p, mir-2134-5-5p, mir-2134-5-3p, mir-2134-6-5p, mir-2134-6-3p, mir-2135-1-5p, mir-2135-1-3p, mir-2135-2-5p, mir-2135-2-3p, mir-2135-3-5p, mir-2135-3-3p, mir-2135-4-5p, mir-2135-4-3p, mir-2135-5-5p, mir-2135-5-3p, mir-2138-5p, mir-2138-3p, mir-2140-5p, mir-2140-3p, mir-2141-5p, mir-2141-3p, mir-2145-1-5p, mir-2145-1-3p, mir-2145-2-5p, mir-2145-2-3p, mir-2146-5p, mir-2146-3p, mir-220-5p, mir-220-3p, mir-297a-5-5p, mir-297a-5-3p, mir-297a-6-5p, mir-297a-6-3p, mir-464-5p, mir-464-3p, mir-469-5p, mir-469-3p, mir-689-1-5p, mir-689-1-3p, mir-689-2-5p, mir-689-2-3p, mir-715-5p, mir-715-3p, mir-744-5p, mir-744-3p.</w:t>
      </w:r>
    </w:p>
    <w:p w14:paraId="3652073A" w14:textId="77777777" w:rsidR="00E363E2" w:rsidRDefault="00E363E2" w:rsidP="00E363E2">
      <w:pPr>
        <w:spacing w:line="480" w:lineRule="auto"/>
        <w:rPr>
          <w:rFonts w:ascii="Times" w:hAnsi="Times"/>
          <w:b/>
        </w:rPr>
      </w:pPr>
    </w:p>
    <w:p w14:paraId="03EC03B5" w14:textId="77777777" w:rsidR="00E363E2" w:rsidRPr="00121840" w:rsidRDefault="00E363E2" w:rsidP="00E363E2">
      <w:pPr>
        <w:spacing w:line="480" w:lineRule="auto"/>
        <w:rPr>
          <w:rFonts w:ascii="Arial" w:hAnsi="Arial" w:cs="Arial"/>
          <w:b/>
        </w:rPr>
      </w:pPr>
      <w:r w:rsidRPr="00121840">
        <w:rPr>
          <w:rFonts w:ascii="Arial" w:hAnsi="Arial" w:cs="Arial"/>
          <w:b/>
        </w:rPr>
        <w:t>Principal Component Analysis</w:t>
      </w:r>
    </w:p>
    <w:p w14:paraId="1056DCBF" w14:textId="77777777" w:rsidR="00E363E2" w:rsidRPr="00121840" w:rsidRDefault="00E363E2" w:rsidP="00E363E2">
      <w:pPr>
        <w:spacing w:line="480" w:lineRule="auto"/>
        <w:rPr>
          <w:rFonts w:ascii="Times New Roman" w:hAnsi="Times New Roman" w:cs="Times New Roman"/>
        </w:rPr>
      </w:pPr>
      <w:r w:rsidRPr="00121840">
        <w:rPr>
          <w:rFonts w:ascii="Times New Roman" w:hAnsi="Times New Roman" w:cs="Times New Roman"/>
        </w:rPr>
        <w:t xml:space="preserve">To reduce the effects of invariant miRNAs, only the top half most variant miRNAs were used to construct the PCA. </w:t>
      </w:r>
    </w:p>
    <w:p w14:paraId="6F5F4262" w14:textId="77777777" w:rsidR="00E363E2" w:rsidRDefault="00E363E2" w:rsidP="00E363E2">
      <w:pPr>
        <w:spacing w:line="480" w:lineRule="auto"/>
        <w:rPr>
          <w:rFonts w:ascii="Times" w:hAnsi="Times"/>
        </w:rPr>
      </w:pPr>
    </w:p>
    <w:p w14:paraId="34828FE1" w14:textId="77777777" w:rsidR="00E363E2" w:rsidRPr="00121840" w:rsidRDefault="00E363E2" w:rsidP="00E363E2">
      <w:pPr>
        <w:spacing w:line="480" w:lineRule="auto"/>
        <w:rPr>
          <w:rFonts w:ascii="Arial" w:hAnsi="Arial" w:cs="Arial"/>
          <w:b/>
        </w:rPr>
      </w:pPr>
      <w:r w:rsidRPr="00121840">
        <w:rPr>
          <w:rFonts w:ascii="Arial" w:hAnsi="Arial" w:cs="Arial"/>
          <w:b/>
        </w:rPr>
        <w:t>Microarray analysis</w:t>
      </w:r>
    </w:p>
    <w:p w14:paraId="0FD68255" w14:textId="2BBDE857" w:rsidR="00E363E2" w:rsidRPr="00121840" w:rsidRDefault="00E363E2" w:rsidP="00E363E2">
      <w:pPr>
        <w:spacing w:line="480" w:lineRule="auto"/>
        <w:rPr>
          <w:rFonts w:ascii="Times New Roman" w:hAnsi="Times New Roman" w:cs="Times New Roman"/>
        </w:rPr>
      </w:pPr>
      <w:r w:rsidRPr="00121840">
        <w:rPr>
          <w:rFonts w:ascii="Times New Roman" w:hAnsi="Times New Roman" w:cs="Times New Roman"/>
        </w:rPr>
        <w:t xml:space="preserve">To confirm the pattern of downregulation of Dlk1-Dio3 miRNAs early in reprogramming, we inspected the pattern of expression of these miRNAs in microarray </w:t>
      </w:r>
      <w:r w:rsidRPr="006541A5">
        <w:rPr>
          <w:rFonts w:ascii="Times New Roman" w:hAnsi="Times New Roman" w:cs="Times New Roman"/>
        </w:rPr>
        <w:t xml:space="preserve">data from </w:t>
      </w:r>
      <w:r w:rsidRPr="006541A5">
        <w:rPr>
          <w:rFonts w:ascii="Times New Roman" w:hAnsi="Times New Roman" w:cs="Times New Roman"/>
        </w:rPr>
        <w:fldChar w:fldCharType="begin"/>
      </w:r>
      <w:r w:rsidR="00340477" w:rsidRPr="006541A5">
        <w:rPr>
          <w:rFonts w:ascii="Times New Roman" w:hAnsi="Times New Roman" w:cs="Times New Roman"/>
        </w:rPr>
        <w:instrText xml:space="preserve"> ADDIN PAPERS2_CITATIONS &lt;citation&gt;&lt;uuid&gt;A60DE334-D512-4FFF-A10F-0E084758643C&lt;/uuid&gt;&lt;priority&gt;3&lt;/priority&gt;&lt;publications&gt;&lt;publication&gt;&lt;uuid&gt;61ED3E16-C8F7-4374-BEED-1F7FDB8D2D68&lt;/uuid&gt;&lt;volume&gt;151&lt;/volume&gt;&lt;accepted_date&gt;99201211201200000000222000&lt;/accepted_date&gt;&lt;doi&gt;10.1016/j.cell.2012.11.039&lt;/doi&gt;&lt;startpage&gt;1617&lt;/startpage&gt;&lt;revision_date&gt;99201210091200000000222000&lt;/revision_date&gt;&lt;publication_date&gt;99201212211200000000222000&lt;/publication_date&gt;&lt;url&gt;http://eutils.ncbi.nlm.nih.gov/entrez/eutils/elink.fcgi?dbfrom=pubmed&amp;amp;id=23260147&amp;amp;retmode=ref&amp;amp;cmd=prlinks&lt;/url&gt;&lt;type&gt;400&lt;/type&gt;&lt;title&gt;A molecular roadmap of reprogramming somatic cells into iPS cells.&lt;/title&gt;&lt;location&gt;200,8,42.3620163,-71.0659218&lt;/location&gt;&lt;submission_date&gt;99201205121200000000222000&lt;/submission_date&gt;&lt;number&gt;7&lt;/number&gt;&lt;institution&gt;Massachusetts General Hospital Cancer Center and Center for Regenerative Medicine, 185 Cambridge Street, Boston, MA 02114, USA.&lt;/institution&gt;&lt;subtype&gt;400&lt;/subtype&gt;&lt;endpage&gt;1632&lt;/endpage&gt;&lt;bundle&gt;&lt;publication&gt;&lt;publisher&gt;Elsevier Ltd&lt;/publisher&gt;&lt;url&gt;http://www.cell.com/&lt;/url&gt;&lt;title&gt;Cell&lt;/title&gt;&lt;type&gt;-100&lt;/type&gt;&lt;subtype&gt;-100&lt;/subtype&gt;&lt;uuid&gt;8CFA51D8-691D-4D35-9178-8A5217A71525&lt;/uuid&gt;&lt;/publication&gt;&lt;/bundle&gt;&lt;authors&gt;&lt;author&gt;&lt;firstName&gt;Jose&lt;/firstName&gt;&lt;middleNames&gt;M&lt;/middleNames&gt;&lt;lastName&gt;Polo&lt;/lastName&gt;&lt;/author&gt;&lt;author&gt;&lt;firstName&gt;Endre&lt;/firstName&gt;&lt;lastName&gt;Anderssen&lt;/lastName&gt;&lt;/author&gt;&lt;author&gt;&lt;firstName&gt;Ryan&lt;/firstName&gt;&lt;middleNames&gt;M&lt;/middleNames&gt;&lt;lastName&gt;Walsh&lt;/lastName&gt;&lt;/author&gt;&lt;author&gt;&lt;firstName&gt;Benjamin&lt;/firstName&gt;&lt;middleNames&gt;A&lt;/middleNames&gt;&lt;lastName&gt;Schwarz&lt;/lastName&gt;&lt;/author&gt;&lt;author&gt;&lt;firstName&gt;Christian&lt;/firstName&gt;&lt;middleNames&gt;M&lt;/middleNames&gt;&lt;lastName&gt;Nefzger&lt;/lastName&gt;&lt;/author&gt;&lt;author&gt;&lt;firstName&gt;Sue&lt;/firstName&gt;&lt;middleNames&gt;Mei&lt;/middleNames&gt;&lt;lastName&gt;Lim&lt;/lastName&gt;&lt;/author&gt;&lt;author&gt;&lt;firstName&gt;Marti&lt;/firstName&gt;&lt;lastName&gt;Borkent&lt;/lastName&gt;&lt;/author&gt;&lt;author&gt;&lt;firstName&gt;Effie&lt;/firstName&gt;&lt;lastName&gt;Apostolou&lt;/lastName&gt;&lt;/author&gt;&lt;author&gt;&lt;firstName&gt;Sara&lt;/firstName&gt;&lt;lastName&gt;Alaei&lt;/lastName&gt;&lt;/author&gt;&lt;author&gt;&lt;firstName&gt;Jennifer&lt;/firstName&gt;&lt;lastName&gt;Cloutier&lt;/lastName&gt;&lt;/author&gt;&lt;author&gt;&lt;firstName&gt;Ori&lt;/firstName&gt;&lt;lastName&gt;Bar-Nur&lt;/lastName&gt;&lt;/author&gt;&lt;author&gt;&lt;firstName&gt;Sihem&lt;/firstName&gt;&lt;lastName&gt;Cheloufi&lt;/lastName&gt;&lt;/author&gt;&lt;author&gt;&lt;firstName&gt;Matthias&lt;/firstName&gt;&lt;lastName&gt;Stadtfeld&lt;/lastName&gt;&lt;/author&gt;&lt;author&gt;&lt;firstName&gt;Maria&lt;/firstName&gt;&lt;middleNames&gt;Eugenia&lt;/middleNames&gt;&lt;lastName&gt;Figueroa&lt;/lastName&gt;&lt;/author&gt;&lt;author&gt;&lt;firstName&gt;Daisy&lt;/firstName&gt;&lt;lastName&gt;Robinton&lt;/lastName&gt;&lt;/author&gt;&lt;author&gt;&lt;firstName&gt;Sridaran&lt;/firstName&gt;&lt;lastName&gt;Natesan&lt;/lastName&gt;&lt;/author&gt;&lt;author&gt;&lt;firstName&gt;Ari&lt;/firstName&gt;&lt;lastName&gt;Melnick&lt;/lastName&gt;&lt;/author&gt;&lt;author&gt;&lt;firstName&gt;Jinfang&lt;/firstName&gt;&lt;lastName&gt;Zhu&lt;/lastName&gt;&lt;/author&gt;&lt;author&gt;&lt;firstName&gt;Sridhar&lt;/firstName&gt;&lt;lastName&gt;Ramaswamy&lt;/lastName&gt;&lt;/author&gt;&lt;author&gt;&lt;firstName&gt;Konrad&lt;/firstName&gt;&lt;lastName&gt;Hochedlinger&lt;/lastName&gt;&lt;/author&gt;&lt;/authors&gt;&lt;/publication&gt;&lt;/publications&gt;&lt;cites&gt;&lt;/cites&gt;&lt;/citation&gt;</w:instrText>
      </w:r>
      <w:r w:rsidRPr="006541A5">
        <w:rPr>
          <w:rFonts w:ascii="Times New Roman" w:hAnsi="Times New Roman" w:cs="Times New Roman"/>
        </w:rPr>
        <w:fldChar w:fldCharType="separate"/>
      </w:r>
      <w:r w:rsidR="006541A5" w:rsidRPr="006541A5">
        <w:rPr>
          <w:rFonts w:ascii="Times New Roman" w:hAnsi="Times New Roman" w:cs="Times New Roman"/>
        </w:rPr>
        <w:t>[5]</w:t>
      </w:r>
      <w:r w:rsidRPr="006541A5">
        <w:rPr>
          <w:rFonts w:ascii="Times New Roman" w:hAnsi="Times New Roman" w:cs="Times New Roman"/>
        </w:rPr>
        <w:fldChar w:fldCharType="end"/>
      </w:r>
      <w:r w:rsidRPr="006541A5">
        <w:rPr>
          <w:rFonts w:ascii="Times New Roman" w:hAnsi="Times New Roman" w:cs="Times New Roman"/>
        </w:rPr>
        <w:t>. Raw</w:t>
      </w:r>
      <w:r w:rsidRPr="00121840">
        <w:rPr>
          <w:rFonts w:ascii="Times New Roman" w:hAnsi="Times New Roman" w:cs="Times New Roman"/>
        </w:rPr>
        <w:t xml:space="preserve"> data were downloaded from the GEO database (</w:t>
      </w:r>
      <w:hyperlink r:id="rId8" w:history="1">
        <w:r w:rsidRPr="00121840">
          <w:rPr>
            <w:rStyle w:val="Hyperlink"/>
            <w:rFonts w:ascii="Times New Roman" w:hAnsi="Times New Roman" w:cs="Times New Roman"/>
          </w:rPr>
          <w:t>http://www.ncbi.nlm.nih.gov/geo/</w:t>
        </w:r>
      </w:hyperlink>
      <w:r w:rsidRPr="00121840">
        <w:rPr>
          <w:rFonts w:ascii="Times New Roman" w:hAnsi="Times New Roman" w:cs="Times New Roman"/>
        </w:rPr>
        <w:t xml:space="preserve">, Accession GSE42475), and following Polo et al. </w:t>
      </w:r>
      <w:r w:rsidRPr="00121840">
        <w:rPr>
          <w:rFonts w:ascii="Times New Roman" w:hAnsi="Times New Roman" w:cs="Times New Roman"/>
        </w:rPr>
        <w:fldChar w:fldCharType="begin"/>
      </w:r>
      <w:r w:rsidR="00340477">
        <w:rPr>
          <w:rFonts w:ascii="Times New Roman" w:hAnsi="Times New Roman" w:cs="Times New Roman"/>
        </w:rPr>
        <w:instrText xml:space="preserve"> ADDIN PAPERS2_CITATIONS &lt;citation&gt;&lt;uuid&gt;E79BD95E-C0BE-45FF-AA03-6B068C2ACC84&lt;/uuid&gt;&lt;priority&gt;4&lt;/priority&gt;&lt;publications&gt;&lt;publication&gt;&lt;uuid&gt;61ED3E16-C8F7-4374-BEED-1F7FDB8D2D68&lt;/uuid&gt;&lt;volume&gt;151&lt;/volume&gt;&lt;accepted_date&gt;99201211201200000000222000&lt;/accepted_date&gt;&lt;doi&gt;10.1016/j.cell.2012.11.039&lt;/doi&gt;&lt;startpage&gt;1617&lt;/startpage&gt;&lt;revision_date&gt;99201210091200000000222000&lt;/revision_date&gt;&lt;publication_date&gt;99201212211200000000222000&lt;/publication_date&gt;&lt;url&gt;http://eutils.ncbi.nlm.nih.gov/entrez/eutils/elink.fcgi?dbfrom=pubmed&amp;amp;id=23260147&amp;amp;retmode=ref&amp;amp;cmd=prlinks&lt;/url&gt;&lt;type&gt;400&lt;/type&gt;&lt;title&gt;A molecular roadmap of reprogramming somatic cells into iPS cells.&lt;/title&gt;&lt;location&gt;200,8,42.3620163,-71.0659218&lt;/location&gt;&lt;submission_date&gt;99201205121200000000222000&lt;/submission_date&gt;&lt;number&gt;7&lt;/number&gt;&lt;institution&gt;Massachusetts General Hospital Cancer Center and Center for Regenerative Medicine, 185 Cambridge Street, Boston, MA 02114, USA.&lt;/institution&gt;&lt;subtype&gt;400&lt;/subtype&gt;&lt;endpage&gt;1632&lt;/endpage&gt;&lt;bundle&gt;&lt;publication&gt;&lt;publisher&gt;Elsevier Ltd&lt;/publisher&gt;&lt;url&gt;http://www.cell.com/&lt;/url&gt;&lt;title&gt;Cell&lt;/title&gt;&lt;type&gt;-100&lt;/type&gt;&lt;subtype&gt;-100&lt;/subtype&gt;&lt;uuid&gt;8CFA51D8-691D-4D35-9178-8A5217A71525&lt;/uuid&gt;&lt;/publication&gt;&lt;/bundle&gt;&lt;authors&gt;&lt;author&gt;&lt;firstName&gt;Jose&lt;/firstName&gt;&lt;middleNames&gt;M&lt;/middleNames&gt;&lt;lastName&gt;Polo&lt;/lastName&gt;&lt;/author&gt;&lt;author&gt;&lt;firstName&gt;Endre&lt;/firstName&gt;&lt;lastName&gt;Anderssen&lt;/lastName&gt;&lt;/author&gt;&lt;author&gt;&lt;firstName&gt;Ryan&lt;/firstName&gt;&lt;middleNames&gt;M&lt;/middleNames&gt;&lt;lastName&gt;Walsh&lt;/lastName&gt;&lt;/author&gt;&lt;author&gt;&lt;firstName&gt;Benjamin&lt;/firstName&gt;&lt;middleNames&gt;A&lt;/middleNames&gt;&lt;lastName&gt;Schwarz&lt;/lastName&gt;&lt;/author&gt;&lt;author&gt;&lt;firstName&gt;Christian&lt;/firstName&gt;&lt;middleNames&gt;M&lt;/middleNames&gt;&lt;lastName&gt;Nefzger&lt;/lastName&gt;&lt;/author&gt;&lt;author&gt;&lt;firstName&gt;Sue&lt;/firstName&gt;&lt;middleNames&gt;Mei&lt;/middleNames&gt;&lt;lastName&gt;Lim&lt;/lastName&gt;&lt;/author&gt;&lt;author&gt;&lt;firstName&gt;Marti&lt;/firstName&gt;&lt;lastName&gt;Borkent&lt;/lastName&gt;&lt;/author&gt;&lt;author&gt;&lt;firstName&gt;Effie&lt;/firstName&gt;&lt;lastName&gt;Apostolou&lt;/lastName&gt;&lt;/author&gt;&lt;author&gt;&lt;firstName&gt;Sara&lt;/firstName&gt;&lt;lastName&gt;Alaei&lt;/lastName&gt;&lt;/author&gt;&lt;author&gt;&lt;firstName&gt;Jennifer&lt;/firstName&gt;&lt;lastName&gt;Cloutier&lt;/lastName&gt;&lt;/author&gt;&lt;author&gt;&lt;firstName&gt;Ori&lt;/firstName&gt;&lt;lastName&gt;Bar-Nur&lt;/lastName&gt;&lt;/author&gt;&lt;author&gt;&lt;firstName&gt;Sihem&lt;/firstName&gt;&lt;lastName&gt;Cheloufi&lt;/lastName&gt;&lt;/author&gt;&lt;author&gt;&lt;firstName&gt;Matthias&lt;/firstName&gt;&lt;lastName&gt;Stadtfeld&lt;/lastName&gt;&lt;/author&gt;&lt;author&gt;&lt;firstName&gt;Maria&lt;/firstName&gt;&lt;middleNames&gt;Eugenia&lt;/middleNames&gt;&lt;lastName&gt;Figueroa&lt;/lastName&gt;&lt;/author&gt;&lt;author&gt;&lt;firstName&gt;Daisy&lt;/firstName&gt;&lt;lastName&gt;Robinton&lt;/lastName&gt;&lt;/author&gt;&lt;author&gt;&lt;firstName&gt;Sridaran&lt;/firstName&gt;&lt;lastName&gt;Natesan&lt;/lastName&gt;&lt;/author&gt;&lt;author&gt;&lt;firstName&gt;Ari&lt;/firstName&gt;&lt;lastName&gt;Melnick&lt;/lastName&gt;&lt;/author&gt;&lt;author&gt;&lt;firstName&gt;Jinfang&lt;/firstName&gt;&lt;lastName&gt;Zhu&lt;/lastName&gt;&lt;/author&gt;&lt;author&gt;&lt;firstName&gt;Sridhar&lt;/firstName&gt;&lt;lastName&gt;Ramaswamy&lt;/lastName&gt;&lt;/author&gt;&lt;author&gt;&lt;firstName&gt;Konrad&lt;/firstName&gt;&lt;lastName&gt;Hochedlinger&lt;/lastName&gt;&lt;/author&gt;&lt;/authors&gt;&lt;/publication&gt;&lt;/publications&gt;&lt;cites&gt;&lt;cite&gt;&lt;suppress&gt;A&lt;/suppress&gt;&lt;/cite&gt;&lt;/cites&gt;&lt;/citation&gt;</w:instrText>
      </w:r>
      <w:r w:rsidRPr="00121840">
        <w:rPr>
          <w:rFonts w:ascii="Times New Roman" w:hAnsi="Times New Roman" w:cs="Times New Roman"/>
        </w:rPr>
        <w:fldChar w:fldCharType="separate"/>
      </w:r>
      <w:r w:rsidR="006541A5">
        <w:rPr>
          <w:rFonts w:ascii="Times New Roman" w:hAnsi="Times New Roman" w:cs="Times New Roman"/>
        </w:rPr>
        <w:t>[5]</w:t>
      </w:r>
      <w:r w:rsidRPr="00121840">
        <w:rPr>
          <w:rFonts w:ascii="Times New Roman" w:hAnsi="Times New Roman" w:cs="Times New Roman"/>
        </w:rPr>
        <w:fldChar w:fldCharType="end"/>
      </w:r>
      <w:r w:rsidRPr="00121840">
        <w:rPr>
          <w:rFonts w:ascii="Times New Roman" w:hAnsi="Times New Roman" w:cs="Times New Roman"/>
        </w:rPr>
        <w:t>, data were loess normalized, probes with more than 3 missing values across samples were excluded, remaining missing values were imputed, and samples were quantile normalized across arrays. We examined the log</w:t>
      </w:r>
      <w:r w:rsidRPr="00121840">
        <w:rPr>
          <w:rFonts w:ascii="Times New Roman" w:hAnsi="Times New Roman" w:cs="Times New Roman"/>
          <w:vertAlign w:val="subscript"/>
        </w:rPr>
        <w:t>2</w:t>
      </w:r>
      <w:r w:rsidRPr="00121840">
        <w:rPr>
          <w:rFonts w:ascii="Times New Roman" w:hAnsi="Times New Roman" w:cs="Times New Roman"/>
        </w:rPr>
        <w:t xml:space="preserve"> fold change (log</w:t>
      </w:r>
      <w:r w:rsidRPr="00121840">
        <w:rPr>
          <w:rFonts w:ascii="Times New Roman" w:hAnsi="Times New Roman" w:cs="Times New Roman"/>
          <w:vertAlign w:val="subscript"/>
        </w:rPr>
        <w:t xml:space="preserve">2 </w:t>
      </w:r>
      <w:r w:rsidRPr="00121840">
        <w:rPr>
          <w:rFonts w:ascii="Times New Roman" w:hAnsi="Times New Roman" w:cs="Times New Roman"/>
        </w:rPr>
        <w:t xml:space="preserve">FC) between the first two stages sampled by Polo et al. </w:t>
      </w:r>
      <w:r w:rsidRPr="00121840">
        <w:rPr>
          <w:rFonts w:ascii="Times New Roman" w:hAnsi="Times New Roman" w:cs="Times New Roman"/>
        </w:rPr>
        <w:fldChar w:fldCharType="begin"/>
      </w:r>
      <w:r w:rsidR="00340477">
        <w:rPr>
          <w:rFonts w:ascii="Times New Roman" w:hAnsi="Times New Roman" w:cs="Times New Roman"/>
        </w:rPr>
        <w:instrText xml:space="preserve"> ADDIN PAPERS2_CITATIONS &lt;citation&gt;&lt;uuid&gt;01DF25B4-5C5D-436E-B585-67146E8111B6&lt;/uuid&gt;&lt;priority&gt;5&lt;/priority&gt;&lt;publications&gt;&lt;publication&gt;&lt;uuid&gt;61ED3E16-C8F7-4374-BEED-1F7FDB8D2D68&lt;/uuid&gt;&lt;volume&gt;151&lt;/volume&gt;&lt;accepted_date&gt;99201211201200000000222000&lt;/accepted_date&gt;&lt;doi&gt;10.1016/j.cell.2012.11.039&lt;/doi&gt;&lt;startpage&gt;1617&lt;/startpage&gt;&lt;revision_date&gt;99201210091200000000222000&lt;/revision_date&gt;&lt;publication_date&gt;99201212211200000000222000&lt;/publication_date&gt;&lt;url&gt;http://eutils.ncbi.nlm.nih.gov/entrez/eutils/elink.fcgi?dbfrom=pubmed&amp;amp;id=23260147&amp;amp;retmode=ref&amp;amp;cmd=prlinks&lt;/url&gt;&lt;type&gt;400&lt;/type&gt;&lt;title&gt;A molecular roadmap of reprogramming somatic cells into iPS cells.&lt;/title&gt;&lt;location&gt;200,8,42.3620163,-71.0659218&lt;/location&gt;&lt;submission_date&gt;99201205121200000000222000&lt;/submission_date&gt;&lt;number&gt;7&lt;/number&gt;&lt;institution&gt;Massachusetts General Hospital Cancer Center and Center for Regenerative Medicine, 185 Cambridge Street, Boston, MA 02114, USA.&lt;/institution&gt;&lt;subtype&gt;400&lt;/subtype&gt;&lt;endpage&gt;1632&lt;/endpage&gt;&lt;bundle&gt;&lt;publication&gt;&lt;publisher&gt;Elsevier Ltd&lt;/publisher&gt;&lt;url&gt;http://www.cell.com/&lt;/url&gt;&lt;title&gt;Cell&lt;/title&gt;&lt;type&gt;-100&lt;/type&gt;&lt;subtype&gt;-100&lt;/subtype&gt;&lt;uuid&gt;8CFA51D8-691D-4D35-9178-8A5217A71525&lt;/uuid&gt;&lt;/publication&gt;&lt;/bundle&gt;&lt;authors&gt;&lt;author&gt;&lt;firstName&gt;Jose&lt;/firstName&gt;&lt;middleNames&gt;M&lt;/middleNames&gt;&lt;lastName&gt;Polo&lt;/lastName&gt;&lt;/author&gt;&lt;author&gt;&lt;firstName&gt;Endre&lt;/firstName&gt;&lt;lastName&gt;Anderssen&lt;/lastName&gt;&lt;/author&gt;&lt;author&gt;&lt;firstName&gt;Ryan&lt;/firstName&gt;&lt;middleNames&gt;M&lt;/middleNames&gt;&lt;lastName&gt;Walsh&lt;/lastName&gt;&lt;/author&gt;&lt;author&gt;&lt;firstName&gt;Benjamin&lt;/firstName&gt;&lt;middleNames&gt;A&lt;/middleNames&gt;&lt;lastName&gt;Schwarz&lt;/lastName&gt;&lt;/author&gt;&lt;author&gt;&lt;firstName&gt;Christian&lt;/firstName&gt;&lt;middleNames&gt;M&lt;/middleNames&gt;&lt;lastName&gt;Nefzger&lt;/lastName&gt;&lt;/author&gt;&lt;author&gt;&lt;firstName&gt;Sue&lt;/firstName&gt;&lt;middleNames&gt;Mei&lt;/middleNames&gt;&lt;lastName&gt;Lim&lt;/lastName&gt;&lt;/author&gt;&lt;author&gt;&lt;firstName&gt;Marti&lt;/firstName&gt;&lt;lastName&gt;Borkent&lt;/lastName&gt;&lt;/author&gt;&lt;author&gt;&lt;firstName&gt;Effie&lt;/firstName&gt;&lt;lastName&gt;Apostolou&lt;/lastName&gt;&lt;/author&gt;&lt;author&gt;&lt;firstName&gt;Sara&lt;/firstName&gt;&lt;lastName&gt;Alaei&lt;/lastName&gt;&lt;/author&gt;&lt;author&gt;&lt;firstName&gt;Jennifer&lt;/firstName&gt;&lt;lastName&gt;Cloutier&lt;/lastName&gt;&lt;/author&gt;&lt;author&gt;&lt;firstName&gt;Ori&lt;/firstName&gt;&lt;lastName&gt;Bar-Nur&lt;/lastName&gt;&lt;/author&gt;&lt;author&gt;&lt;firstName&gt;Sihem&lt;/firstName&gt;&lt;lastName&gt;Cheloufi&lt;/lastName&gt;&lt;/author&gt;&lt;author&gt;&lt;firstName&gt;Matthias&lt;/firstName&gt;&lt;lastName&gt;Stadtfeld&lt;/lastName&gt;&lt;/author&gt;&lt;author&gt;&lt;firstName&gt;Maria&lt;/firstName&gt;&lt;middleNames&gt;Eugenia&lt;/middleNames&gt;&lt;lastName&gt;Figueroa&lt;/lastName&gt;&lt;/author&gt;&lt;author&gt;&lt;firstName&gt;Daisy&lt;/firstName&gt;&lt;lastName&gt;Robinton&lt;/lastName&gt;&lt;/author&gt;&lt;author&gt;&lt;firstName&gt;Sridaran&lt;/firstName&gt;&lt;lastName&gt;Natesan&lt;/lastName&gt;&lt;/author&gt;&lt;author&gt;&lt;firstName&gt;Ari&lt;/firstName&gt;&lt;lastName&gt;Melnick&lt;/lastName&gt;&lt;/author&gt;&lt;author&gt;&lt;firstName&gt;Jinfang&lt;/firstName&gt;&lt;lastName&gt;Zhu&lt;/lastName&gt;&lt;/author&gt;&lt;author&gt;&lt;firstName&gt;Sridhar&lt;/firstName&gt;&lt;lastName&gt;Ramaswamy&lt;/lastName&gt;&lt;/author&gt;&lt;author&gt;&lt;firstName&gt;Konrad&lt;/firstName&gt;&lt;lastName&gt;Hochedlinger&lt;/lastName&gt;&lt;/author&gt;&lt;/authors&gt;&lt;/publication&gt;&lt;/publications&gt;&lt;cites&gt;&lt;cite&gt;&lt;suppress&gt;A&lt;/suppress&gt;&lt;/cite&gt;&lt;/cites&gt;&lt;/citation&gt;</w:instrText>
      </w:r>
      <w:r w:rsidRPr="00121840">
        <w:rPr>
          <w:rFonts w:ascii="Times New Roman" w:hAnsi="Times New Roman" w:cs="Times New Roman"/>
        </w:rPr>
        <w:fldChar w:fldCharType="separate"/>
      </w:r>
      <w:r w:rsidR="006541A5">
        <w:rPr>
          <w:rFonts w:ascii="Times New Roman" w:hAnsi="Times New Roman" w:cs="Times New Roman"/>
        </w:rPr>
        <w:t>[5]</w:t>
      </w:r>
      <w:r w:rsidRPr="00121840">
        <w:rPr>
          <w:rFonts w:ascii="Times New Roman" w:hAnsi="Times New Roman" w:cs="Times New Roman"/>
        </w:rPr>
        <w:fldChar w:fldCharType="end"/>
      </w:r>
      <w:r w:rsidRPr="00121840">
        <w:rPr>
          <w:rFonts w:ascii="Times New Roman" w:hAnsi="Times New Roman" w:cs="Times New Roman"/>
        </w:rPr>
        <w:t xml:space="preserve">, MEF and SSEA1+/Thy1–. Although this does not correspond to our MEF to Thy1– comparison, Polo et al. </w:t>
      </w:r>
      <w:r w:rsidRPr="00121840">
        <w:rPr>
          <w:rFonts w:ascii="Times New Roman" w:hAnsi="Times New Roman" w:cs="Times New Roman"/>
        </w:rPr>
        <w:fldChar w:fldCharType="begin"/>
      </w:r>
      <w:r w:rsidR="00340477">
        <w:rPr>
          <w:rFonts w:ascii="Times New Roman" w:hAnsi="Times New Roman" w:cs="Times New Roman"/>
        </w:rPr>
        <w:instrText xml:space="preserve"> ADDIN PAPERS2_CITATIONS &lt;citation&gt;&lt;uuid&gt;B30EF660-67C0-46F6-A1EE-0A8932E3FE42&lt;/uuid&gt;&lt;priority&gt;6&lt;/priority&gt;&lt;publications&gt;&lt;publication&gt;&lt;uuid&gt;61ED3E16-C8F7-4374-BEED-1F7FDB8D2D68&lt;/uuid&gt;&lt;volume&gt;151&lt;/volume&gt;&lt;accepted_date&gt;99201211201200000000222000&lt;/accepted_date&gt;&lt;doi&gt;10.1016/j.cell.2012.11.039&lt;/doi&gt;&lt;startpage&gt;1617&lt;/startpage&gt;&lt;revision_date&gt;99201210091200000000222000&lt;/revision_date&gt;&lt;publication_date&gt;99201212211200000000222000&lt;/publication_date&gt;&lt;url&gt;http://eutils.ncbi.nlm.nih.gov/entrez/eutils/elink.fcgi?dbfrom=pubmed&amp;amp;id=23260147&amp;amp;retmode=ref&amp;amp;cmd=prlinks&lt;/url&gt;&lt;type&gt;400&lt;/type&gt;&lt;title&gt;A molecular roadmap of reprogramming somatic cells into iPS cells.&lt;/title&gt;&lt;location&gt;200,8,42.3620163,-71.0659218&lt;/location&gt;&lt;submission_date&gt;99201205121200000000222000&lt;/submission_date&gt;&lt;number&gt;7&lt;/number&gt;&lt;institution&gt;Massachusetts General Hospital Cancer Center and Center for Regenerative Medicine, 185 Cambridge Street, Boston, MA 02114, USA.&lt;/institution&gt;&lt;subtype&gt;400&lt;/subtype&gt;&lt;endpage&gt;1632&lt;/endpage&gt;&lt;bundle&gt;&lt;publication&gt;&lt;publisher&gt;Elsevier Ltd&lt;/publisher&gt;&lt;url&gt;http://www.cell.com/&lt;/url&gt;&lt;title&gt;Cell&lt;/title&gt;&lt;type&gt;-100&lt;/type&gt;&lt;subtype&gt;-100&lt;/subtype&gt;&lt;uuid&gt;8CFA51D8-691D-4D35-9178-8A5217A71525&lt;/uuid&gt;&lt;/publication&gt;&lt;/bundle&gt;&lt;authors&gt;&lt;author&gt;&lt;firstName&gt;Jose&lt;/firstName&gt;&lt;middleNames&gt;M&lt;/middleNames&gt;&lt;lastName&gt;Polo&lt;/lastName&gt;&lt;/author&gt;&lt;author&gt;&lt;firstName&gt;Endre&lt;/firstName&gt;&lt;lastName&gt;Anderssen&lt;/lastName&gt;&lt;/author&gt;&lt;author&gt;&lt;firstName&gt;Ryan&lt;/firstName&gt;&lt;middleNames&gt;M&lt;/middleNames&gt;&lt;lastName&gt;Walsh&lt;/lastName&gt;&lt;/author&gt;&lt;author&gt;&lt;firstName&gt;Benjamin&lt;/firstName&gt;&lt;middleNames&gt;A&lt;/middleNames&gt;&lt;lastName&gt;Schwarz&lt;/lastName&gt;&lt;/author&gt;&lt;author&gt;&lt;firstName&gt;Christian&lt;/firstName&gt;&lt;middleNames&gt;M&lt;/middleNames&gt;&lt;lastName&gt;Nefzger&lt;/lastName&gt;&lt;/author&gt;&lt;author&gt;&lt;firstName&gt;Sue&lt;/firstName&gt;&lt;middleNames&gt;Mei&lt;/middleNames&gt;&lt;lastName&gt;Lim&lt;/lastName&gt;&lt;/author&gt;&lt;author&gt;&lt;firstName&gt;Marti&lt;/firstName&gt;&lt;lastName&gt;Borkent&lt;/lastName&gt;&lt;/author&gt;&lt;author&gt;&lt;firstName&gt;Effie&lt;/firstName&gt;&lt;lastName&gt;Apostolou&lt;/lastName&gt;&lt;/author&gt;&lt;author&gt;&lt;firstName&gt;Sara&lt;/firstName&gt;&lt;lastName&gt;Alaei&lt;/lastName&gt;&lt;/author&gt;&lt;author&gt;&lt;firstName&gt;Jennifer&lt;/firstName&gt;&lt;lastName&gt;Cloutier&lt;/lastName&gt;&lt;/author&gt;&lt;author&gt;&lt;firstName&gt;Ori&lt;/firstName&gt;&lt;lastName&gt;Bar-Nur&lt;/lastName&gt;&lt;/author&gt;&lt;author&gt;&lt;firstName&gt;Sihem&lt;/firstName&gt;&lt;lastName&gt;Cheloufi&lt;/lastName&gt;&lt;/author&gt;&lt;author&gt;&lt;firstName&gt;Matthias&lt;/firstName&gt;&lt;lastName&gt;Stadtfeld&lt;/lastName&gt;&lt;/author&gt;&lt;author&gt;&lt;firstName&gt;Maria&lt;/firstName&gt;&lt;middleNames&gt;Eugenia&lt;/middleNames&gt;&lt;lastName&gt;Figueroa&lt;/lastName&gt;&lt;/author&gt;&lt;author&gt;&lt;firstName&gt;Daisy&lt;/firstName&gt;&lt;lastName&gt;Robinton&lt;/lastName&gt;&lt;/author&gt;&lt;author&gt;&lt;firstName&gt;Sridaran&lt;/firstName&gt;&lt;lastName&gt;Natesan&lt;/lastName&gt;&lt;/author&gt;&lt;author&gt;&lt;firstName&gt;Ari&lt;/firstName&gt;&lt;lastName&gt;Melnick&lt;/lastName&gt;&lt;/author&gt;&lt;author&gt;&lt;firstName&gt;Jinfang&lt;/firstName&gt;&lt;lastName&gt;Zhu&lt;/lastName&gt;&lt;/author&gt;&lt;author&gt;&lt;firstName&gt;Sridhar&lt;/firstName&gt;&lt;lastName&gt;Ramaswamy&lt;/lastName&gt;&lt;/author&gt;&lt;author&gt;&lt;firstName&gt;Konrad&lt;/firstName&gt;&lt;lastName&gt;Hochedlinger&lt;/lastName&gt;&lt;/author&gt;&lt;/authors&gt;&lt;/publication&gt;&lt;/publications&gt;&lt;cites&gt;&lt;cite&gt;&lt;suppress&gt;A&lt;/suppress&gt;&lt;/cite&gt;&lt;/cites&gt;&lt;/citation&gt;</w:instrText>
      </w:r>
      <w:r w:rsidRPr="00121840">
        <w:rPr>
          <w:rFonts w:ascii="Times New Roman" w:hAnsi="Times New Roman" w:cs="Times New Roman"/>
        </w:rPr>
        <w:fldChar w:fldCharType="separate"/>
      </w:r>
      <w:r w:rsidR="006541A5">
        <w:rPr>
          <w:rFonts w:ascii="Times New Roman" w:hAnsi="Times New Roman" w:cs="Times New Roman"/>
        </w:rPr>
        <w:t>[5]</w:t>
      </w:r>
      <w:r w:rsidRPr="00121840">
        <w:rPr>
          <w:rFonts w:ascii="Times New Roman" w:hAnsi="Times New Roman" w:cs="Times New Roman"/>
        </w:rPr>
        <w:fldChar w:fldCharType="end"/>
      </w:r>
      <w:r w:rsidRPr="00121840">
        <w:rPr>
          <w:rFonts w:ascii="Times New Roman" w:hAnsi="Times New Roman" w:cs="Times New Roman"/>
        </w:rPr>
        <w:t xml:space="preserve"> did not sample a Thy1– timepoint between the MEF and SSEA1+ stages, and 62 of the 85 Dlk1-Dio3 miRNAs in our dataset were significantly downregulated between MEF and SSEA1+ samples (58 of these were among the 66 downregulated at the MEF to Thy1– transition). Since the Polo et al. </w:t>
      </w:r>
      <w:r w:rsidRPr="00121840">
        <w:rPr>
          <w:rFonts w:ascii="Times New Roman" w:hAnsi="Times New Roman" w:cs="Times New Roman"/>
        </w:rPr>
        <w:fldChar w:fldCharType="begin"/>
      </w:r>
      <w:r w:rsidR="00340477">
        <w:rPr>
          <w:rFonts w:ascii="Times New Roman" w:hAnsi="Times New Roman" w:cs="Times New Roman"/>
        </w:rPr>
        <w:instrText xml:space="preserve"> ADDIN PAPERS2_CITATIONS &lt;citation&gt;&lt;uuid&gt;844401FE-F7B7-47C4-92C2-18660349CC51&lt;/uuid&gt;&lt;priority&gt;7&lt;/priority&gt;&lt;publications&gt;&lt;publication&gt;&lt;uuid&gt;61ED3E16-C8F7-4374-BEED-1F7FDB8D2D68&lt;/uuid&gt;&lt;volume&gt;151&lt;/volume&gt;&lt;accepted_date&gt;99201211201200000000222000&lt;/accepted_date&gt;&lt;doi&gt;10.1016/j.cell.2012.11.039&lt;/doi&gt;&lt;startpage&gt;1617&lt;/startpage&gt;&lt;revision_date&gt;99201210091200000000222000&lt;/revision_date&gt;&lt;publication_date&gt;99201212211200000000222000&lt;/publication_date&gt;&lt;url&gt;http://eutils.ncbi.nlm.nih.gov/entrez/eutils/elink.fcgi?dbfrom=pubmed&amp;amp;id=23260147&amp;amp;retmode=ref&amp;amp;cmd=prlinks&lt;/url&gt;&lt;type&gt;400&lt;/type&gt;&lt;title&gt;A molecular roadmap of reprogramming somatic cells into iPS cells.&lt;/title&gt;&lt;location&gt;200,8,42.3620163,-71.0659218&lt;/location&gt;&lt;submission_date&gt;99201205121200000000222000&lt;/submission_date&gt;&lt;number&gt;7&lt;/number&gt;&lt;institution&gt;Massachusetts General Hospital Cancer Center and Center for Regenerative Medicine, 185 Cambridge Street, Boston, MA 02114, USA.&lt;/institution&gt;&lt;subtype&gt;400&lt;/subtype&gt;&lt;endpage&gt;1632&lt;/endpage&gt;&lt;bundle&gt;&lt;publication&gt;&lt;publisher&gt;Elsevier Ltd&lt;/publisher&gt;&lt;url&gt;http://www.cell.com/&lt;/url&gt;&lt;title&gt;Cell&lt;/title&gt;&lt;type&gt;-100&lt;/type&gt;&lt;subtype&gt;-100&lt;/subtype&gt;&lt;uuid&gt;8CFA51D8-691D-4D35-9178-8A5217A71525&lt;/uuid&gt;&lt;/publication&gt;&lt;/bundle&gt;&lt;authors&gt;&lt;author&gt;&lt;firstName&gt;Jose&lt;/firstName&gt;&lt;middleNames&gt;M&lt;/middleNames&gt;&lt;lastName&gt;Polo&lt;/lastName&gt;&lt;/author&gt;&lt;author&gt;&lt;firstName&gt;Endre&lt;/firstName&gt;&lt;lastName&gt;Anderssen&lt;/lastName&gt;&lt;/author&gt;&lt;author&gt;&lt;firstName&gt;Ryan&lt;/firstName&gt;&lt;middleNames&gt;M&lt;/middleNames&gt;&lt;lastName&gt;Walsh&lt;/lastName&gt;&lt;/author&gt;&lt;author&gt;&lt;firstName&gt;Benjamin&lt;/firstName&gt;&lt;middleNames&gt;A&lt;/middleNames&gt;&lt;lastName&gt;Schwarz&lt;/lastName&gt;&lt;/author&gt;&lt;author&gt;&lt;firstName&gt;Christian&lt;/firstName&gt;&lt;middleNames&gt;M&lt;/middleNames&gt;&lt;lastName&gt;Nefzger&lt;/lastName&gt;&lt;/author&gt;&lt;author&gt;&lt;firstName&gt;Sue&lt;/firstName&gt;&lt;middleNames&gt;Mei&lt;/middleNames&gt;&lt;lastName&gt;Lim&lt;/lastName&gt;&lt;/author&gt;&lt;author&gt;&lt;firstName&gt;Marti&lt;/firstName&gt;&lt;lastName&gt;Borkent&lt;/lastName&gt;&lt;/author&gt;&lt;author&gt;&lt;firstName&gt;Effie&lt;/firstName&gt;&lt;lastName&gt;Apostolou&lt;/lastName&gt;&lt;/author&gt;&lt;author&gt;&lt;firstName&gt;Sara&lt;/firstName&gt;&lt;lastName&gt;Alaei&lt;/lastName&gt;&lt;/author&gt;&lt;author&gt;&lt;firstName&gt;Jennifer&lt;/firstName&gt;&lt;lastName&gt;Cloutier&lt;/lastName&gt;&lt;/author&gt;&lt;author&gt;&lt;firstName&gt;Ori&lt;/firstName&gt;&lt;lastName&gt;Bar-Nur&lt;/lastName&gt;&lt;/author&gt;&lt;author&gt;&lt;firstName&gt;Sihem&lt;/firstName&gt;&lt;lastName&gt;Cheloufi&lt;/lastName&gt;&lt;/author&gt;&lt;author&gt;&lt;firstName&gt;Matthias&lt;/firstName&gt;&lt;lastName&gt;Stadtfeld&lt;/lastName&gt;&lt;/author&gt;&lt;author&gt;&lt;firstName&gt;Maria&lt;/firstName&gt;&lt;middleNames&gt;Eugenia&lt;/middleNames&gt;&lt;lastName&gt;Figueroa&lt;/lastName&gt;&lt;/author&gt;&lt;author&gt;&lt;firstName&gt;Daisy&lt;/firstName&gt;&lt;lastName&gt;Robinton&lt;/lastName&gt;&lt;/author&gt;&lt;author&gt;&lt;firstName&gt;Sridaran&lt;/firstName&gt;&lt;lastName&gt;Natesan&lt;/lastName&gt;&lt;/author&gt;&lt;author&gt;&lt;firstName&gt;Ari&lt;/firstName&gt;&lt;lastName&gt;Melnick&lt;/lastName&gt;&lt;/author&gt;&lt;author&gt;&lt;firstName&gt;Jinfang&lt;/firstName&gt;&lt;lastName&gt;Zhu&lt;/lastName&gt;&lt;/author&gt;&lt;author&gt;&lt;firstName&gt;Sridhar&lt;/firstName&gt;&lt;lastName&gt;Ramaswamy&lt;/lastName&gt;&lt;/author&gt;&lt;author&gt;&lt;firstName&gt;Konrad&lt;/firstName&gt;&lt;lastName&gt;Hochedlinger&lt;/lastName&gt;&lt;/author&gt;&lt;/authors&gt;&lt;/publication&gt;&lt;/publications&gt;&lt;cites&gt;&lt;cite&gt;&lt;suppress&gt;A&lt;/suppress&gt;&lt;/cite&gt;&lt;/cites&gt;&lt;/citation&gt;</w:instrText>
      </w:r>
      <w:r w:rsidRPr="00121840">
        <w:rPr>
          <w:rFonts w:ascii="Times New Roman" w:hAnsi="Times New Roman" w:cs="Times New Roman"/>
        </w:rPr>
        <w:fldChar w:fldCharType="separate"/>
      </w:r>
      <w:r w:rsidR="006541A5">
        <w:rPr>
          <w:rFonts w:ascii="Times New Roman" w:hAnsi="Times New Roman" w:cs="Times New Roman"/>
        </w:rPr>
        <w:t>[5]</w:t>
      </w:r>
      <w:r w:rsidRPr="00121840">
        <w:rPr>
          <w:rFonts w:ascii="Times New Roman" w:hAnsi="Times New Roman" w:cs="Times New Roman"/>
        </w:rPr>
        <w:fldChar w:fldCharType="end"/>
      </w:r>
      <w:r w:rsidRPr="00121840">
        <w:rPr>
          <w:rFonts w:ascii="Times New Roman" w:hAnsi="Times New Roman" w:cs="Times New Roman"/>
        </w:rPr>
        <w:t xml:space="preserve"> consisted of only a single replicate, we did not attempt statistics, simply looked at the log</w:t>
      </w:r>
      <w:r w:rsidRPr="00121840">
        <w:rPr>
          <w:rFonts w:ascii="Times New Roman" w:hAnsi="Times New Roman" w:cs="Times New Roman"/>
          <w:vertAlign w:val="subscript"/>
        </w:rPr>
        <w:t>2</w:t>
      </w:r>
      <w:r w:rsidRPr="00121840">
        <w:rPr>
          <w:rFonts w:ascii="Times New Roman" w:hAnsi="Times New Roman" w:cs="Times New Roman"/>
        </w:rPr>
        <w:t xml:space="preserve">FC of between the samples of Dlk1-Dio3 miRNAs compared to all miRNAs. </w:t>
      </w:r>
    </w:p>
    <w:p w14:paraId="3352B751" w14:textId="77777777" w:rsidR="00E363E2" w:rsidRDefault="00E363E2" w:rsidP="00E363E2">
      <w:pPr>
        <w:spacing w:line="480" w:lineRule="auto"/>
        <w:rPr>
          <w:rFonts w:ascii="Times" w:hAnsi="Times"/>
        </w:rPr>
      </w:pPr>
    </w:p>
    <w:p w14:paraId="074F805C" w14:textId="77777777" w:rsidR="00E363E2" w:rsidRPr="00121840" w:rsidRDefault="00E363E2" w:rsidP="00E363E2">
      <w:pPr>
        <w:spacing w:line="480" w:lineRule="auto"/>
        <w:rPr>
          <w:rFonts w:ascii="Arial" w:hAnsi="Arial" w:cs="Arial"/>
          <w:b/>
        </w:rPr>
      </w:pPr>
      <w:r w:rsidRPr="00121840">
        <w:rPr>
          <w:rFonts w:ascii="Arial" w:hAnsi="Arial" w:cs="Arial"/>
          <w:b/>
        </w:rPr>
        <w:t>Isomir analysis</w:t>
      </w:r>
    </w:p>
    <w:p w14:paraId="0FFC0C69" w14:textId="3381BE02" w:rsidR="00E363E2" w:rsidRPr="00121840" w:rsidRDefault="00E363E2" w:rsidP="00E363E2">
      <w:pPr>
        <w:spacing w:line="480" w:lineRule="auto"/>
        <w:rPr>
          <w:rFonts w:ascii="Times New Roman" w:hAnsi="Times New Roman" w:cs="Times New Roman"/>
        </w:rPr>
      </w:pPr>
      <w:r w:rsidRPr="00121840">
        <w:rPr>
          <w:rFonts w:ascii="Times New Roman" w:hAnsi="Times New Roman" w:cs="Times New Roman"/>
        </w:rPr>
        <w:t xml:space="preserve">By deep-sequencing, variation in the exact start and end sites of mature miRNAs can be detected </w:t>
      </w:r>
      <w:r w:rsidRPr="00121840">
        <w:rPr>
          <w:rFonts w:ascii="Times New Roman" w:hAnsi="Times New Roman" w:cs="Times New Roman"/>
        </w:rPr>
        <w:fldChar w:fldCharType="begin"/>
      </w:r>
      <w:r w:rsidR="006541A5">
        <w:rPr>
          <w:rFonts w:ascii="Times New Roman" w:hAnsi="Times New Roman" w:cs="Times New Roman"/>
        </w:rPr>
        <w:instrText xml:space="preserve"> ADDIN PAPERS2_CITATIONS &lt;citation&gt;&lt;uuid&gt;7E785CBE-A3F3-4AE7-B59C-D230010762B7&lt;/uuid&gt;&lt;priority&gt;8&lt;/priority&gt;&lt;publications&gt;&lt;publication&gt;&lt;volume&gt;18&lt;/volume&gt;&lt;publication_date&gt;99200803171200000000222000&lt;/publication_date&gt;&lt;number&gt;4&lt;/number&gt;&lt;doi&gt;10.1101/gr.7179508&lt;/doi&gt;&lt;startpage&gt;610&lt;/startpage&gt;&lt;title&gt;Application of massively parallel sequencing to microRNA profiling and discovery in human embryonic stem cells&lt;/title&gt;&lt;uuid&gt;EE1168E4-F4B8-4B6D-80F4-B33149DD65FA&lt;/uuid&gt;&lt;subtype&gt;400&lt;/subtype&gt;&lt;endpage&gt;621&lt;/endpage&gt;&lt;type&gt;400&lt;/type&gt;&lt;url&gt;http://www.genome.org/cgi/doi/10.1101/gr.7179508&lt;/url&gt;&lt;bundle&gt;&lt;publication&gt;&lt;title&gt;Genome Research&lt;/title&gt;&lt;type&gt;-100&lt;/type&gt;&lt;subtype&gt;-100&lt;/subtype&gt;&lt;uuid&gt;8931CE8C-D74F-4594-A1BB-F22EE520DFBB&lt;/uuid&gt;&lt;/publication&gt;&lt;/bundle&gt;&lt;authors&gt;&lt;author&gt;&lt;firstName&gt;R&lt;/firstName&gt;&lt;middleNames&gt;D&lt;/middleNames&gt;&lt;lastName&gt;Morin&lt;/lastName&gt;&lt;/author&gt;&lt;author&gt;&lt;firstName&gt;M&lt;/firstName&gt;&lt;middleNames&gt;D&lt;/middleNames&gt;&lt;lastName&gt;O'Connor&lt;/lastName&gt;&lt;/author&gt;&lt;author&gt;&lt;firstName&gt;M&lt;/firstName&gt;&lt;lastName&gt;Griffith&lt;/lastName&gt;&lt;/author&gt;&lt;author&gt;&lt;firstName&gt;F&lt;/firstName&gt;&lt;lastName&gt;Kuchenbauer&lt;/lastName&gt;&lt;/author&gt;&lt;author&gt;&lt;firstName&gt;A&lt;/firstName&gt;&lt;lastName&gt;Delaney&lt;/lastName&gt;&lt;/author&gt;&lt;author&gt;&lt;firstName&gt;A&lt;/firstName&gt;&lt;middleNames&gt;L&lt;/middleNames&gt;&lt;lastName&gt;Prabhu&lt;/lastName&gt;&lt;/author&gt;&lt;author&gt;&lt;firstName&gt;Y&lt;/firstName&gt;&lt;lastName&gt;Zhao&lt;/lastName&gt;&lt;/author&gt;&lt;author&gt;&lt;firstName&gt;H&lt;/firstName&gt;&lt;lastName&gt;McDonald&lt;/lastName&gt;&lt;/author&gt;&lt;author&gt;&lt;firstName&gt;T&lt;/firstName&gt;&lt;lastName&gt;Zeng&lt;/lastName&gt;&lt;/author&gt;&lt;author&gt;&lt;firstName&gt;M&lt;/firstName&gt;&lt;lastName&gt;Hirst&lt;/lastName&gt;&lt;/author&gt;&lt;author&gt;&lt;firstName&gt;C&lt;/firstName&gt;&lt;middleNames&gt;J&lt;/middleNames&gt;&lt;lastName&gt;Eaves&lt;/lastName&gt;&lt;/author&gt;&lt;author&gt;&lt;firstName&gt;M&lt;/firstName&gt;&lt;middleNames&gt;A&lt;/middleNames&gt;&lt;lastName&gt;Marra&lt;/lastName&gt;&lt;/author&gt;&lt;/authors&gt;&lt;/publication&gt;&lt;/publications&gt;&lt;cites&gt;&lt;/cites&gt;&lt;/citation&gt;</w:instrText>
      </w:r>
      <w:r w:rsidRPr="00121840">
        <w:rPr>
          <w:rFonts w:ascii="Times New Roman" w:hAnsi="Times New Roman" w:cs="Times New Roman"/>
        </w:rPr>
        <w:fldChar w:fldCharType="separate"/>
      </w:r>
      <w:r w:rsidR="006541A5">
        <w:rPr>
          <w:rFonts w:ascii="Times New Roman" w:hAnsi="Times New Roman" w:cs="Times New Roman"/>
        </w:rPr>
        <w:t>[1]</w:t>
      </w:r>
      <w:r w:rsidRPr="00121840">
        <w:rPr>
          <w:rFonts w:ascii="Times New Roman" w:hAnsi="Times New Roman" w:cs="Times New Roman"/>
        </w:rPr>
        <w:fldChar w:fldCharType="end"/>
      </w:r>
      <w:r w:rsidRPr="00121840">
        <w:rPr>
          <w:rFonts w:ascii="Times New Roman" w:hAnsi="Times New Roman" w:cs="Times New Roman"/>
        </w:rPr>
        <w:t xml:space="preserve">. Zhou et al. </w:t>
      </w:r>
      <w:r w:rsidRPr="00121840">
        <w:rPr>
          <w:rFonts w:ascii="Times New Roman" w:hAnsi="Times New Roman" w:cs="Times New Roman"/>
        </w:rPr>
        <w:fldChar w:fldCharType="begin"/>
      </w:r>
      <w:r w:rsidR="006541A5">
        <w:rPr>
          <w:rFonts w:ascii="Times New Roman" w:hAnsi="Times New Roman" w:cs="Times New Roman"/>
        </w:rPr>
        <w:instrText xml:space="preserve"> ADDIN PAPERS2_CITATIONS &lt;citation&gt;&lt;uuid&gt;9DD2389C-1BC7-4636-8CA3-A7A7DC2DDA5E&lt;/uuid&gt;&lt;priority&gt;9&lt;/priority&gt;&lt;publications&gt;&lt;publication&gt;&lt;volume&gt;40&lt;/volume&gt;&lt;publication_date&gt;99201207201200000000222000&lt;/publication_date&gt;&lt;number&gt;13&lt;/number&gt;&lt;doi&gt;10.1093/nar/gks247&lt;/doi&gt;&lt;startpage&gt;5864&lt;/startpage&gt;&lt;title&gt;Deep annotation of mouse iso-miR and iso-moR variation&lt;/title&gt;&lt;uuid&gt;93FAAF49-7C02-49C5-AEE8-B1F54E7B7C2D&lt;/uuid&gt;&lt;subtype&gt;400&lt;/subtype&gt;&lt;endpage&gt;5875&lt;/endpage&gt;&lt;type&gt;400&lt;/type&gt;&lt;url&gt;http://www.nar.oxfordjournals.org/cgi/doi/10.1093/nar/gks247&lt;/url&gt;&lt;bundle&gt;&lt;publication&gt;&lt;publisher&gt;Oxford Univ Press&lt;/publisher&gt;&lt;title&gt;Nucleic Acids Research&lt;/title&gt;&lt;type&gt;-100&lt;/type&gt;&lt;subtype&gt;-100&lt;/subtype&gt;&lt;uuid&gt;F09BB44A-E896-478F-B25A-9B71995B8E74&lt;/uuid&gt;&lt;/publication&gt;&lt;/bundle&gt;&lt;authors&gt;&lt;author&gt;&lt;firstName&gt;H&lt;/firstName&gt;&lt;lastName&gt;Zhou&lt;/lastName&gt;&lt;/author&gt;&lt;author&gt;&lt;firstName&gt;M&lt;/firstName&gt;&lt;middleNames&gt;L&lt;/middleNames&gt;&lt;lastName&gt;Arcila&lt;/lastName&gt;&lt;/author&gt;&lt;author&gt;&lt;firstName&gt;Z&lt;/firstName&gt;&lt;lastName&gt;Li&lt;/lastName&gt;&lt;/author&gt;&lt;author&gt;&lt;firstName&gt;E&lt;/firstName&gt;&lt;middleNames&gt;J&lt;/middleNames&gt;&lt;lastName&gt;Lee&lt;/lastName&gt;&lt;/author&gt;&lt;author&gt;&lt;firstName&gt;C&lt;/firstName&gt;&lt;lastName&gt;Henzler&lt;/lastName&gt;&lt;/author&gt;&lt;author&gt;&lt;firstName&gt;J&lt;/firstName&gt;&lt;lastName&gt;Liu&lt;/lastName&gt;&lt;/author&gt;&lt;author&gt;&lt;firstName&gt;T&lt;/firstName&gt;&lt;middleNames&gt;M&lt;/middleNames&gt;&lt;lastName&gt;Rana&lt;/lastName&gt;&lt;/author&gt;&lt;author&gt;&lt;firstName&gt;K&lt;/firstName&gt;&lt;middleNames&gt;S&lt;/middleNames&gt;&lt;lastName&gt;Kosik&lt;/lastName&gt;&lt;/author&gt;&lt;/authors&gt;&lt;/publication&gt;&lt;/publications&gt;&lt;cites&gt;&lt;cite&gt;&lt;suppress&gt;A&lt;/suppress&gt;&lt;/cite&gt;&lt;/cites&gt;&lt;/citation&gt;</w:instrText>
      </w:r>
      <w:r w:rsidRPr="00121840">
        <w:rPr>
          <w:rFonts w:ascii="Times New Roman" w:hAnsi="Times New Roman" w:cs="Times New Roman"/>
        </w:rPr>
        <w:fldChar w:fldCharType="separate"/>
      </w:r>
      <w:r w:rsidR="006541A5">
        <w:rPr>
          <w:rFonts w:ascii="Times New Roman" w:hAnsi="Times New Roman" w:cs="Times New Roman"/>
        </w:rPr>
        <w:t>[6]</w:t>
      </w:r>
      <w:r w:rsidRPr="00121840">
        <w:rPr>
          <w:rFonts w:ascii="Times New Roman" w:hAnsi="Times New Roman" w:cs="Times New Roman"/>
        </w:rPr>
        <w:fldChar w:fldCharType="end"/>
      </w:r>
      <w:r w:rsidRPr="00121840">
        <w:rPr>
          <w:rFonts w:ascii="Times New Roman" w:hAnsi="Times New Roman" w:cs="Times New Roman"/>
        </w:rPr>
        <w:t xml:space="preserve"> found variation among isomirs in an analysis of all samples in our study combined, so to investigate this further, we assessed whether any miRNAs experienced changes in their dominant isomir(s) through reprogramming. Given the proximity of the seed sequence to the 5’ end of miRNAs, variation in the 5’ end has far more potential to alter the targets of a miRNA than variation at the 3’ end. Following Zhou et al. </w:t>
      </w:r>
      <w:r w:rsidRPr="00121840">
        <w:rPr>
          <w:rFonts w:ascii="Times New Roman" w:hAnsi="Times New Roman" w:cs="Times New Roman"/>
        </w:rPr>
        <w:fldChar w:fldCharType="begin"/>
      </w:r>
      <w:r w:rsidR="00340477">
        <w:rPr>
          <w:rFonts w:ascii="Times New Roman" w:hAnsi="Times New Roman" w:cs="Times New Roman"/>
        </w:rPr>
        <w:instrText xml:space="preserve"> ADDIN PAPERS2_CITATIONS &lt;citation&gt;&lt;uuid&gt;ECBB43A9-F084-44CC-B401-50B606BC6CE8&lt;/uuid&gt;&lt;priority&gt;10&lt;/priority&gt;&lt;publications&gt;&lt;publication&gt;&lt;volume&gt;40&lt;/volume&gt;&lt;publication_date&gt;99201207201200000000222000&lt;/publication_date&gt;&lt;number&gt;13&lt;/number&gt;&lt;doi&gt;10.1093/nar/gks247&lt;/doi&gt;&lt;startpage&gt;5864&lt;/startpage&gt;&lt;title&gt;Deep annotation of mouse iso-miR and iso-moR variation&lt;/title&gt;&lt;uuid&gt;93FAAF49-7C02-49C5-AEE8-B1F54E7B7C2D&lt;/uuid&gt;&lt;subtype&gt;400&lt;/subtype&gt;&lt;endpage&gt;5875&lt;/endpage&gt;&lt;type&gt;400&lt;/type&gt;&lt;url&gt;http://www.nar.oxfordjournals.org/cgi/doi/10.1093/nar/gks247&lt;/url&gt;&lt;bundle&gt;&lt;publication&gt;&lt;publisher&gt;Oxford Univ Press&lt;/publisher&gt;&lt;title&gt;Nucleic Acids Research&lt;/title&gt;&lt;type&gt;-100&lt;/type&gt;&lt;subtype&gt;-100&lt;/subtype&gt;&lt;uuid&gt;F09BB44A-E896-478F-B25A-9B71995B8E74&lt;/uuid&gt;&lt;/publication&gt;&lt;/bundle&gt;&lt;authors&gt;&lt;author&gt;&lt;firstName&gt;H&lt;/firstName&gt;&lt;lastName&gt;Zhou&lt;/lastName&gt;&lt;/author&gt;&lt;author&gt;&lt;firstName&gt;M&lt;/firstName&gt;&lt;middleNames&gt;L&lt;/middleNames&gt;&lt;lastName&gt;Arcila&lt;/lastName&gt;&lt;/author&gt;&lt;author&gt;&lt;firstName&gt;Z&lt;/firstName&gt;&lt;lastName&gt;Li&lt;/lastName&gt;&lt;/author&gt;&lt;author&gt;&lt;firstName&gt;E&lt;/firstName&gt;&lt;middleNames&gt;J&lt;/middleNames&gt;&lt;lastName&gt;Lee&lt;/lastName&gt;&lt;/author&gt;&lt;author&gt;&lt;firstName&gt;C&lt;/firstName&gt;&lt;lastName&gt;Henzler&lt;/lastName&gt;&lt;/author&gt;&lt;author&gt;&lt;firstName&gt;J&lt;/firstName&gt;&lt;lastName&gt;Liu&lt;/lastName&gt;&lt;/author&gt;&lt;author&gt;&lt;firstName&gt;T&lt;/firstName&gt;&lt;middleNames&gt;M&lt;/middleNames&gt;&lt;lastName&gt;Rana&lt;/lastName&gt;&lt;/author&gt;&lt;author&gt;&lt;firstName&gt;K&lt;/firstName&gt;&lt;middleNames&gt;S&lt;/middleNames&gt;&lt;lastName&gt;Kosik&lt;/lastName&gt;&lt;/author&gt;&lt;/authors&gt;&lt;/publication&gt;&lt;/publications&gt;&lt;cites&gt;&lt;cite&gt;&lt;suppress&gt;A&lt;/suppress&gt;&lt;/cite&gt;&lt;/cites&gt;&lt;/citation&gt;</w:instrText>
      </w:r>
      <w:r w:rsidRPr="00121840">
        <w:rPr>
          <w:rFonts w:ascii="Times New Roman" w:hAnsi="Times New Roman" w:cs="Times New Roman"/>
        </w:rPr>
        <w:fldChar w:fldCharType="separate"/>
      </w:r>
      <w:r w:rsidR="006541A5">
        <w:rPr>
          <w:rFonts w:ascii="Times New Roman" w:hAnsi="Times New Roman" w:cs="Times New Roman"/>
        </w:rPr>
        <w:t>[6]</w:t>
      </w:r>
      <w:r w:rsidRPr="00121840">
        <w:rPr>
          <w:rFonts w:ascii="Times New Roman" w:hAnsi="Times New Roman" w:cs="Times New Roman"/>
        </w:rPr>
        <w:fldChar w:fldCharType="end"/>
      </w:r>
      <w:r w:rsidRPr="00121840">
        <w:rPr>
          <w:rFonts w:ascii="Times New Roman" w:hAnsi="Times New Roman" w:cs="Times New Roman"/>
        </w:rPr>
        <w:t>, we focused on the 5’ end, and calculated the weighted average size of nucleotide variation, (WAZNV) as: WAZNV=</w:t>
      </w:r>
      <w:r w:rsidRPr="00121840">
        <w:rPr>
          <w:rFonts w:ascii="Times New Roman" w:hAnsi="Times New Roman" w:cs="Times New Roman"/>
          <w:sz w:val="32"/>
        </w:rPr>
        <w:sym w:font="Symbol" w:char="F053"/>
      </w:r>
      <w:r w:rsidRPr="00121840">
        <w:rPr>
          <w:rFonts w:ascii="Times New Roman" w:hAnsi="Times New Roman" w:cs="Times New Roman"/>
          <w:i/>
        </w:rPr>
        <w:t>p</w:t>
      </w:r>
      <w:r w:rsidRPr="00121840">
        <w:rPr>
          <w:rFonts w:ascii="Times New Roman" w:hAnsi="Times New Roman" w:cs="Times New Roman"/>
          <w:i/>
          <w:vertAlign w:val="subscript"/>
        </w:rPr>
        <w:t>i</w:t>
      </w:r>
      <w:r w:rsidRPr="00121840">
        <w:rPr>
          <w:rFonts w:ascii="Times New Roman" w:hAnsi="Times New Roman" w:cs="Times New Roman"/>
          <w:i/>
        </w:rPr>
        <w:t>d</w:t>
      </w:r>
      <w:r w:rsidRPr="00121840">
        <w:rPr>
          <w:rFonts w:ascii="Times New Roman" w:hAnsi="Times New Roman" w:cs="Times New Roman"/>
          <w:i/>
          <w:vertAlign w:val="subscript"/>
        </w:rPr>
        <w:t>i</w:t>
      </w:r>
      <w:r w:rsidRPr="00121840">
        <w:rPr>
          <w:rFonts w:ascii="Times New Roman" w:hAnsi="Times New Roman" w:cs="Times New Roman"/>
          <w:i/>
        </w:rPr>
        <w:t xml:space="preserve">, </w:t>
      </w:r>
      <w:r w:rsidRPr="00121840">
        <w:rPr>
          <w:rFonts w:ascii="Times New Roman" w:hAnsi="Times New Roman" w:cs="Times New Roman"/>
        </w:rPr>
        <w:t>where p</w:t>
      </w:r>
      <w:r w:rsidRPr="00121840">
        <w:rPr>
          <w:rFonts w:ascii="Times New Roman" w:hAnsi="Times New Roman" w:cs="Times New Roman"/>
          <w:vertAlign w:val="subscript"/>
        </w:rPr>
        <w:t>i</w:t>
      </w:r>
      <w:r w:rsidRPr="00121840">
        <w:rPr>
          <w:rFonts w:ascii="Times New Roman" w:hAnsi="Times New Roman" w:cs="Times New Roman"/>
        </w:rPr>
        <w:t xml:space="preserve"> is the frequency of isomir </w:t>
      </w:r>
      <w:r w:rsidRPr="00121840">
        <w:rPr>
          <w:rFonts w:ascii="Times New Roman" w:hAnsi="Times New Roman" w:cs="Times New Roman"/>
          <w:i/>
        </w:rPr>
        <w:t>i</w:t>
      </w:r>
      <w:r w:rsidRPr="00121840">
        <w:rPr>
          <w:rFonts w:ascii="Times New Roman" w:hAnsi="Times New Roman" w:cs="Times New Roman"/>
        </w:rPr>
        <w:t xml:space="preserve"> among all isomirs detected, and d</w:t>
      </w:r>
      <w:r w:rsidRPr="00121840">
        <w:rPr>
          <w:rFonts w:ascii="Times New Roman" w:hAnsi="Times New Roman" w:cs="Times New Roman"/>
          <w:vertAlign w:val="subscript"/>
        </w:rPr>
        <w:t>i</w:t>
      </w:r>
      <w:r w:rsidRPr="00121840">
        <w:rPr>
          <w:rFonts w:ascii="Times New Roman" w:hAnsi="Times New Roman" w:cs="Times New Roman"/>
        </w:rPr>
        <w:t xml:space="preserve"> is the distance of isomir </w:t>
      </w:r>
      <w:r w:rsidRPr="00121840">
        <w:rPr>
          <w:rFonts w:ascii="Times New Roman" w:hAnsi="Times New Roman" w:cs="Times New Roman"/>
          <w:i/>
        </w:rPr>
        <w:t>i</w:t>
      </w:r>
      <w:r w:rsidRPr="00121840">
        <w:rPr>
          <w:rFonts w:ascii="Times New Roman" w:hAnsi="Times New Roman" w:cs="Times New Roman"/>
        </w:rPr>
        <w:t xml:space="preserve"> from the mature miRNA as defined by miRBase (www.mirbase.org). (This is a slight departure from Zhou et al. </w:t>
      </w:r>
      <w:r w:rsidRPr="00121840">
        <w:rPr>
          <w:rFonts w:ascii="Times New Roman" w:hAnsi="Times New Roman" w:cs="Times New Roman"/>
        </w:rPr>
        <w:fldChar w:fldCharType="begin"/>
      </w:r>
      <w:r w:rsidR="00340477">
        <w:rPr>
          <w:rFonts w:ascii="Times New Roman" w:hAnsi="Times New Roman" w:cs="Times New Roman"/>
        </w:rPr>
        <w:instrText xml:space="preserve"> ADDIN PAPERS2_CITATIONS &lt;citation&gt;&lt;uuid&gt;1FB0EEC2-2350-48B4-B166-33085D49D469&lt;/uuid&gt;&lt;priority&gt;11&lt;/priority&gt;&lt;publications&gt;&lt;publication&gt;&lt;volume&gt;40&lt;/volume&gt;&lt;publication_date&gt;99201207201200000000222000&lt;/publication_date&gt;&lt;number&gt;13&lt;/number&gt;&lt;doi&gt;10.1093/nar/gks247&lt;/doi&gt;&lt;startpage&gt;5864&lt;/startpage&gt;&lt;title&gt;Deep annotation of mouse iso-miR and iso-moR variation&lt;/title&gt;&lt;uuid&gt;93FAAF49-7C02-49C5-AEE8-B1F54E7B7C2D&lt;/uuid&gt;&lt;subtype&gt;400&lt;/subtype&gt;&lt;endpage&gt;5875&lt;/endpage&gt;&lt;type&gt;400&lt;/type&gt;&lt;url&gt;http://www.nar.oxfordjournals.org/cgi/doi/10.1093/nar/gks247&lt;/url&gt;&lt;bundle&gt;&lt;publication&gt;&lt;publisher&gt;Oxford Univ Press&lt;/publisher&gt;&lt;title&gt;Nucleic Acids Research&lt;/title&gt;&lt;type&gt;-100&lt;/type&gt;&lt;subtype&gt;-100&lt;/subtype&gt;&lt;uuid&gt;F09BB44A-E896-478F-B25A-9B71995B8E74&lt;/uuid&gt;&lt;/publication&gt;&lt;/bundle&gt;&lt;authors&gt;&lt;author&gt;&lt;firstName&gt;H&lt;/firstName&gt;&lt;lastName&gt;Zhou&lt;/lastName&gt;&lt;/author&gt;&lt;author&gt;&lt;firstName&gt;M&lt;/firstName&gt;&lt;middleNames&gt;L&lt;/middleNames&gt;&lt;lastName&gt;Arcila&lt;/lastName&gt;&lt;/author&gt;&lt;author&gt;&lt;firstName&gt;Z&lt;/firstName&gt;&lt;lastName&gt;Li&lt;/lastName&gt;&lt;/author&gt;&lt;author&gt;&lt;firstName&gt;E&lt;/firstName&gt;&lt;middleNames&gt;J&lt;/middleNames&gt;&lt;lastName&gt;Lee&lt;/lastName&gt;&lt;/author&gt;&lt;author&gt;&lt;firstName&gt;C&lt;/firstName&gt;&lt;lastName&gt;Henzler&lt;/lastName&gt;&lt;/author&gt;&lt;author&gt;&lt;firstName&gt;J&lt;/firstName&gt;&lt;lastName&gt;Liu&lt;/lastName&gt;&lt;/author&gt;&lt;author&gt;&lt;firstName&gt;T&lt;/firstName&gt;&lt;middleNames&gt;M&lt;/middleNames&gt;&lt;lastName&gt;Rana&lt;/lastName&gt;&lt;/author&gt;&lt;author&gt;&lt;firstName&gt;K&lt;/firstName&gt;&lt;middleNames&gt;S&lt;/middleNames&gt;&lt;lastName&gt;Kosik&lt;/lastName&gt;&lt;/author&gt;&lt;/authors&gt;&lt;/publication&gt;&lt;/publications&gt;&lt;cites&gt;&lt;cite&gt;&lt;suppress&gt;A&lt;/suppress&gt;&lt;/cite&gt;&lt;/cites&gt;&lt;/citation&gt;</w:instrText>
      </w:r>
      <w:r w:rsidRPr="00121840">
        <w:rPr>
          <w:rFonts w:ascii="Times New Roman" w:hAnsi="Times New Roman" w:cs="Times New Roman"/>
        </w:rPr>
        <w:fldChar w:fldCharType="separate"/>
      </w:r>
      <w:r w:rsidR="006541A5">
        <w:rPr>
          <w:rFonts w:ascii="Times New Roman" w:hAnsi="Times New Roman" w:cs="Times New Roman"/>
        </w:rPr>
        <w:t>[6]</w:t>
      </w:r>
      <w:r w:rsidRPr="00121840">
        <w:rPr>
          <w:rFonts w:ascii="Times New Roman" w:hAnsi="Times New Roman" w:cs="Times New Roman"/>
        </w:rPr>
        <w:fldChar w:fldCharType="end"/>
      </w:r>
      <w:r w:rsidRPr="00121840">
        <w:rPr>
          <w:rFonts w:ascii="Times New Roman" w:hAnsi="Times New Roman" w:cs="Times New Roman"/>
        </w:rPr>
        <w:t>, who defined d</w:t>
      </w:r>
      <w:r w:rsidRPr="00121840">
        <w:rPr>
          <w:rFonts w:ascii="Times New Roman" w:hAnsi="Times New Roman" w:cs="Times New Roman"/>
          <w:vertAlign w:val="subscript"/>
        </w:rPr>
        <w:t>i</w:t>
      </w:r>
      <w:r w:rsidRPr="00121840">
        <w:rPr>
          <w:rFonts w:ascii="Times New Roman" w:hAnsi="Times New Roman" w:cs="Times New Roman"/>
        </w:rPr>
        <w:t xml:space="preserve"> as the distance to the dominant isomir, regardless of whether it was the mature miRNA defined by miRBase.) To assess whether there was a difference in dominant isomir(s) in MEF vs. Oct4-GFP+ samples, WAZNV was calculated for these two endpoints of reprogramming for all miRNAs with at least 50 reads in these samples in both replicates. For each replicate, the difference in WAZNV between these two samples was calculated, and miRNAs were filtered for those with an absolute value of the mean of the difference  &gt;0.1. To retain only those with consistent patterns between replicates, these were further filtered to those with a correlation across reprogramming samples (MEF, Thy1–, SSEA1+ and Oct4-GFP+) &gt;0.9 between replicates. Target sites of different isomirs were predicted using custom TargetScan (v. 5.2) </w:t>
      </w:r>
      <w:r w:rsidRPr="00121840">
        <w:rPr>
          <w:rFonts w:ascii="Times New Roman" w:hAnsi="Times New Roman" w:cs="Times New Roman"/>
        </w:rPr>
        <w:fldChar w:fldCharType="begin"/>
      </w:r>
      <w:r w:rsidR="00340477">
        <w:rPr>
          <w:rFonts w:ascii="Times New Roman" w:hAnsi="Times New Roman" w:cs="Times New Roman"/>
        </w:rPr>
        <w:instrText xml:space="preserve"> ADDIN PAPERS2_CITATIONS &lt;citation&gt;&lt;uuid&gt;4A180C75-990A-4457-866D-C20F5480C08F&lt;/uuid&gt;&lt;priority&gt;12&lt;/priority&gt;&lt;publications&gt;&lt;publication&gt;&lt;volume&gt;120&lt;/volume&gt;&lt;publication_date&gt;99200501141200000000222000&lt;/publication_date&gt;&lt;number&gt;1&lt;/number&gt;&lt;doi&gt;10.1016/j.cell.2004.12.035&lt;/doi&gt;&lt;startpage&gt;15&lt;/startpage&gt;&lt;title&gt;Conserved seed pairing, often flanked by adenosines, indicates that thousands of human genes are microRNA targets.&lt;/title&gt;&lt;uuid&gt;E0646109-B842-498E-94B3-F45D6CD66985&lt;/uuid&gt;&lt;subtype&gt;400&lt;/subtype&gt;&lt;endpage&gt;20&lt;/endpage&gt;&lt;type&gt;400&lt;/type&gt;&lt;url&gt;http://eutils.ncbi.nlm.nih.gov/entrez/eutils/elink.fcgi?dbfrom=pubmed&amp;amp;id=15652477&amp;amp;retmode=ref&amp;amp;cmd=prlinks&lt;/url&gt;&lt;bundle&gt;&lt;publication&gt;&lt;publisher&gt;Elsevier Ltd&lt;/publisher&gt;&lt;url&gt;http://www.cell.com/&lt;/url&gt;&lt;title&gt;Cell&lt;/title&gt;&lt;type&gt;-100&lt;/type&gt;&lt;subtype&gt;-100&lt;/subtype&gt;&lt;uuid&gt;8CFA51D8-691D-4D35-9178-8A5217A71525&lt;/uuid&gt;&lt;/publication&gt;&lt;/bundle&gt;&lt;authors&gt;&lt;author&gt;&lt;firstName&gt;Benjamin&lt;/firstName&gt;&lt;middleNames&gt;P&lt;/middleNames&gt;&lt;lastName&gt;Lewis&lt;/lastName&gt;&lt;/author&gt;&lt;author&gt;&lt;firstName&gt;Christopher&lt;/firstName&gt;&lt;middleNames&gt;B&lt;/middleNames&gt;&lt;lastName&gt;Burge&lt;/lastName&gt;&lt;/author&gt;&lt;author&gt;&lt;firstName&gt;David&lt;/firstName&gt;&lt;middleNames&gt;P&lt;/middleNames&gt;&lt;lastName&gt;Bartel&lt;/lastName&gt;&lt;/author&gt;&lt;/authors&gt;&lt;/publication&gt;&lt;/publications&gt;&lt;cites&gt;&lt;/cites&gt;&lt;/citation&gt;</w:instrText>
      </w:r>
      <w:r w:rsidRPr="00121840">
        <w:rPr>
          <w:rFonts w:ascii="Times New Roman" w:hAnsi="Times New Roman" w:cs="Times New Roman"/>
        </w:rPr>
        <w:fldChar w:fldCharType="separate"/>
      </w:r>
      <w:r w:rsidR="006541A5">
        <w:rPr>
          <w:rFonts w:ascii="Times New Roman" w:hAnsi="Times New Roman" w:cs="Times New Roman"/>
        </w:rPr>
        <w:t>[7]</w:t>
      </w:r>
      <w:r w:rsidRPr="00121840">
        <w:rPr>
          <w:rFonts w:ascii="Times New Roman" w:hAnsi="Times New Roman" w:cs="Times New Roman"/>
        </w:rPr>
        <w:fldChar w:fldCharType="end"/>
      </w:r>
      <w:r w:rsidRPr="00121840">
        <w:rPr>
          <w:rFonts w:ascii="Times New Roman" w:hAnsi="Times New Roman" w:cs="Times New Roman"/>
        </w:rPr>
        <w:t>.</w:t>
      </w:r>
    </w:p>
    <w:p w14:paraId="5374DA75" w14:textId="77777777" w:rsidR="00E363E2" w:rsidRPr="00B65002" w:rsidRDefault="00E363E2" w:rsidP="00E363E2">
      <w:pPr>
        <w:spacing w:line="480" w:lineRule="auto"/>
        <w:rPr>
          <w:rFonts w:ascii="Times" w:hAnsi="Times"/>
        </w:rPr>
      </w:pPr>
    </w:p>
    <w:p w14:paraId="44ED8AD4" w14:textId="77777777" w:rsidR="00E363E2" w:rsidRPr="00121840" w:rsidRDefault="00E363E2" w:rsidP="00E363E2">
      <w:pPr>
        <w:spacing w:line="480" w:lineRule="auto"/>
        <w:rPr>
          <w:rFonts w:ascii="Arial" w:hAnsi="Arial" w:cs="Arial"/>
          <w:b/>
        </w:rPr>
      </w:pPr>
      <w:r w:rsidRPr="00121840">
        <w:rPr>
          <w:rFonts w:ascii="Arial" w:hAnsi="Arial" w:cs="Arial"/>
          <w:b/>
        </w:rPr>
        <w:t>Network analysis</w:t>
      </w:r>
    </w:p>
    <w:p w14:paraId="67F3B610" w14:textId="102E2D2F" w:rsidR="00E363E2" w:rsidRPr="00121840" w:rsidRDefault="00E363E2" w:rsidP="00E363E2">
      <w:pPr>
        <w:spacing w:line="480" w:lineRule="auto"/>
        <w:rPr>
          <w:rFonts w:ascii="Times New Roman" w:hAnsi="Times New Roman" w:cs="Times New Roman"/>
        </w:rPr>
      </w:pPr>
      <w:r w:rsidRPr="00121840">
        <w:rPr>
          <w:rFonts w:ascii="Times New Roman" w:hAnsi="Times New Roman" w:cs="Times New Roman"/>
        </w:rPr>
        <w:t xml:space="preserve">Following Conaco et al. </w:t>
      </w:r>
      <w:r w:rsidRPr="00121840">
        <w:rPr>
          <w:rFonts w:ascii="Times New Roman" w:hAnsi="Times New Roman" w:cs="Times New Roman"/>
        </w:rPr>
        <w:fldChar w:fldCharType="begin"/>
      </w:r>
      <w:r w:rsidR="00340477">
        <w:rPr>
          <w:rFonts w:ascii="Times New Roman" w:hAnsi="Times New Roman" w:cs="Times New Roman"/>
        </w:rPr>
        <w:instrText xml:space="preserve"> ADDIN PAPERS2_CITATIONS &lt;citation&gt;&lt;uuid&gt;0459CC7F-CA43-4990-B4BA-5AF5FD3A12C8&lt;/uuid&gt;&lt;priority&gt;13&lt;/priority&gt;&lt;publications&gt;&lt;publication&gt;&lt;uuid&gt;0262CAB7-A5CC-4903-82C8-E2FB7C0AEBCC&lt;/uuid&gt;&lt;volume&gt;109 Suppl 1&lt;/volume&gt;&lt;doi&gt;10.1073/pnas.1201890109&lt;/doi&gt;&lt;startpage&gt;10612&lt;/startpage&gt;&lt;publication_date&gt;99201206261200000000222000&lt;/publication_date&gt;&lt;url&gt;http://eutils.ncbi.nlm.nih.gov/entrez/eutils/elink.fcgi?dbfrom=pubmed&amp;amp;id=22723359&amp;amp;retmode=ref&amp;amp;cmd=prlinks&lt;/url&gt;&lt;type&gt;400&lt;/type&gt;&lt;title&gt;Functionalization of a protosynaptic gene expression network.&lt;/title&gt;&lt;location&gt;200,9,34.4135868,-119.8496976&lt;/location&gt;&lt;institution&gt;Neuroscience Research Institute, University of California, Santa Barbara, CA 93106, USA.&lt;/institution&gt;&lt;number&gt;&lt;/number&gt;&lt;subtype&gt;400&lt;/subtype&gt;&lt;endpage&gt;10618&lt;/endpage&gt;&lt;bundle&gt;&lt;publication&gt;&lt;url&gt;http://www.pnas.org/&lt;/url&gt;&lt;title&gt;Proceedings of the National Academy of Sciences of the United States of America&lt;/title&gt;&lt;type&gt;-100&lt;/type&gt;&lt;subtype&gt;-100&lt;/subtype&gt;&lt;uuid&gt;502C3E7B-E662-479E-8398-E24F8757CF77&lt;/uuid&gt;&lt;/publication&gt;&lt;/bundle&gt;&lt;authors&gt;&lt;author&gt;&lt;firstName&gt;Cecilia&lt;/firstName&gt;&lt;middleNames&gt;C&lt;/middleNames&gt;&lt;lastName&gt;Conaco&lt;/lastName&gt;&lt;/author&gt;&lt;author&gt;&lt;firstName&gt;Danielle&lt;/firstName&gt;&lt;middleNames&gt;S DS&lt;/middleNames&gt;&lt;lastName&gt;Bassett&lt;/lastName&gt;&lt;/author&gt;&lt;author&gt;&lt;firstName&gt;Hongjun&lt;/firstName&gt;&lt;middleNames&gt;H&lt;/middleNames&gt;&lt;lastName&gt;Zhou&lt;/lastName&gt;&lt;/author&gt;&lt;author&gt;&lt;firstName&gt;Mary&lt;/firstName&gt;&lt;middleNames&gt;Luz ML&lt;/middleNames&gt;&lt;lastName&gt;Arcila&lt;/lastName&gt;&lt;/author&gt;&lt;author&gt;&lt;firstName&gt;Sandie&lt;/firstName&gt;&lt;middleNames&gt;M SM&lt;/middleNames&gt;&lt;lastName&gt;Degnan&lt;/lastName&gt;&lt;/author&gt;&lt;author&gt;&lt;firstName&gt;Bernard&lt;/firstName&gt;&lt;middleNames&gt;M BM&lt;/middleNames&gt;&lt;lastName&gt;Degnan&lt;/lastName&gt;&lt;/author&gt;&lt;author&gt;&lt;firstName&gt;Kenneth&lt;/firstName&gt;&lt;middleNames&gt;S KS&lt;/middleNames&gt;&lt;lastName&gt;Kosik&lt;/lastName&gt;&lt;/author&gt;&lt;/authors&gt;&lt;/publication&gt;&lt;/publications&gt;&lt;cites&gt;&lt;cite&gt;&lt;suppress&gt;A&lt;/suppress&gt;&lt;/cite&gt;&lt;/cites&gt;&lt;/citation&gt;</w:instrText>
      </w:r>
      <w:r w:rsidRPr="00121840">
        <w:rPr>
          <w:rFonts w:ascii="Times New Roman" w:hAnsi="Times New Roman" w:cs="Times New Roman"/>
        </w:rPr>
        <w:fldChar w:fldCharType="separate"/>
      </w:r>
      <w:r w:rsidR="006541A5">
        <w:rPr>
          <w:rFonts w:ascii="Times New Roman" w:hAnsi="Times New Roman" w:cs="Times New Roman"/>
        </w:rPr>
        <w:t>[8]</w:t>
      </w:r>
      <w:r w:rsidRPr="00121840">
        <w:rPr>
          <w:rFonts w:ascii="Times New Roman" w:hAnsi="Times New Roman" w:cs="Times New Roman"/>
        </w:rPr>
        <w:fldChar w:fldCharType="end"/>
      </w:r>
      <w:r w:rsidRPr="00121840">
        <w:rPr>
          <w:rFonts w:ascii="Times New Roman" w:hAnsi="Times New Roman" w:cs="Times New Roman"/>
        </w:rPr>
        <w:t xml:space="preserve">, a putative coregulation network of miRNAs was constructed for each of three datasets: i) 120 miRNAs known from the literature </w:t>
      </w:r>
      <w:r w:rsidRPr="00121840">
        <w:rPr>
          <w:rFonts w:ascii="Times New Roman" w:hAnsi="Times New Roman" w:cs="Times New Roman"/>
          <w:b/>
        </w:rPr>
        <w:fldChar w:fldCharType="begin"/>
      </w:r>
      <w:r w:rsidR="00340477">
        <w:rPr>
          <w:rFonts w:ascii="Times New Roman" w:hAnsi="Times New Roman" w:cs="Times New Roman"/>
          <w:b/>
        </w:rPr>
        <w:instrText xml:space="preserve"> ADDIN PAPERS2_CITATIONS &lt;citation&gt;&lt;uuid&gt;3924B1D3-4E58-4BBF-BCA1-5ACC45D9597A&lt;/uuid&gt;&lt;priority&gt;14&lt;/priority&gt;&lt;publications&gt;&lt;publication&gt;&lt;uuid&gt;30C3A5E2-258B-461D-8743-565715D710CD&lt;/uuid&gt;&lt;volume&gt;30&lt;/volume&gt;&lt;doi&gt;10.1038/emboj.2011.2&lt;/doi&gt;&lt;startpage&gt;823&lt;/startpage&gt;&lt;publication_date&gt;99201102011200000000222000&lt;/publication_date&gt;&lt;url&gt;http://dx.doi.org/10.1038/emboj.2011.2&lt;/url&gt;&lt;type&gt;400&lt;/type&gt;&lt;title&gt;Small RNA-mediated regulation of iPS cell generation&lt;/title&gt;&lt;publisher&gt;Nature Publishing Group&lt;/publisher&gt;&lt;number&gt;5&lt;/number&gt;&lt;subtype&gt;400&lt;/subtype&gt;&lt;endpage&gt;834&lt;/endpage&gt;&lt;bundle&gt;&lt;publication&gt;&lt;publisher&gt;Nature Publishing Group&lt;/publisher&gt;&lt;title&gt;The EMBO Journal&lt;/title&gt;&lt;type&gt;-100&lt;/type&gt;&lt;subtype&gt;-100&lt;/subtype&gt;&lt;uuid&gt;0D48ACF8-8A6B-4665-B1DB-A9C341C2A754&lt;/uuid&gt;&lt;/publication&gt;&lt;/bundle&gt;&lt;authors&gt;&lt;author&gt;&lt;firstName&gt;Zhonghan&lt;/firstName&gt;&lt;lastName&gt;Li&lt;/lastName&gt;&lt;/author&gt;&lt;author&gt;&lt;firstName&gt;Chao-Shun&lt;/firstName&gt;&lt;lastName&gt;Yang&lt;/lastName&gt;&lt;/author&gt;&lt;author&gt;&lt;firstName&gt;Katsuhiko&lt;/firstName&gt;&lt;lastName&gt;Nakashima&lt;/lastName&gt;&lt;/author&gt;&lt;author&gt;&lt;firstName&gt;Tariq&lt;/firstName&gt;&lt;middleNames&gt;M&lt;/middleNames&gt;&lt;lastName&gt;Rana&lt;/lastName&gt;&lt;/author&gt;&lt;/authors&gt;&lt;/publication&gt;&lt;publication&gt;&lt;uuid&gt;3AC15C29-2F09-4AF1-B9DC-C9FA392FBFE6&lt;/uuid&gt;&lt;volume&gt;7&lt;/volume&gt;&lt;accepted_date&gt;99201004261200000000222000&lt;/accepted_date&gt;&lt;doi&gt;10.1016/j.stem.2010.04.015&lt;/doi&gt;&lt;startpage&gt;64&lt;/startpage&gt;&lt;revision_date&gt;99201003091200000000222000&lt;/revision_date&gt;&lt;publication_date&gt;99201007021200000000222000&lt;/publication_date&gt;&lt;url&gt;http://eutils.ncbi.nlm.nih.gov/entrez/eutils/elink.fcgi?dbfrom=pubmed&amp;amp;id=20621051&amp;amp;retmode=ref&amp;amp;cmd=prlinks&lt;/url&gt;&lt;type&gt;400&lt;/type&gt;&lt;title&gt;Functional genomics reveals a BMP-driven mesenchymal-to-epithelial transition in the initiation of somatic cell reprogramming.&lt;/title&gt;&lt;location&gt;200,9,43.6575238,-79.3907253&lt;/location&gt;&lt;submission_date&gt;99200910091200000000222000&lt;/submission_date&gt;&lt;number&gt;1&lt;/number&gt;&lt;institution&gt;Center for Systems Biology, Samuel Lunenfeld Research Institute, Mount Sinai Hospital, Toronto, Ontario M5G 1X5, Canada.&lt;/institution&gt;&lt;subtype&gt;400&lt;/subtype&gt;&lt;endpage&gt;77&lt;/endpage&gt;&lt;bundle&gt;&lt;publication&gt;&lt;publisher&gt;Elsevier&lt;/publisher&gt;&lt;url&gt;http://www.cell.com/cell-stem-cell/&lt;/url&gt;&lt;title&gt;Cell Stem Cell&lt;/title&gt;&lt;type&gt;-100&lt;/type&gt;&lt;subtype&gt;-100&lt;/subtype&gt;&lt;uuid&gt;251071B3-37C2-406E-B505-51AAE1B5278C&lt;/uuid&gt;&lt;/publication&gt;&lt;/bundle&gt;&lt;authors&gt;&lt;author&gt;&lt;firstName&gt;Payman&lt;/firstName&gt;&lt;lastName&gt;Samavarchi-Tehrani&lt;/lastName&gt;&lt;/author&gt;&lt;author&gt;&lt;firstName&gt;Azadeh&lt;/firstName&gt;&lt;lastName&gt;Golipour&lt;/lastName&gt;&lt;/author&gt;&lt;author&gt;&lt;firstName&gt;Laurent&lt;/firstName&gt;&lt;lastName&gt;David&lt;/lastName&gt;&lt;/author&gt;&lt;author&gt;&lt;firstName&gt;Hoon-ki&lt;/firstName&gt;&lt;lastName&gt;Sung&lt;/lastName&gt;&lt;/author&gt;&lt;author&gt;&lt;firstName&gt;Tobias&lt;/firstName&gt;&lt;middleNames&gt;A&lt;/middleNames&gt;&lt;lastName&gt;Beyer&lt;/lastName&gt;&lt;/author&gt;&lt;author&gt;&lt;firstName&gt;Alessandro&lt;/firstName&gt;&lt;lastName&gt;Datti&lt;/lastName&gt;&lt;/author&gt;&lt;author&gt;&lt;firstName&gt;Knut&lt;/firstName&gt;&lt;lastName&gt;Woltjen&lt;/lastName&gt;&lt;/author&gt;&lt;author&gt;&lt;firstName&gt;Andras&lt;/firstName&gt;&lt;lastName&gt;Nagy&lt;/lastName&gt;&lt;/author&gt;&lt;author&gt;&lt;firstName&gt;Jeffrey&lt;/firstName&gt;&lt;middleNames&gt;L&lt;/middleNames&gt;&lt;lastName&gt;Wrana&lt;/lastName&gt;&lt;/author&gt;&lt;/authors&gt;&lt;/publication&gt;&lt;publication&gt;&lt;volume&gt;5&lt;/volume&gt;&lt;number&gt;2&lt;/number&gt;&lt;startpage&gt;351&lt;/startpage&gt;&lt;title&gt;Embryonic stem cell-specific MicroRNAs&lt;/title&gt;&lt;uuid&gt;71AC8DFD-AA25-44C5-946F-406C5EC9C683&lt;/uuid&gt;&lt;subtype&gt;400&lt;/subtype&gt;&lt;endpage&gt;358&lt;/endpage&gt;&lt;type&gt;400&lt;/type&gt;&lt;publication_date&gt;99200300001200000000200000&lt;/publication_date&gt;&lt;bundle&gt;&lt;publication&gt;&lt;publisher&gt;Elsevier Inc.&lt;/publisher&gt;&lt;url&gt;http://www.cell.com/developmental-cell/&lt;/url&gt;&lt;title&gt;Developmental Cell&lt;/title&gt;&lt;type&gt;-100&lt;/type&gt;&lt;subtype&gt;-100&lt;/subtype&gt;&lt;uuid&gt;2787E1D3-381C-47D0-AF7D-A423F5436874&lt;/uuid&gt;&lt;/publication&gt;&lt;/bundle&gt;&lt;authors&gt;&lt;author&gt;&lt;firstName&gt;HB&lt;/firstName&gt;&lt;lastName&gt;Houbaviy&lt;/lastName&gt;&lt;/author&gt;&lt;author&gt;&lt;firstName&gt;MF&lt;/firstName&gt;&lt;lastName&gt;Murray&lt;/lastName&gt;&lt;/author&gt;&lt;author&gt;&lt;firstName&gt;PA&lt;/firstName&gt;&lt;lastName&gt;Sharp&lt;/lastName&gt;&lt;/author&gt;&lt;/authors&gt;&lt;/publication&gt;&lt;publication&gt;&lt;uuid&gt;A17EE562-DFE1-468D-A958-EFC09A224496&lt;/uuid&gt;&lt;volume&gt;134&lt;/volume&gt;&lt;accepted_date&gt;99200807141200000000222000&lt;/accepted_date&gt;&lt;doi&gt;10.1016/j.cell.2008.07.020&lt;/doi&gt;&lt;startpage&gt;521&lt;/startpage&gt;&lt;revision_date&gt;99200806121200000000222000&lt;/revision_date&gt;&lt;publication_date&gt;99200808081200000000222000&lt;/publication_date&gt;&lt;url&gt;http://eutils.ncbi.nlm.nih.gov/entrez/eutils/elink.fcgi?dbfrom=pubmed&amp;amp;id=18692474&amp;amp;retmode=ref&amp;amp;cmd=prlinks&lt;/url&gt;&lt;type&gt;400&lt;/type&gt;&lt;title&gt;Connecting microRNA genes to the core transcriptional regulatory circuitry of embryonic stem cells.&lt;/title&gt;&lt;location&gt;200,8,42.3632850,-71.0893880&lt;/location&gt;&lt;submission_date&gt;99200803311200000000222000&lt;/submission_date&gt;&lt;number&gt;3&lt;/number&gt;&lt;institution&gt;Whitehead Institute for Biomedical Research, 9 Cambridge Center, Cambridge, MA 02142, USA.&lt;/institution&gt;&lt;subtype&gt;400&lt;/subtype&gt;&lt;endpage&gt;533&lt;/endpage&gt;&lt;bundle&gt;&lt;publication&gt;&lt;publisher&gt;Elsevier Ltd&lt;/publisher&gt;&lt;url&gt;http://www.cell.com/&lt;/url&gt;&lt;title&gt;Cell&lt;/title&gt;&lt;type&gt;-100&lt;/type&gt;&lt;subtype&gt;-100&lt;/subtype&gt;&lt;uuid&gt;8CFA51D8-691D-4D35-9178-8A5217A71525&lt;/uuid&gt;&lt;/publication&gt;&lt;/bundle&gt;&lt;authors&gt;&lt;author&gt;&lt;firstName&gt;Alexander&lt;/firstName&gt;&lt;lastName&gt;Marson&lt;/lastName&gt;&lt;/author&gt;&lt;author&gt;&lt;firstName&gt;Stuart&lt;/firstName&gt;&lt;middleNames&gt;S&lt;/middleNames&gt;&lt;lastName&gt;Levine&lt;/lastName&gt;&lt;/author&gt;&lt;author&gt;&lt;firstName&gt;Megan&lt;/firstName&gt;&lt;middleNames&gt;F&lt;/middleNames&gt;&lt;lastName&gt;Cole&lt;/lastName&gt;&lt;/author&gt;&lt;author&gt;&lt;firstName&gt;Garrett&lt;/firstName&gt;&lt;middleNames&gt;M&lt;/middleNames&gt;&lt;lastName&gt;Frampton&lt;/lastName&gt;&lt;/author&gt;&lt;author&gt;&lt;firstName&gt;Tobias&lt;/firstName&gt;&lt;lastName&gt;Brambrink&lt;/lastName&gt;&lt;/author&gt;&lt;author&gt;&lt;firstName&gt;Sarah&lt;/firstName&gt;&lt;lastName&gt;Johnstone&lt;/lastName&gt;&lt;/author&gt;&lt;author&gt;&lt;firstName&gt;Matthew&lt;/firstName&gt;&lt;middleNames&gt;G&lt;/middleNames&gt;&lt;lastName&gt;Guenther&lt;/lastName&gt;&lt;/author&gt;&lt;author&gt;&lt;firstName&gt;Wendy&lt;/firstName&gt;&lt;middleNames&gt;K&lt;/middleNames&gt;&lt;lastName&gt;Johnston&lt;/lastName&gt;&lt;/author&gt;&lt;author&gt;&lt;firstName&gt;Marius&lt;/firstName&gt;&lt;lastName&gt;Wernig&lt;/lastName&gt;&lt;/author&gt;&lt;author&gt;&lt;firstName&gt;Jamie&lt;/firstName&gt;&lt;lastName&gt;Newman&lt;/lastName&gt;&lt;/author&gt;&lt;author&gt;&lt;firstName&gt;J&lt;/firstName&gt;&lt;middleNames&gt;Mauro&lt;/middleNames&gt;&lt;lastName&gt;Calabrese&lt;/lastName&gt;&lt;/author&gt;&lt;author&gt;&lt;firstName&gt;Lucas&lt;/firstName&gt;&lt;middleNames&gt;M&lt;/middleNames&gt;&lt;lastName&gt;Dennis&lt;/lastName&gt;&lt;/author&gt;&lt;author&gt;&lt;firstName&gt;Thomas&lt;/firstName&gt;&lt;middleNames&gt;L&lt;/middleNames&gt;&lt;lastName&gt;Volkert&lt;/lastName&gt;&lt;/author&gt;&lt;author&gt;&lt;firstName&gt;Sumeet&lt;/firstName&gt;&lt;lastName&gt;Gupta&lt;/lastName&gt;&lt;/author&gt;&lt;author&gt;&lt;firstName&gt;Jennifer&lt;/firstName&gt;&lt;lastName&gt;Love&lt;/lastName&gt;&lt;/author&gt;&lt;author&gt;&lt;firstName&gt;Nancy&lt;/firstName&gt;&lt;lastName&gt;Hannett&lt;/lastName&gt;&lt;/author&gt;&lt;author&gt;&lt;firstName&gt;Phillip&lt;/firstName&gt;&lt;middleNames&gt;A&lt;/middleNames&gt;&lt;lastName&gt;Sharp&lt;/lastName&gt;&lt;/author&gt;&lt;author&gt;&lt;firstName&gt;David&lt;/firstName&gt;&lt;middleNames&gt;P&lt;/middleNames&gt;&lt;lastName&gt;Bartel&lt;/lastName&gt;&lt;/author&gt;&lt;author&gt;&lt;firstName&gt;Rudolf&lt;/firstName&gt;&lt;lastName&gt;Jaenisch&lt;/lastName&gt;&lt;/author&gt;&lt;author&gt;&lt;firstName&gt;Richard&lt;/firstName&gt;&lt;middleNames&gt;A&lt;/middleNames&gt;&lt;lastName&gt;Young&lt;/lastName&gt;&lt;/author&gt;&lt;/authors&gt;&lt;/publication&gt;&lt;publication&gt;&lt;volume&gt;27&lt;/volume&gt;&lt;number&gt;5&lt;/number&gt;&lt;startpage&gt;459&lt;/startpage&gt;&lt;title&gt;Embryonic stem cell–specific microRNAs promote induced pluripotency&lt;/title&gt;&lt;uuid&gt;A01D9099-1624-43A8-924B-33765CA19ECA&lt;/uuid&gt;&lt;subtype&gt;400&lt;/subtype&gt;&lt;endpage&gt;461&lt;/endpage&gt;&lt;type&gt;400&lt;/type&gt;&lt;publication_date&gt;99200900001200000000200000&lt;/publication_date&gt;&lt;bundle&gt;&lt;publication&gt;&lt;publisher&gt;Nature Publishing Group&lt;/publisher&gt;&lt;url&gt;http://www.nature.com/nbt&lt;/url&gt;&lt;title&gt;Nature Biotechnology&lt;/title&gt;&lt;type&gt;-100&lt;/type&gt;&lt;subtype&gt;-100&lt;/subtype&gt;&lt;uuid&gt;35051E50-24F3-4E39-98D2-EB05495BFD5B&lt;/uuid&gt;&lt;/publication&gt;&lt;/bundle&gt;&lt;authors&gt;&lt;author&gt;&lt;firstName&gt;RL&lt;/firstName&gt;&lt;lastName&gt;Judson&lt;/lastName&gt;&lt;/author&gt;&lt;author&gt;&lt;firstName&gt;JE&lt;/firstName&gt;&lt;lastName&gt;Babiarz&lt;/lastName&gt;&lt;/author&gt;&lt;author&gt;&lt;firstName&gt;M&lt;/firstName&gt;&lt;lastName&gt;Venere&lt;/lastName&gt;&lt;/author&gt;&lt;author&gt;&lt;firstName&gt;R&lt;/firstName&gt;&lt;lastName&gt;Blelloch&lt;/lastName&gt;&lt;/author&gt;&lt;/authors&gt;&lt;/publication&gt;&lt;publication&gt;&lt;uuid&gt;DCFD4F4F-7E76-4AA5-826F-DECC8FEF2062&lt;/uuid&gt;&lt;volume&gt;7&lt;/volume&gt;&lt;accepted_date&gt;99201004211200000000222000&lt;/accepted_date&gt;&lt;doi&gt;10.1016/j.stem.2010.04.014&lt;/doi&gt;&lt;startpage&gt;51&lt;/startpage&gt;&lt;revision_date&gt;99201003261200000000222000&lt;/revision_date&gt;&lt;publication_date&gt;99201007021200000000222000&lt;/publication_date&gt;&lt;url&gt;http://eutils.ncbi.nlm.nih.gov/entrez/eutils/elink.fcgi?dbfrom=pubmed&amp;amp;id=20621050&amp;amp;retmode=ref&amp;amp;cmd=prlinks&lt;/url&gt;&lt;type&gt;400&lt;/type&gt;&lt;title&gt;A mesenchymal-to-epithelial transition initiates and is required for the nuclear reprogramming of mouse fibroblasts.&lt;/title&gt;&lt;location&gt;602,0,0,0&lt;/location&gt;&lt;submission_date&gt;99201002071200000000222000&lt;/submission_date&gt;&lt;number&gt;1&lt;/number&gt;&lt;institution&gt;Stem Cell and Cancer Biology Group, Key Laboratory of Regenerative Biology, South China Institute for Stem Cell Biology and Regenerative Medicine, Guangzhou Institutes of Biomedicine and Health, Chinese Academy of Sciences, Guangzhou 510530, China.&lt;/institution&gt;&lt;subtype&gt;400&lt;/subtype&gt;&lt;endpage&gt;63&lt;/endpage&gt;&lt;bundle&gt;&lt;publication&gt;&lt;publisher&gt;Elsevier&lt;/publisher&gt;&lt;url&gt;http://www.cell.com/cell-stem-cell/&lt;/url&gt;&lt;title&gt;Cell Stem Cell&lt;/title&gt;&lt;type&gt;-100&lt;/type&gt;&lt;subtype&gt;-100&lt;/subtype&gt;&lt;uuid&gt;251071B3-37C2-406E-B505-51AAE1B5278C&lt;/uuid&gt;&lt;/publication&gt;&lt;/bundle&gt;&lt;authors&gt;&lt;author&gt;&lt;firstName&gt;Ronghui&lt;/firstName&gt;&lt;lastName&gt;Li&lt;/lastName&gt;&lt;/author&gt;&lt;author&gt;&lt;firstName&gt;Jialiang&lt;/firstName&gt;&lt;lastName&gt;Liang&lt;/lastName&gt;&lt;/author&gt;&lt;author&gt;&lt;firstName&gt;Su&lt;/firstName&gt;&lt;lastName&gt;Ni&lt;/lastName&gt;&lt;/author&gt;&lt;author&gt;&lt;firstName&gt;Ting&lt;/firstName&gt;&lt;lastName&gt;Zhou&lt;/lastName&gt;&lt;/author&gt;&lt;author&gt;&lt;firstName&gt;Xiaobing&lt;/firstName&gt;&lt;lastName&gt;Qing&lt;/lastName&gt;&lt;/author&gt;&lt;author&gt;&lt;firstName&gt;Huapeng&lt;/firstName&gt;&lt;lastName&gt;Li&lt;/lastName&gt;&lt;/author&gt;&lt;author&gt;&lt;firstName&gt;Wenzhi&lt;/firstName&gt;&lt;lastName&gt;He&lt;/lastName&gt;&lt;/author&gt;&lt;author&gt;&lt;firstName&gt;Jiekai&lt;/firstName&gt;&lt;lastName&gt;Chen&lt;/lastName&gt;&lt;/author&gt;&lt;author&gt;&lt;firstName&gt;Feng&lt;/firstName&gt;&lt;lastName&gt;Li&lt;/lastName&gt;&lt;/author&gt;&lt;author&gt;&lt;firstName&gt;Qiang&lt;/firstName&gt;&lt;lastName&gt;Zhuang&lt;/lastName&gt;&lt;/author&gt;&lt;author&gt;&lt;firstName&gt;Baoming&lt;/firstName&gt;&lt;lastName&gt;Qin&lt;/lastName&gt;&lt;/author&gt;&lt;author&gt;&lt;firstName&gt;Jianyong&lt;/firstName&gt;&lt;lastName&gt;Xu&lt;/lastName&gt;&lt;/author&gt;&lt;author&gt;&lt;firstName&gt;Wen&lt;/firstName&gt;&lt;lastName&gt;Li&lt;/lastName&gt;&lt;/author&gt;&lt;author&gt;&lt;firstName&gt;Jiayin&lt;/firstName&gt;&lt;lastName&gt;Yang&lt;/lastName&gt;&lt;/author&gt;&lt;author&gt;&lt;firstName&gt;Yi&lt;/firstName&gt;&lt;lastName&gt;Gan&lt;/lastName&gt;&lt;/author&gt;&lt;author&gt;&lt;firstName&gt;Dajiang&lt;/firstName&gt;&lt;lastName&gt;Qin&lt;/lastName&gt;&lt;/author&gt;&lt;author&gt;&lt;firstName&gt;Shipeng&lt;/firstName&gt;&lt;lastName&gt;Feng&lt;/lastName&gt;&lt;/author&gt;&lt;author&gt;&lt;firstName&gt;Hong&lt;/firstName&gt;&lt;lastName&gt;Song&lt;/lastName&gt;&lt;/author&gt;&lt;author&gt;&lt;firstName&gt;Dongshan&lt;/firstName&gt;&lt;lastName&gt;Yang&lt;/lastName&gt;&lt;/author&gt;&lt;author&gt;&lt;firstName&gt;Biliang&lt;/firstName&gt;&lt;lastName&gt;Zhang&lt;/lastName&gt;&lt;/author&gt;&lt;author&gt;&lt;firstName&gt;Lingwen&lt;/firstName&gt;&lt;lastName&gt;Zeng&lt;/lastName&gt;&lt;/author&gt;&lt;author&gt;&lt;firstName&gt;Liangxue&lt;/firstName&gt;&lt;lastName&gt;Lai&lt;/lastName&gt;&lt;/author&gt;&lt;author&gt;&lt;firstName&gt;Miguel&lt;/firstName&gt;&lt;middleNames&gt;Angel&lt;/middleNames&gt;&lt;lastName&gt;Esteban&lt;/lastName&gt;&lt;/author&gt;&lt;author&gt;&lt;firstName&gt;Duanqing&lt;/firstName&gt;&lt;lastName&gt;Pei&lt;/lastName&gt;&lt;/author&gt;&lt;/authors&gt;&lt;/publication&gt;&lt;publication&gt;&lt;uuid&gt;A8CE821A-7EFD-48F1-88D9-5D5E9208E6D7&lt;/uuid&gt;&lt;volume&gt;463&lt;/volume&gt;&lt;doi&gt;doi:10.1038/nature08725&lt;/doi&gt;&lt;startpage&gt;621&lt;/startpage&gt;&lt;publication_date&gt;99201001061200000000222000&lt;/publication_date&gt;&lt;url&gt;http://www.nature.com/doifinder/10.1038/nature08725&lt;/url&gt;&lt;type&gt;400&lt;/type&gt;&lt;title&gt;Opposing microRNA families regulate self-renewal in mouse embryonic stem cells&lt;/title&gt;&lt;publisher&gt;Nature Publishing Group&lt;/publisher&gt;&lt;number&gt;7281&lt;/number&gt;&lt;subtype&gt;400&lt;/subtype&gt;&lt;endpage&gt;626&lt;/endpage&gt;&lt;bundle&gt;&lt;publication&gt;&lt;publisher&gt;Nature Publishing Group&lt;/publisher&gt;&lt;url&gt;http://www.nature.com/nature&lt;/url&gt;&lt;title&gt;Nature&lt;/title&gt;&lt;type&gt;-100&lt;/type&gt;&lt;subtype&gt;-100&lt;/subtype&gt;&lt;uuid&gt;A9981A98-6E1D-4EE5-92E0-51FD4B706C9F&lt;/uuid&gt;&lt;/publication&gt;&lt;/bundle&gt;&lt;authors&gt;&lt;author&gt;&lt;firstName&gt;Collin&lt;/firstName&gt;&lt;lastName&gt;Melton&lt;/lastName&gt;&lt;/author&gt;&lt;author&gt;&lt;firstName&gt;Robert&lt;/firstName&gt;&lt;middleNames&gt;L&lt;/middleNames&gt;&lt;lastName&gt;Judson&lt;/lastName&gt;&lt;/author&gt;&lt;author&gt;&lt;firstName&gt;Robert&lt;/firstName&gt;&lt;lastName&gt;Blelloch&lt;/lastName&gt;&lt;/author&gt;&lt;/authors&gt;&lt;/publication&gt;&lt;publication&gt;&lt;uuid&gt;A78D24DC-3E30-4CB4-852F-39D8DA2F2D4E&lt;/uuid&gt;&lt;volume&gt;8&lt;/volume&gt;&lt;accepted_date&gt;99201103031200000000222000&lt;/accepted_date&gt;&lt;doi&gt;10.1016/j.stem.2011.03.001&lt;/doi&gt;&lt;startpage&gt;376&lt;/startpage&gt;&lt;revision_date&gt;99201102021200000000222000&lt;/revision_date&gt;&lt;publication_date&gt;99201104081200000000222000&lt;/publication_date&gt;&lt;url&gt;http://eutils.ncbi.nlm.nih.gov/entrez/eutils/elink.fcgi?dbfrom=pubmed&amp;amp;id=21474102&amp;amp;retmode=ref&amp;amp;cmd=prlinks&lt;/url&gt;&lt;type&gt;400&lt;/type&gt;&lt;title&gt;Highly efficient miRNA-mediated reprogramming of mouse and human somatic cells to pluripotency.&lt;/title&gt;&lt;location&gt;200,9,39.9497802,-75.1950559&lt;/location&gt;&lt;submission_date&gt;99201009081200000000222000&lt;/submission_date&gt;&lt;number&gt;4&lt;/number&gt;&lt;institution&gt;Department of Medicine, University of Pennsylvania, Philadelphia, PA 19104, USA.&lt;/institution&gt;&lt;subtype&gt;400&lt;/subtype&gt;&lt;endpage&gt;388&lt;/endpage&gt;&lt;bundle&gt;&lt;publication&gt;&lt;publisher&gt;Elsevier&lt;/publisher&gt;&lt;url&gt;http://www.cell.com/cell-stem-cell/&lt;/url&gt;&lt;title&gt;Cell Stem Cell&lt;/title&gt;&lt;type&gt;-100&lt;/type&gt;&lt;subtype&gt;-100&lt;/subtype&gt;&lt;uuid&gt;251071B3-37C2-406E-B505-51AAE1B5278C&lt;/uuid&gt;&lt;/publication&gt;&lt;/bundle&gt;&lt;authors&gt;&lt;author&gt;&lt;firstName&gt;Frederick&lt;/firstName&gt;&lt;lastName&gt;Anokye-Danso&lt;/lastName&gt;&lt;/author&gt;&lt;author&gt;&lt;firstName&gt;Chinmay&lt;/firstName&gt;&lt;middleNames&gt;M&lt;/middleNames&gt;&lt;lastName&gt;Trivedi&lt;/lastName&gt;&lt;/author&gt;&lt;author&gt;&lt;firstName&gt;Denise&lt;/firstName&gt;&lt;lastName&gt;Juhr&lt;/lastName&gt;&lt;/author&gt;&lt;author&gt;&lt;firstName&gt;Mudit&lt;/firstName&gt;&lt;lastName&gt;Gupta&lt;/lastName&gt;&lt;/author&gt;&lt;author&gt;&lt;firstName&gt;Zheng&lt;/firstName&gt;&lt;lastName&gt;Cui&lt;/lastName&gt;&lt;/author&gt;&lt;author&gt;&lt;firstName&gt;Ying&lt;/firstName&gt;&lt;lastName&gt;Tian&lt;/lastName&gt;&lt;/author&gt;&lt;author&gt;&lt;firstName&gt;Yuzhen&lt;/firstName&gt;&lt;lastName&gt;Zhang&lt;/lastName&gt;&lt;/author&gt;&lt;author&gt;&lt;firstName&gt;Wenli&lt;/firstName&gt;&lt;lastName&gt;Yang&lt;/lastName&gt;&lt;/author&gt;&lt;author&gt;&lt;firstName&gt;Peter&lt;/firstName&gt;&lt;middleNames&gt;J&lt;/middleNames&gt;&lt;lastName&gt;Gruber&lt;/lastName&gt;&lt;/author&gt;&lt;author&gt;&lt;firstName&gt;Jonathan&lt;/firstName&gt;&lt;middleNames&gt;A&lt;/middleNames&gt;&lt;lastName&gt;Epstein&lt;/lastName&gt;&lt;/author&gt;&lt;author&gt;&lt;firstName&gt;Edward&lt;/firstName&gt;&lt;middleNames&gt;E&lt;/middleNames&gt;&lt;lastName&gt;Morrisey&lt;/lastName&gt;&lt;/author&gt;&lt;/authors&gt;&lt;/publication&gt;&lt;publication&gt;&lt;uuid&gt;E0C75BF1-A091-435F-AB34-55A8D502C610&lt;/uuid&gt;&lt;volume&gt;13&lt;/volume&gt;&lt;accepted_date&gt;99201109221200000000222000&lt;/accepted_date&gt;&lt;doi&gt;10.1038/ncb2366&lt;/doi&gt;&lt;startpage&gt;1353&lt;/startpage&gt;&lt;publication_date&gt;99201111001200000000220000&lt;/publication_date&gt;&lt;url&gt;http://eutils.ncbi.nlm.nih.gov/entrez/eutils/elink.fcgi?dbfrom=pubmed&amp;amp;id=22020437&amp;amp;retmode=ref&amp;amp;cmd=prlinks&lt;/url&gt;&lt;type&gt;400&lt;/type&gt;&lt;title&gt;miR-34 miRNAs provide a barrier for somatic cell reprogramming.&lt;/title&gt;&lt;location&gt;200,9,37.8717443,-122.2609626&lt;/location&gt;&lt;submission_date&gt;99201105101200000000222000&lt;/submission_date&gt;&lt;number&gt;11&lt;/number&gt;&lt;institution&gt;Division of Cellular and Developmental Biology, Molecular and Cell Biology Department, University of California at Berkeley, Berkeley, California 94705, USA.&lt;/institution&gt;&lt;subtype&gt;400&lt;/subtype&gt;&lt;endpage&gt;1360&lt;/endpage&gt;&lt;bundle&gt;&lt;publication&gt;&lt;publisher&gt;Nature Publishing Group&lt;/publisher&gt;&lt;title&gt;Nature Cell Biology&lt;/title&gt;&lt;type&gt;-100&lt;/type&gt;&lt;subtype&gt;-100&lt;/subtype&gt;&lt;uuid&gt;86908496-73FA-4C12-AE86-87C9BC32DF95&lt;/uuid&gt;&lt;/publication&gt;&lt;/bundle&gt;&lt;authors&gt;&lt;author&gt;&lt;firstName&gt;Yong&lt;/firstName&gt;&lt;middleNames&gt;Jin&lt;/middleNames&gt;&lt;lastName&gt;Choi&lt;/lastName&gt;&lt;/author&gt;&lt;author&gt;&lt;firstName&gt;Chao-Po&lt;/firstName&gt;&lt;lastName&gt;Lin&lt;/lastName&gt;&lt;/author&gt;&lt;author&gt;&lt;firstName&gt;Jaclyn&lt;/firstName&gt;&lt;middleNames&gt;J&lt;/middleNames&gt;&lt;lastName&gt;Ho&lt;/lastName&gt;&lt;/author&gt;&lt;author&gt;&lt;firstName&gt;Xingyue&lt;/firstName&gt;&lt;lastName&gt;He&lt;/lastName&gt;&lt;/author&gt;&lt;author&gt;&lt;firstName&gt;Nobuhiro&lt;/firstName&gt;&lt;lastName&gt;Okada&lt;/lastName&gt;&lt;/author&gt;&lt;author&gt;&lt;firstName&gt;Pengcheng&lt;/firstName&gt;&lt;lastName&gt;Bu&lt;/lastName&gt;&lt;/author&gt;&lt;author&gt;&lt;firstName&gt;Yingchao&lt;/firstName&gt;&lt;lastName&gt;Zhong&lt;/lastName&gt;&lt;/author&gt;&lt;author&gt;&lt;firstName&gt;Sang&lt;/firstName&gt;&lt;middleNames&gt;Yong&lt;/middleNames&gt;&lt;lastName&gt;Kim&lt;/lastName&gt;&lt;/author&gt;&lt;author&gt;&lt;firstName&gt;Margaux&lt;/firstName&gt;&lt;middleNames&gt;J&lt;/middleNames&gt;&lt;lastName&gt;Bennett&lt;/lastName&gt;&lt;/author&gt;&lt;author&gt;&lt;firstName&gt;Caifu&lt;/firstName&gt;&lt;lastName&gt;Chen&lt;/lastName&gt;&lt;/author&gt;&lt;author&gt;&lt;firstName&gt;Arzu&lt;/firstName&gt;&lt;lastName&gt;Ozturk&lt;/lastName&gt;&lt;/author&gt;&lt;author&gt;&lt;firstName&gt;Geoffrey&lt;/firstName&gt;&lt;middleNames&gt;G&lt;/middleNames&gt;&lt;lastName&gt;Hicks&lt;/lastName&gt;&lt;/author&gt;&lt;author&gt;&lt;firstName&gt;Greg&lt;/firstName&gt;&lt;middleNames&gt;J&lt;/middleNames&gt;&lt;lastName&gt;Hannon&lt;/lastName&gt;&lt;/author&gt;&lt;author&gt;&lt;firstName&gt;Lin&lt;/firstName&gt;&lt;lastName&gt;He&lt;/lastName&gt;&lt;/author&gt;&lt;/authors&gt;&lt;/publication&gt;&lt;publication&gt;&lt;volume&gt;286&lt;/volume&gt;&lt;publication_date&gt;99201105061200000000222000&lt;/publication_date&gt;&lt;number&gt;19&lt;/number&gt;&lt;doi&gt;10.1074/jbc.C111.235960&lt;/doi&gt;&lt;startpage&gt;17359&lt;/startpage&gt;&lt;title&gt;MicroRNA Cluster 302-367 Enhances Somatic Cell Reprogramming by Accelerating a Mesenchymal-to-Epithelial Transition&lt;/title&gt;&lt;uuid&gt;4C2F3299-84CF-43CE-B37C-2B10C8FA1371&lt;/uuid&gt;&lt;subtype&gt;400&lt;/subtype&gt;&lt;endpage&gt;17364&lt;/endpage&gt;&lt;type&gt;400&lt;/type&gt;&lt;url&gt;http://www.jbc.org/cgi/doi/10.1074/jbc.C111.235960&lt;/url&gt;&lt;bundle&gt;&lt;publication&gt;&lt;url&gt;http://www.jbc.org&lt;/url&gt;&lt;title&gt;Journal of Biological Chemistry&lt;/title&gt;&lt;type&gt;-100&lt;/type&gt;&lt;subtype&gt;-100&lt;/subtype&gt;&lt;uuid&gt;06FB1EF6-1A58-4833-8C57-C1CFD20407CB&lt;/uuid&gt;&lt;/publication&gt;&lt;/bundle&gt;&lt;authors&gt;&lt;author&gt;&lt;firstName&gt;B&lt;/firstName&gt;&lt;lastName&gt;Liao&lt;/lastName&gt;&lt;/author&gt;&lt;author&gt;&lt;firstName&gt;X&lt;/firstName&gt;&lt;lastName&gt;Bao&lt;/lastName&gt;&lt;/author&gt;&lt;author&gt;&lt;firstName&gt;L&lt;/firstName&gt;&lt;lastName&gt;Liu&lt;/lastName&gt;&lt;/author&gt;&lt;author&gt;&lt;firstName&gt;S&lt;/firstName&gt;&lt;lastName&gt;Feng&lt;/lastName&gt;&lt;/author&gt;&lt;author&gt;&lt;firstName&gt;A&lt;/firstName&gt;&lt;lastName&gt;Zovoilis&lt;/lastName&gt;&lt;/author&gt;&lt;author&gt;&lt;firstName&gt;W&lt;/firstName&gt;&lt;lastName&gt;Liu&lt;/lastName&gt;&lt;/author&gt;&lt;author&gt;&lt;firstName&gt;Y&lt;/firstName&gt;&lt;lastName&gt;Xue&lt;/lastName&gt;&lt;/author&gt;&lt;author&gt;&lt;firstName&gt;J&lt;/firstName&gt;&lt;lastName&gt;Cai&lt;/lastName&gt;&lt;/author&gt;&lt;author&gt;&lt;firstName&gt;X&lt;/firstName&gt;&lt;lastName&gt;Guo&lt;/lastName&gt;&lt;/author&gt;&lt;author&gt;&lt;firstName&gt;B&lt;/firstName&gt;&lt;lastName&gt;Qin&lt;/lastName&gt;&lt;/author&gt;&lt;author&gt;&lt;firstName&gt;R&lt;/firstName&gt;&lt;lastName&gt;Zhang&lt;/lastName&gt;&lt;/author&gt;&lt;author&gt;&lt;firstName&gt;J&lt;/firstName&gt;&lt;lastName&gt;Wu&lt;/lastName&gt;&lt;/author&gt;&lt;author&gt;&lt;firstName&gt;L&lt;/firstName&gt;&lt;lastName&gt;Lai&lt;/lastName&gt;&lt;/author&gt;&lt;author&gt;&lt;firstName&gt;M&lt;/firstName&gt;&lt;lastName&gt;Teng&lt;/lastName&gt;&lt;/author&gt;&lt;author&gt;&lt;firstName&gt;L&lt;/firstName&gt;&lt;lastName&gt;Niu&lt;/lastName&gt;&lt;/author&gt;&lt;author&gt;&lt;firstName&gt;B&lt;/firstName&gt;&lt;lastName&gt;Zhang&lt;/lastName&gt;&lt;/author&gt;&lt;author&gt;&lt;firstName&gt;M&lt;/firstName&gt;&lt;middleNames&gt;A&lt;/middleNames&gt;&lt;lastName&gt;Esteban&lt;/lastName&gt;&lt;/author&gt;&lt;author&gt;&lt;firstName&gt;D&lt;/firstName&gt;&lt;lastName&gt;Pei&lt;/lastName&gt;&lt;/author&gt;&lt;/authors&gt;&lt;/publication&gt;&lt;publication&gt;&lt;uuid&gt;ED0D9A96-447E-48E6-A221-C2D77300C6A1&lt;/uuid&gt;&lt;volume&gt;12&lt;/volume&gt;&lt;doi&gt;10.1038/embor.2011.176&lt;/doi&gt;&lt;startpage&gt;1154&lt;/startpage&gt;&lt;publication_date&gt;99201111011200000000222000&lt;/publication_date&gt;&lt;url&gt;http://dx.doi.org/10.1038/embor.2011.176&lt;/url&gt;&lt;type&gt;400&lt;/type&gt;&lt;title&gt;miRNA screening reveals a new miRNA family stimulating iPS cell generation via regulation of Meox2&lt;/title&gt;&lt;publisher&gt;Nature Publishing Group&lt;/publisher&gt;&lt;number&gt;11&lt;/number&gt;&lt;subtype&gt;400&lt;/subtype&gt;&lt;endpage&gt;1160&lt;/endpage&gt;&lt;bundle&gt;&lt;publication&gt;&lt;publisher&gt;Nature Publishing Group&lt;/publisher&gt;&lt;url&gt;http://www.nature.com/nmeth/&lt;/url&gt;&lt;title&gt;Nature Publishing Group&lt;/title&gt;&lt;type&gt;-100&lt;/type&gt;&lt;subtype&gt;-100&lt;/subtype&gt;&lt;uuid&gt;9E29B44C-7026-43B3-A918-EFE4AEB633B1&lt;/uuid&gt;&lt;/publication&gt;&lt;/bundle&gt;&lt;authors&gt;&lt;author&gt;&lt;firstName&gt;Nils&lt;/firstName&gt;&lt;lastName&gt;Pfaff&lt;/lastName&gt;&lt;/author&gt;&lt;author&gt;&lt;firstName&gt;Jan&lt;/firstName&gt;&lt;lastName&gt;Fiedler&lt;/lastName&gt;&lt;/author&gt;&lt;author&gt;&lt;firstName&gt;Angelika&lt;/firstName&gt;&lt;lastName&gt;Holzmann&lt;/lastName&gt;&lt;/author&gt;&lt;author&gt;&lt;firstName&gt;Axel&lt;/firstName&gt;&lt;lastName&gt;Schambach&lt;/lastName&gt;&lt;/author&gt;&lt;author&gt;&lt;firstName&gt;Thomas&lt;/firstName&gt;&lt;lastName&gt;Moritz&lt;/lastName&gt;&lt;/author&gt;&lt;author&gt;&lt;firstName&gt;Tobias&lt;/firstName&gt;&lt;lastName&gt;Cantz&lt;/lastName&gt;&lt;/author&gt;&lt;author&gt;&lt;firstName&gt;Thomas&lt;/firstName&gt;&lt;lastName&gt;Thum&lt;/lastName&gt;&lt;/author&gt;&lt;/authors&gt;&lt;/publication&gt;&lt;publication&gt;&lt;volume&gt;17&lt;/volume&gt;&lt;publication_date&gt;99201107181200000000222000&lt;/publication_date&gt;&lt;number&gt;8&lt;/number&gt;&lt;doi&gt;10.1261/rna.2664111&lt;/doi&gt;&lt;startpage&gt;1451&lt;/startpage&gt;&lt;title&gt;microRNAs modulate iPS cell generation&lt;/title&gt;&lt;uuid&gt;419A456B-D882-45D9-A8CB-7A230342EAC2&lt;/uuid&gt;&lt;subtype&gt;400&lt;/subtype&gt;&lt;endpage&gt;1460&lt;/endpage&gt;&lt;type&gt;400&lt;/type&gt;&lt;url&gt;http://rnajournal.cshlp.org/cgi/doi/10.1261/rna.2664111&lt;/url&gt;&lt;bundle&gt;&lt;publication&gt;&lt;title&gt;RNA&lt;/title&gt;&lt;type&gt;-100&lt;/type&gt;&lt;subtype&gt;-100&lt;/subtype&gt;&lt;uuid&gt;0741EA07-3745-4981-B978-7868DA63D959&lt;/uuid&gt;&lt;/publication&gt;&lt;/bundle&gt;&lt;authors&gt;&lt;author&gt;&lt;firstName&gt;C&lt;/firstName&gt;&lt;middleNames&gt;S&lt;/middleNames&gt;&lt;lastName&gt;Yang&lt;/lastName&gt;&lt;/author&gt;&lt;author&gt;&lt;firstName&gt;Z&lt;/firstName&gt;&lt;lastName&gt;Li&lt;/lastName&gt;&lt;/author&gt;&lt;author&gt;&lt;firstName&gt;T&lt;/firstName&gt;&lt;middleNames&gt;M&lt;/middleNames&gt;&lt;lastName&gt;Rana&lt;/lastName&gt;&lt;/author&gt;&lt;/authors&gt;&lt;/publication&gt;&lt;publication&gt;&lt;uuid&gt;D22E66C5-5500-4AEA-9411-1D379491DBCF&lt;/uuid&gt;&lt;volume&gt;30&lt;/volume&gt;&lt;doi&gt;10.1002/stem.1121&lt;/doi&gt;&lt;startpage&gt;1405&lt;/startpage&gt;&lt;publication_date&gt;99201207001200000000220000&lt;/publication_date&gt;&lt;url&gt;http://eutils.ncbi.nlm.nih.gov/entrez/eutils/elink.fcgi?dbfrom=pubmed&amp;amp;id=22553189&amp;amp;retmode=ref&amp;amp;cmd=prlinks&lt;/url&gt;&lt;type&gt;400&lt;/type&gt;&lt;title&gt;p53-facilitated miR-199a-3p regulates somatic cell reprogramming.&lt;/title&gt;&lt;location&gt;200,4,31.8214480,117.2272710&lt;/location&gt;&lt;institution&gt;Hefei National Laboratory for Physical Sciences at Microscale and School of Life Sciences, University of Science and Technology of China, Hefei, Anhui, People's Republic of China.&lt;/institution&gt;&lt;number&gt;7&lt;/number&gt;&lt;subtype&gt;400&lt;/subtype&gt;&lt;endpage&gt;1413&lt;/endpage&gt;&lt;bundle&gt;&lt;publication&gt;&lt;title&gt;Stem Cells&lt;/title&gt;&lt;type&gt;-100&lt;/type&gt;&lt;subtype&gt;-100&lt;/subtype&gt;&lt;uuid&gt;31D5A8B2-0FD1-4B2D-827A-457A4CC51590&lt;/uuid&gt;&lt;/publication&gt;&lt;/bundle&gt;&lt;authors&gt;&lt;author&gt;&lt;firstName&gt;Jiaxu&lt;/firstName&gt;&lt;lastName&gt;Wang&lt;/lastName&gt;&lt;/author&gt;&lt;author&gt;&lt;firstName&gt;Qianqian&lt;/firstName&gt;&lt;lastName&gt;He&lt;/lastName&gt;&lt;/author&gt;&lt;author&gt;&lt;firstName&gt;Chuanchun&lt;/firstName&gt;&lt;lastName&gt;Han&lt;/lastName&gt;&lt;/author&gt;&lt;author&gt;&lt;firstName&gt;Hao&lt;/firstName&gt;&lt;lastName&gt;Gu&lt;/lastName&gt;&lt;/author&gt;&lt;author&gt;&lt;firstName&gt;Lei&lt;/firstName&gt;&lt;lastName&gt;Jin&lt;/lastName&gt;&lt;/author&gt;&lt;author&gt;&lt;firstName&gt;Qun&lt;/firstName&gt;&lt;lastName&gt;Li&lt;/lastName&gt;&lt;/author&gt;&lt;author&gt;&lt;firstName&gt;Yide&lt;/firstName&gt;&lt;lastName&gt;Mei&lt;/lastName&gt;&lt;/author&gt;&lt;author&gt;&lt;firstName&gt;Mian&lt;/firstName&gt;&lt;lastName&gt;Wu&lt;/lastName&gt;&lt;/author&gt;&lt;/authors&gt;&lt;/publication&gt;&lt;publication&gt;&lt;volume&gt;30&lt;/volume&gt;&lt;publication_date&gt;99201204091200000000222000&lt;/publication_date&gt;&lt;number&gt;5&lt;/number&gt;&lt;doi&gt;10.1002/stem.1064&lt;/doi&gt;&lt;startpage&gt;956&lt;/startpage&gt;&lt;title&gt;miR-125b Is an Adhesion-Regulated microRNA that Protects Mesenchymal Stem Cells from Anoikis&lt;/title&gt;&lt;uuid&gt;22554BBB-2605-4780-A2B8-DB9ED2F8C4D6&lt;/uuid&gt;&lt;subtype&gt;400&lt;/subtype&gt;&lt;endpage&gt;964&lt;/endpage&gt;&lt;type&gt;400&lt;/type&gt;&lt;url&gt;http://doi.wiley.com/10.1002/stem.1064&lt;/url&gt;&lt;bundle&gt;&lt;publication&gt;&lt;title&gt;Stem Cells&lt;/title&gt;&lt;type&gt;-100&lt;/type&gt;&lt;subtype&gt;-100&lt;/subtype&gt;&lt;uuid&gt;31D5A8B2-0FD1-4B2D-827A-457A4CC51590&lt;/uuid&gt;&lt;/publication&gt;&lt;/bundle&gt;&lt;authors&gt;&lt;author&gt;&lt;firstName&gt;Xiang&lt;/firstName&gt;&lt;lastName&gt;Yu&lt;/lastName&gt;&lt;/author&gt;&lt;author&gt;&lt;firstName&gt;Daniel&lt;/firstName&gt;&lt;middleNames&gt;M&lt;/middleNames&gt;&lt;lastName&gt;Cohen&lt;/lastName&gt;&lt;/author&gt;&lt;author&gt;&lt;firstName&gt;Christopher&lt;/firstName&gt;&lt;middleNames&gt;S&lt;/middleNames&gt;&lt;lastName&gt;Chen&lt;/lastName&gt;&lt;/author&gt;&lt;/authors&gt;&lt;/publication&gt;&lt;publication&gt;&lt;volume&gt;18&lt;/volume&gt;&lt;number&gt;5&lt;/number&gt;&lt;doi&gt;10.1089/scd.2008.0247&lt;/doi&gt;&lt;startpage&gt;749&lt;/startpage&gt;&lt;title&gt;MicroRNA Profiling of Human-Induced Pluripotent Stem Cells&lt;/title&gt;&lt;uuid&gt;8D8EB4D6-1416-4C39-AFDB-00DB6C4DC104&lt;/uuid&gt;&lt;subtype&gt;400&lt;/subtype&gt;&lt;endpage&gt;758&lt;/endpage&gt;&lt;type&gt;400&lt;/type&gt;&lt;publication_date&gt;99200906011200000000222000&lt;/publication_date&gt;&lt;bundle&gt;&lt;publication&gt;&lt;title&gt;Stem Cells and Development&lt;/title&gt;&lt;type&gt;-100&lt;/type&gt;&lt;subtype&gt;-100&lt;/subtype&gt;&lt;uuid&gt;A73B282A-DC03-488C-8F86-7A5CF5B9C66E&lt;/uuid&gt;&lt;/publication&gt;&lt;/bundle&gt;&lt;authors&gt;&lt;author&gt;&lt;firstName&gt;Kitchener&lt;/firstName&gt;&lt;middleNames&gt;D&lt;/middleNames&gt;&lt;lastName&gt;Wilson&lt;/lastName&gt;&lt;/author&gt;&lt;author&gt;&lt;firstName&gt;Shivkumar&lt;/firstName&gt;&lt;lastName&gt;Venkatasubrahmanyam&lt;/lastName&gt;&lt;/author&gt;&lt;author&gt;&lt;firstName&gt;Fangjun&lt;/firstName&gt;&lt;lastName&gt;Jia&lt;/lastName&gt;&lt;/author&gt;&lt;author&gt;&lt;firstName&gt;Ning&lt;/firstName&gt;&lt;lastName&gt;Sun&lt;/lastName&gt;&lt;/author&gt;&lt;author&gt;&lt;firstName&gt;Atul&lt;/firstName&gt;&lt;middleNames&gt;J&lt;/middleNames&gt;&lt;lastName&gt;Butte&lt;/lastName&gt;&lt;/author&gt;&lt;author&gt;&lt;firstName&gt;Joseph&lt;/firstName&gt;&lt;middleNames&gt;C&lt;/middleNames&gt;&lt;lastName&gt;Wu&lt;/lastName&gt;&lt;/author&gt;&lt;/authors&gt;&lt;/publication&gt;&lt;publication&gt;&lt;volume&gt;11&lt;/volume&gt;&lt;publication_date&gt;99201007231200000000222000&lt;/publication_date&gt;&lt;number&gt;8&lt;/number&gt;&lt;doi&gt;10.1038/embor.2010.102&lt;/doi&gt;&lt;startpage&gt;590&lt;/startpage&gt;&lt;title&gt;The role of miRNAs and endogenous siRNAs in maternal-to-zygotic reprogramming and the establishment of pluripotency&lt;/title&gt;&lt;uuid&gt;2C7F5C2C-F164-4A06-9806-E8B9130B9C80&lt;/uuid&gt;&lt;subtype&gt;400&lt;/subtype&gt;&lt;endpage&gt;597&lt;/endpage&gt;&lt;type&gt;400&lt;/type&gt;&lt;url&gt;http://www.nature.com/doifinder/10.1038/embor.2010.102&lt;/url&gt;&lt;bundle&gt;&lt;publication&gt;&lt;publisher&gt;Nature Publishing Group&lt;/publisher&gt;&lt;url&gt;http://www.nature.com/nmeth/&lt;/url&gt;&lt;title&gt;Nature Publishing Group&lt;/title&gt;&lt;type&gt;-100&lt;/type&gt;&lt;subtype&gt;-100&lt;/subtype&gt;&lt;uuid&gt;9E29B44C-7026-43B3-A918-EFE4AEB633B1&lt;/uuid&gt;&lt;/publication&gt;&lt;/bundle&gt;&lt;authors&gt;&lt;author&gt;&lt;firstName&gt;Petr&lt;/firstName&gt;&lt;lastName&gt;Svoboda&lt;/lastName&gt;&lt;/author&gt;&lt;author&gt;&lt;firstName&gt;Matyas&lt;/firstName&gt;&lt;lastName&gt;Flemr&lt;/lastName&gt;&lt;/author&gt;&lt;/authors&gt;&lt;/publication&gt;&lt;publication&gt;&lt;volume&gt;11&lt;/volume&gt;&lt;publication_date&gt;99200508011200000000222000&lt;/publication_date&gt;&lt;number&gt;8&lt;/number&gt;&lt;doi&gt;10.1261/rna.2890305&lt;/doi&gt;&lt;startpage&gt;1245&lt;/startpage&gt;&lt;title&gt;Characterization of a highly variable eutherian microRNA gene&lt;/title&gt;&lt;uuid&gt;59F7B109-1D11-4885-A4AD-EBC8F1571BD9&lt;/uuid&gt;&lt;subtype&gt;400&lt;/subtype&gt;&lt;endpage&gt;1257&lt;/endpage&gt;&lt;type&gt;400&lt;/type&gt;&lt;url&gt;http://www.rnajournal.org/cgi/doi/10.1261/rna.2890305&lt;/url&gt;&lt;bundle&gt;&lt;publication&gt;&lt;title&gt;RNA&lt;/title&gt;&lt;type&gt;-100&lt;/type&gt;&lt;subtype&gt;-100&lt;/subtype&gt;&lt;uuid&gt;0741EA07-3745-4981-B978-7868DA63D959&lt;/uuid&gt;&lt;/publication&gt;&lt;/bundle&gt;&lt;authors&gt;&lt;author&gt;&lt;firstName&gt;H&lt;/firstName&gt;&lt;middleNames&gt;B&lt;/middleNames&gt;&lt;lastName&gt;Houbaviy&lt;/lastName&gt;&lt;/author&gt;&lt;/authors&gt;&lt;/publication&gt;&lt;/publications&gt;&lt;cites&gt;&lt;/cites&gt;&lt;/citation&gt;</w:instrText>
      </w:r>
      <w:r w:rsidRPr="00121840">
        <w:rPr>
          <w:rFonts w:ascii="Times New Roman" w:hAnsi="Times New Roman" w:cs="Times New Roman"/>
          <w:b/>
        </w:rPr>
        <w:fldChar w:fldCharType="separate"/>
      </w:r>
      <w:r w:rsidR="006541A5">
        <w:rPr>
          <w:rFonts w:ascii="Times New Roman" w:hAnsi="Times New Roman" w:cs="Times New Roman"/>
        </w:rPr>
        <w:t>[9-25]</w:t>
      </w:r>
      <w:r w:rsidRPr="00121840">
        <w:rPr>
          <w:rFonts w:ascii="Times New Roman" w:hAnsi="Times New Roman" w:cs="Times New Roman"/>
          <w:b/>
        </w:rPr>
        <w:fldChar w:fldCharType="end"/>
      </w:r>
      <w:r w:rsidRPr="00121840">
        <w:rPr>
          <w:rFonts w:ascii="Times New Roman" w:hAnsi="Times New Roman" w:cs="Times New Roman"/>
          <w:b/>
        </w:rPr>
        <w:t xml:space="preserve"> </w:t>
      </w:r>
      <w:r w:rsidRPr="00121840">
        <w:rPr>
          <w:rFonts w:ascii="Times New Roman" w:hAnsi="Times New Roman" w:cs="Times New Roman"/>
        </w:rPr>
        <w:t>to be functionally involved or differentially expressed during reprogramming (Known Reprogramming, or KR dataset, Table S3), ii) 221 miRNAs differentially expressed in our dataset with an FDR of 1% (FDR1 dataset) and iii) 325 miRNAs differentially expressed in our dataset with an FDR of 5% (FDR5 dataset). For the KR dataset, 125 miRNAs were identified from the literature, but five had read counts so low in one or both replicates that they did not meet the basic abundance requirements for edgeR analysis, and were not considered for the network analysis. Connections between miRNAs in the putative coregulation networks were weighted by the pairwise Pearson correlation of TMM-normalized expression values across all treatments. For each dataset, miRNA co-expression networks were constructed for both the full dataset (8 treatments in each of two replicates = 16 treatments) and just the reprogramming samples (4 treatments in each replicate = 8 treatments). The average correlation (R) for each dataset was calculated as the average of all pairwise Pearson correlations between each pair of miRNAs, and can be interpreted as a measure of the magnitude of putative co-regulation across the dataset.</w:t>
      </w:r>
    </w:p>
    <w:p w14:paraId="0B9C75DB" w14:textId="77777777" w:rsidR="00E363E2" w:rsidRPr="00121840" w:rsidRDefault="00E363E2" w:rsidP="00E363E2">
      <w:pPr>
        <w:spacing w:line="480" w:lineRule="auto"/>
        <w:rPr>
          <w:rFonts w:ascii="Times New Roman" w:hAnsi="Times New Roman" w:cs="Times New Roman"/>
        </w:rPr>
      </w:pPr>
    </w:p>
    <w:p w14:paraId="0C621792" w14:textId="31339421" w:rsidR="00E363E2" w:rsidRPr="00121840" w:rsidRDefault="00E363E2" w:rsidP="00E363E2">
      <w:pPr>
        <w:spacing w:line="480" w:lineRule="auto"/>
        <w:rPr>
          <w:rFonts w:ascii="Times New Roman" w:hAnsi="Times New Roman" w:cs="Times New Roman"/>
        </w:rPr>
      </w:pPr>
      <w:r w:rsidRPr="00121840">
        <w:rPr>
          <w:rFonts w:ascii="Times New Roman" w:hAnsi="Times New Roman" w:cs="Times New Roman"/>
        </w:rPr>
        <w:t xml:space="preserve">We used a community detection approach </w:t>
      </w:r>
      <w:r w:rsidRPr="00121840">
        <w:rPr>
          <w:rFonts w:ascii="Times New Roman" w:hAnsi="Times New Roman" w:cs="Times New Roman"/>
        </w:rPr>
        <w:fldChar w:fldCharType="begin"/>
      </w:r>
      <w:r w:rsidR="00340477">
        <w:rPr>
          <w:rFonts w:ascii="Times New Roman" w:hAnsi="Times New Roman" w:cs="Times New Roman"/>
        </w:rPr>
        <w:instrText xml:space="preserve"> ADDIN PAPERS2_CITATIONS &lt;citation&gt;&lt;uuid&gt;8F84FE1E-E6D5-4221-9BA5-6A3806A8290B&lt;/uuid&gt;&lt;priority&gt;15&lt;/priority&gt;&lt;publications&gt;&lt;publication&gt;&lt;volume&gt;56&lt;/volume&gt;&lt;publication_date&gt;99200900001200000000200000&lt;/publication_date&gt;&lt;number&gt;9&lt;/number&gt;&lt;startpage&gt;1082&lt;/startpage&gt;&lt;title&gt;Communities in networks&lt;/title&gt;&lt;uuid&gt;74ACABD6-5548-407F-856C-5AFC081E5719&lt;/uuid&gt;&lt;subtype&gt;400&lt;/subtype&gt;&lt;endpage&gt;1097&lt;/endpage&gt;&lt;type&gt;400&lt;/type&gt;&lt;url&gt;http://www.ams.org/notices/200909/rtx090901082p.pdf&lt;/url&gt;&lt;bundle&gt;&lt;publication&gt;&lt;title&gt;Notices of the AMS&lt;/title&gt;&lt;type&gt;-100&lt;/type&gt;&lt;subtype&gt;-100&lt;/subtype&gt;&lt;uuid&gt;6CDBA8E7-F384-4A5C-99B0-EED3BFC5D7D8&lt;/uuid&gt;&lt;/publication&gt;&lt;/bundle&gt;&lt;authors&gt;&lt;author&gt;&lt;firstName&gt;Mason&lt;/firstName&gt;&lt;middleNames&gt;A&lt;/middleNames&gt;&lt;lastName&gt;Porter&lt;/lastName&gt;&lt;/author&gt;&lt;author&gt;&lt;firstName&gt;Jukka-Pekka&lt;/firstName&gt;&lt;lastName&gt;Onnela&lt;/lastName&gt;&lt;/author&gt;&lt;author&gt;&lt;firstName&gt;Peter&lt;/firstName&gt;&lt;middleNames&gt;J&lt;/middleNames&gt;&lt;lastName&gt;Mucha&lt;/lastName&gt;&lt;/author&gt;&lt;/authors&gt;&lt;/publication&gt;&lt;publication&gt;&lt;volume&gt;486&lt;/volume&gt;&lt;publication_date&gt;99201000001200000000200000&lt;/publication_date&gt;&lt;number&gt;3&lt;/number&gt;&lt;startpage&gt;75&lt;/startpage&gt;&lt;title&gt;Community detection in graphs&lt;/title&gt;&lt;uuid&gt;847078E8-0A47-4226-A877-FF1C077385F2&lt;/uuid&gt;&lt;subtype&gt;400&lt;/subtype&gt;&lt;publisher&gt;Elsevier&lt;/publisher&gt;&lt;type&gt;400&lt;/type&gt;&lt;endpage&gt;174&lt;/endpage&gt;&lt;url&gt;http://www.sciencedirect.com/science/article/pii/S0370157309002841&lt;/url&gt;&lt;bundle&gt;&lt;publication&gt;&lt;title&gt;Physics Reports&lt;/title&gt;&lt;type&gt;-100&lt;/type&gt;&lt;subtype&gt;-100&lt;/subtype&gt;&lt;uuid&gt;7EE74CD8-3753-409F-A215-915A231BDB43&lt;/uuid&gt;&lt;/publication&gt;&lt;/bundle&gt;&lt;authors&gt;&lt;author&gt;&lt;firstName&gt;Santo&lt;/firstName&gt;&lt;lastName&gt;Fortunato&lt;/lastName&gt;&lt;/author&gt;&lt;/authors&gt;&lt;/publication&gt;&lt;/publications&gt;&lt;cites&gt;&lt;/cites&gt;&lt;/citation&gt;</w:instrText>
      </w:r>
      <w:r w:rsidRPr="00121840">
        <w:rPr>
          <w:rFonts w:ascii="Times New Roman" w:hAnsi="Times New Roman" w:cs="Times New Roman"/>
        </w:rPr>
        <w:fldChar w:fldCharType="separate"/>
      </w:r>
      <w:r w:rsidR="006541A5">
        <w:rPr>
          <w:rFonts w:ascii="Times New Roman" w:hAnsi="Times New Roman" w:cs="Times New Roman"/>
        </w:rPr>
        <w:t>[26, 27]</w:t>
      </w:r>
      <w:r w:rsidRPr="00121840">
        <w:rPr>
          <w:rFonts w:ascii="Times New Roman" w:hAnsi="Times New Roman" w:cs="Times New Roman"/>
        </w:rPr>
        <w:fldChar w:fldCharType="end"/>
      </w:r>
      <w:r w:rsidRPr="00121840">
        <w:rPr>
          <w:rFonts w:ascii="Times New Roman" w:hAnsi="Times New Roman" w:cs="Times New Roman"/>
        </w:rPr>
        <w:t xml:space="preserve"> that utilizes the Louvain method </w:t>
      </w:r>
      <w:r w:rsidRPr="00121840">
        <w:rPr>
          <w:rFonts w:ascii="Times New Roman" w:hAnsi="Times New Roman" w:cs="Times New Roman"/>
        </w:rPr>
        <w:fldChar w:fldCharType="begin"/>
      </w:r>
      <w:r w:rsidR="00340477">
        <w:rPr>
          <w:rFonts w:ascii="Times New Roman" w:hAnsi="Times New Roman" w:cs="Times New Roman"/>
        </w:rPr>
        <w:instrText xml:space="preserve"> ADDIN PAPERS2_CITATIONS &lt;citation&gt;&lt;uuid&gt;F040841E-DAE0-4977-82DD-EAA54C7623C6&lt;/uuid&gt;&lt;priority&gt;16&lt;/priority&gt;&lt;publications&gt;&lt;publication&gt;&lt;volume&gt;2008&lt;/volume&gt;&lt;publication_date&gt;99200800001200000000200000&lt;/publication_date&gt;&lt;startpage&gt;P10008&lt;/startpage&gt;&lt;title&gt;Fast unfolding of communities in large networks&lt;/title&gt;&lt;uuid&gt;1F964A14-7243-4378-9281-9F61E1DB4405&lt;/uuid&gt;&lt;subtype&gt;400&lt;/subtype&gt;&lt;publisher&gt;IOP Publishing&lt;/publisher&gt;&lt;type&gt;400&lt;/type&gt;&lt;url&gt;http://iopscience.iop.org/1742-5468/2008/10/P10008&lt;/url&gt;&lt;bundle&gt;&lt;publication&gt;&lt;title&gt;Journal of Statistical Mechanics: Theory and Experiment&lt;/title&gt;&lt;type&gt;-100&lt;/type&gt;&lt;subtype&gt;-100&lt;/subtype&gt;&lt;uuid&gt;A2BF530E-6F32-4327-9B31-56D07B9D6F51&lt;/uuid&gt;&lt;/publication&gt;&lt;/bundle&gt;&lt;authors&gt;&lt;author&gt;&lt;firstName&gt;V&lt;/firstName&gt;&lt;middleNames&gt;D&lt;/middleNames&gt;&lt;lastName&gt;Blondel&lt;/lastName&gt;&lt;/author&gt;&lt;author&gt;&lt;firstName&gt;J&lt;/firstName&gt;&lt;middleNames&gt;L&lt;/middleNames&gt;&lt;lastName&gt;Guillaume&lt;/lastName&gt;&lt;/author&gt;&lt;author&gt;&lt;firstName&gt;R&lt;/firstName&gt;&lt;lastName&gt;Lambiotte&lt;/lastName&gt;&lt;/author&gt;&lt;author&gt;&lt;firstName&gt;E&lt;/firstName&gt;&lt;lastName&gt;Lefebvre&lt;/lastName&gt;&lt;/author&gt;&lt;/authors&gt;&lt;/publication&gt;&lt;/publications&gt;&lt;cites&gt;&lt;/cites&gt;&lt;/citation&gt;</w:instrText>
      </w:r>
      <w:r w:rsidRPr="00121840">
        <w:rPr>
          <w:rFonts w:ascii="Times New Roman" w:hAnsi="Times New Roman" w:cs="Times New Roman"/>
        </w:rPr>
        <w:fldChar w:fldCharType="separate"/>
      </w:r>
      <w:r w:rsidR="006541A5">
        <w:rPr>
          <w:rFonts w:ascii="Times New Roman" w:hAnsi="Times New Roman" w:cs="Times New Roman"/>
        </w:rPr>
        <w:t>[28]</w:t>
      </w:r>
      <w:r w:rsidRPr="00121840">
        <w:rPr>
          <w:rFonts w:ascii="Times New Roman" w:hAnsi="Times New Roman" w:cs="Times New Roman"/>
        </w:rPr>
        <w:fldChar w:fldCharType="end"/>
      </w:r>
      <w:r w:rsidRPr="00121840">
        <w:rPr>
          <w:rFonts w:ascii="Times New Roman" w:hAnsi="Times New Roman" w:cs="Times New Roman"/>
        </w:rPr>
        <w:t xml:space="preserve"> to optimize a modularity quality function </w:t>
      </w:r>
      <w:r w:rsidRPr="00121840">
        <w:rPr>
          <w:rFonts w:ascii="Times New Roman" w:hAnsi="Times New Roman" w:cs="Times New Roman"/>
          <w:highlight w:val="yellow"/>
        </w:rPr>
        <w:fldChar w:fldCharType="begin"/>
      </w:r>
      <w:r w:rsidR="00340477">
        <w:rPr>
          <w:rFonts w:ascii="Times New Roman" w:hAnsi="Times New Roman" w:cs="Times New Roman"/>
          <w:highlight w:val="yellow"/>
        </w:rPr>
        <w:instrText xml:space="preserve"> ADDIN PAPERS2_CITATIONS &lt;citation&gt;&lt;uuid&gt;4F746D5B-36F1-49D0-A17C-ADD218291290&lt;/uuid&gt;&lt;priority&gt;17&lt;/priority&gt;&lt;publications&gt;&lt;publication&gt;&lt;uuid&gt;0536F2F6-B458-4FFE-A3A4-094A9A642C40&lt;/uuid&gt;&lt;volume&gt;69&lt;/volume&gt;&lt;startpage&gt;026113&lt;/startpage&gt;&lt;publication_date&gt;99200402001200000000220000&lt;/publication_date&gt;&lt;url&gt;http://eutils.ncbi.nlm.nih.gov/entrez/eutils/elink.fcgi?dbfrom=pubmed&amp;amp;id=14995526&amp;amp;retmode=ref&amp;amp;cmd=prlinks&lt;/url&gt;&lt;type&gt;400&lt;/type&gt;&lt;title&gt;Finding and evaluating community structure in networks.&lt;/title&gt;&lt;location&gt;200,9,42.2744477,-83.7373867&lt;/location&gt;&lt;submission_date&gt;99200308191200000000222000&lt;/submission_date&gt;&lt;number&gt;2 Pt 2&lt;/number&gt;&lt;institution&gt;Department of Physics and Center for the Study of Complex Systems, University of Michigan, Ann Arbor, MI 48109-1120, USA.&lt;/institution&gt;&lt;subtype&gt;400&lt;/subtype&gt;&lt;bundle&gt;&lt;publication&gt;&lt;title&gt;Physical review. E, Statistical, nonlinear, and soft matter physics&lt;/title&gt;&lt;type&gt;-100&lt;/type&gt;&lt;subtype&gt;-100&lt;/subtype&gt;&lt;uuid&gt;86CDC577-5855-4D62-B457-66DB83FA755B&lt;/uuid&gt;&lt;/publication&gt;&lt;/bundle&gt;&lt;authors&gt;&lt;author&gt;&lt;firstName&gt;M&lt;/firstName&gt;&lt;middleNames&gt;E J&lt;/middleNames&gt;&lt;lastName&gt;Newman&lt;/lastName&gt;&lt;/author&gt;&lt;author&gt;&lt;firstName&gt;M&lt;/firstName&gt;&lt;lastName&gt;Girvan&lt;/lastName&gt;&lt;/author&gt;&lt;/authors&gt;&lt;/publication&gt;&lt;publication&gt;&lt;uuid&gt;D88E740C-D85C-4A51-851E-3336B479CC1D&lt;/uuid&gt;&lt;volume&gt;69&lt;/volume&gt;&lt;startpage&gt;066133&lt;/startpage&gt;&lt;revision_date&gt;99200403221200000000222000&lt;/revision_date&gt;&lt;publication_date&gt;99200406001200000000220000&lt;/publication_date&gt;&lt;url&gt;http://eutils.ncbi.nlm.nih.gov/entrez/eutils/elink.fcgi?dbfrom=pubmed&amp;amp;id=15244693&amp;amp;retmode=ref&amp;amp;cmd=prlinks&lt;/url&gt;&lt;type&gt;400&lt;/type&gt;&lt;title&gt;Fast algorithm for detecting community structure in networks.&lt;/title&gt;&lt;location&gt;200,9,42.2744477,-83.7373867&lt;/location&gt;&lt;submission_date&gt;99200309221200000000222000&lt;/submission_date&gt;&lt;number&gt;6 Pt 2&lt;/number&gt;&lt;institution&gt;Department of Physics and Center for the Study of Complex Systems, University of Michigan, Ann Arbor, Michigan 48109-1120, USA.&lt;/institution&gt;&lt;subtype&gt;400&lt;/subtype&gt;&lt;bundle&gt;&lt;publication&gt;&lt;title&gt;Physical review. E, Statistical, nonlinear, and soft matter physics&lt;/title&gt;&lt;type&gt;-100&lt;/type&gt;&lt;subtype&gt;-100&lt;/subtype&gt;&lt;uuid&gt;86CDC577-5855-4D62-B457-66DB83FA755B&lt;/uuid&gt;&lt;/publication&gt;&lt;/bundle&gt;&lt;authors&gt;&lt;author&gt;&lt;firstName&gt;M&lt;/firstName&gt;&lt;middleNames&gt;E J&lt;/middleNames&gt;&lt;lastName&gt;Newman&lt;/lastName&gt;&lt;/author&gt;&lt;/authors&gt;&lt;/publication&gt;&lt;/publications&gt;&lt;cites&gt;&lt;/cites&gt;&lt;/citation&gt;</w:instrText>
      </w:r>
      <w:r w:rsidRPr="00121840">
        <w:rPr>
          <w:rFonts w:ascii="Times New Roman" w:hAnsi="Times New Roman" w:cs="Times New Roman"/>
          <w:highlight w:val="yellow"/>
        </w:rPr>
        <w:fldChar w:fldCharType="separate"/>
      </w:r>
      <w:r w:rsidR="006541A5">
        <w:rPr>
          <w:rFonts w:ascii="Times New Roman" w:hAnsi="Times New Roman" w:cs="Times New Roman"/>
        </w:rPr>
        <w:t>[29, 30]</w:t>
      </w:r>
      <w:r w:rsidRPr="00121840">
        <w:rPr>
          <w:rFonts w:ascii="Times New Roman" w:hAnsi="Times New Roman" w:cs="Times New Roman"/>
          <w:highlight w:val="yellow"/>
        </w:rPr>
        <w:fldChar w:fldCharType="end"/>
      </w:r>
      <w:r w:rsidRPr="00121840">
        <w:rPr>
          <w:rFonts w:ascii="Times New Roman" w:hAnsi="Times New Roman" w:cs="Times New Roman"/>
        </w:rPr>
        <w:t xml:space="preserve">. Briefly, this method heuristically partitions the miRNAs into modules by maximizing the strength of expression correlations within modules. </w:t>
      </w:r>
    </w:p>
    <w:p w14:paraId="2A2EFAAE" w14:textId="77777777" w:rsidR="00E363E2" w:rsidRPr="00121840" w:rsidRDefault="00E363E2" w:rsidP="00E363E2">
      <w:pPr>
        <w:spacing w:line="480" w:lineRule="auto"/>
        <w:rPr>
          <w:rFonts w:ascii="Times New Roman" w:hAnsi="Times New Roman" w:cs="Times New Roman"/>
        </w:rPr>
      </w:pPr>
    </w:p>
    <w:p w14:paraId="6753B95A" w14:textId="0BA544B6" w:rsidR="00E363E2" w:rsidRPr="00121840" w:rsidRDefault="00E363E2" w:rsidP="00E363E2">
      <w:pPr>
        <w:spacing w:line="480" w:lineRule="auto"/>
        <w:rPr>
          <w:rFonts w:ascii="Times New Roman" w:hAnsi="Times New Roman" w:cs="Times New Roman"/>
        </w:rPr>
      </w:pPr>
      <w:r w:rsidRPr="00121840">
        <w:rPr>
          <w:rFonts w:ascii="Times New Roman" w:hAnsi="Times New Roman" w:cs="Times New Roman"/>
        </w:rPr>
        <w:t xml:space="preserve">Because the correlation matrices capturing co-expression patterns of miRNA pairs contain both positive and negative matrix elements, we employ an extension of the modularity quality function to networks with positive and negative links </w:t>
      </w:r>
      <w:r w:rsidRPr="00121840">
        <w:rPr>
          <w:rFonts w:ascii="Times New Roman" w:hAnsi="Times New Roman" w:cs="Times New Roman"/>
        </w:rPr>
        <w:fldChar w:fldCharType="begin"/>
      </w:r>
      <w:r w:rsidR="00340477">
        <w:rPr>
          <w:rFonts w:ascii="Times New Roman" w:hAnsi="Times New Roman" w:cs="Times New Roman"/>
        </w:rPr>
        <w:instrText xml:space="preserve"> ADDIN PAPERS2_CITATIONS &lt;citation&gt;&lt;uuid&gt;D861E1A9-276C-4CBC-B8FD-1D7B1096D31C&lt;/uuid&gt;&lt;priority&gt;18&lt;/priority&gt;&lt;publications&gt;&lt;publication&gt;&lt;uuid&gt;E144C2C1-CA0D-4007-B802-7313E315F51D&lt;/uuid&gt;&lt;volume&gt;80&lt;/volume&gt;&lt;startpage&gt;036115&lt;/startpage&gt;&lt;revision_date&gt;99200907091200000000222000&lt;/revision_date&gt;&lt;publication_date&gt;99200909001200000000220000&lt;/publication_date&gt;&lt;url&gt;http://eutils.ncbi.nlm.nih.gov/entrez/eutils/elink.fcgi?dbfrom=pubmed&amp;amp;id=19905188&amp;amp;retmode=ref&amp;amp;cmd=prlinks&lt;/url&gt;&lt;type&gt;400&lt;/type&gt;&lt;title&gt;Community detection in networks with positive and negative links.&lt;/title&gt;&lt;location&gt;200,8,50.6692115,4.6239996&lt;/location&gt;&lt;submission_date&gt;99200811231200000000222000&lt;/submission_date&gt;&lt;number&gt;3 Pt 2&lt;/number&gt;&lt;institution&gt;Department of Mathematical Engineering, Université Catholique de Louvain, Bâtiment Euler, Avenue G Lemaître, 4 B-1348 Louvain-la-neuve, Belgium. vincent.traag@uclouvain.be&lt;/institution&gt;&lt;subtype&gt;400&lt;/subtype&gt;&lt;bundle&gt;&lt;publication&gt;&lt;title&gt;Physical Review E&lt;/title&gt;&lt;type&gt;-100&lt;/type&gt;&lt;subtype&gt;-100&lt;/subtype&gt;&lt;uuid&gt;99FEED7A-3430-4799-B2F2-32FCE22F1AF2&lt;/uuid&gt;&lt;/publication&gt;&lt;/bundle&gt;&lt;authors&gt;&lt;author&gt;&lt;firstName&gt;V&lt;/firstName&gt;&lt;middleNames&gt;A&lt;/middleNames&gt;&lt;lastName&gt;Traag&lt;/lastName&gt;&lt;/author&gt;&lt;author&gt;&lt;firstName&gt;Jeroen&lt;/firstName&gt;&lt;lastName&gt;Bruggeman&lt;/lastName&gt;&lt;/author&gt;&lt;/authors&gt;&lt;/publication&gt;&lt;/publications&gt;&lt;cites&gt;&lt;/cites&gt;&lt;/citation&gt;</w:instrText>
      </w:r>
      <w:r w:rsidRPr="00121840">
        <w:rPr>
          <w:rFonts w:ascii="Times New Roman" w:hAnsi="Times New Roman" w:cs="Times New Roman"/>
        </w:rPr>
        <w:fldChar w:fldCharType="separate"/>
      </w:r>
      <w:r w:rsidR="006541A5">
        <w:rPr>
          <w:rFonts w:ascii="Times New Roman" w:hAnsi="Times New Roman" w:cs="Times New Roman"/>
        </w:rPr>
        <w:t>[31]</w:t>
      </w:r>
      <w:r w:rsidRPr="00121840">
        <w:rPr>
          <w:rFonts w:ascii="Times New Roman" w:hAnsi="Times New Roman" w:cs="Times New Roman"/>
        </w:rPr>
        <w:fldChar w:fldCharType="end"/>
      </w:r>
      <w:r w:rsidRPr="00121840">
        <w:rPr>
          <w:rFonts w:ascii="Times New Roman" w:hAnsi="Times New Roman" w:cs="Times New Roman"/>
        </w:rPr>
        <w:t xml:space="preserve">. Specifically, We define the correlation matrix </w:t>
      </w:r>
      <w:r w:rsidRPr="00121840">
        <w:rPr>
          <w:rFonts w:ascii="Times New Roman" w:hAnsi="Times New Roman" w:cs="Times New Roman"/>
          <w:b/>
          <w:i/>
        </w:rPr>
        <w:t>A</w:t>
      </w:r>
      <w:r w:rsidRPr="00121840">
        <w:rPr>
          <w:rFonts w:ascii="Times New Roman" w:hAnsi="Times New Roman" w:cs="Times New Roman"/>
        </w:rPr>
        <w:t xml:space="preserve"> and then define </w:t>
      </w:r>
      <w:r w:rsidRPr="00121840">
        <w:rPr>
          <w:rFonts w:ascii="Times New Roman" w:hAnsi="Times New Roman" w:cs="Times New Roman"/>
          <w:i/>
        </w:rPr>
        <w:t>w</w:t>
      </w:r>
      <w:r w:rsidRPr="00121840">
        <w:rPr>
          <w:rFonts w:ascii="Times New Roman" w:hAnsi="Times New Roman" w:cs="Times New Roman"/>
          <w:i/>
          <w:vertAlign w:val="subscript"/>
        </w:rPr>
        <w:t>ij</w:t>
      </w:r>
      <w:r w:rsidRPr="00121840">
        <w:rPr>
          <w:rFonts w:ascii="Times New Roman" w:hAnsi="Times New Roman" w:cs="Times New Roman"/>
          <w:i/>
          <w:vertAlign w:val="subscript"/>
        </w:rPr>
        <w:softHyphen/>
      </w:r>
      <w:r w:rsidRPr="00121840">
        <w:rPr>
          <w:rFonts w:ascii="Times New Roman" w:hAnsi="Times New Roman" w:cs="Times New Roman"/>
          <w:i/>
          <w:vertAlign w:val="superscript"/>
        </w:rPr>
        <w:t>+</w:t>
      </w:r>
      <w:r w:rsidRPr="00121840">
        <w:rPr>
          <w:rFonts w:ascii="Times New Roman" w:hAnsi="Times New Roman" w:cs="Times New Roman"/>
        </w:rPr>
        <w:t xml:space="preserve"> to be an N×N matrix containing the positive element</w:t>
      </w:r>
      <w:bookmarkStart w:id="0" w:name="_GoBack"/>
      <w:bookmarkEnd w:id="0"/>
      <w:r w:rsidRPr="00121840">
        <w:rPr>
          <w:rFonts w:ascii="Times New Roman" w:hAnsi="Times New Roman" w:cs="Times New Roman"/>
        </w:rPr>
        <w:t xml:space="preserve">s of </w:t>
      </w:r>
      <w:r w:rsidRPr="00121840">
        <w:rPr>
          <w:rFonts w:ascii="Times New Roman" w:hAnsi="Times New Roman" w:cs="Times New Roman"/>
          <w:i/>
        </w:rPr>
        <w:t>A</w:t>
      </w:r>
      <w:r w:rsidRPr="00121840">
        <w:rPr>
          <w:rFonts w:ascii="Times New Roman" w:hAnsi="Times New Roman" w:cs="Times New Roman"/>
          <w:i/>
          <w:vertAlign w:val="subscript"/>
        </w:rPr>
        <w:t>ij</w:t>
      </w:r>
      <w:r w:rsidRPr="00121840">
        <w:rPr>
          <w:rFonts w:ascii="Times New Roman" w:hAnsi="Times New Roman" w:cs="Times New Roman"/>
        </w:rPr>
        <w:t xml:space="preserve"> and </w:t>
      </w:r>
      <w:r w:rsidRPr="00121840">
        <w:rPr>
          <w:rFonts w:ascii="Times New Roman" w:hAnsi="Times New Roman" w:cs="Times New Roman"/>
          <w:i/>
        </w:rPr>
        <w:t>w</w:t>
      </w:r>
      <w:r w:rsidRPr="00121840">
        <w:rPr>
          <w:rFonts w:ascii="Times New Roman" w:hAnsi="Times New Roman" w:cs="Times New Roman"/>
          <w:i/>
          <w:vertAlign w:val="subscript"/>
        </w:rPr>
        <w:t>ij</w:t>
      </w:r>
      <w:r w:rsidRPr="00121840">
        <w:rPr>
          <w:rFonts w:ascii="Times New Roman" w:hAnsi="Times New Roman" w:cs="Times New Roman"/>
          <w:i/>
          <w:vertAlign w:val="superscript"/>
        </w:rPr>
        <w:t>−</w:t>
      </w:r>
      <w:r w:rsidRPr="00121840">
        <w:rPr>
          <w:rFonts w:ascii="Times New Roman" w:hAnsi="Times New Roman" w:cs="Times New Roman"/>
        </w:rPr>
        <w:t xml:space="preserve"> to be an N×N matrix containing only the negative elements of </w:t>
      </w:r>
      <w:r w:rsidRPr="00121840">
        <w:rPr>
          <w:rFonts w:ascii="Times New Roman" w:hAnsi="Times New Roman" w:cs="Times New Roman"/>
          <w:i/>
        </w:rPr>
        <w:t>A</w:t>
      </w:r>
      <w:r w:rsidRPr="00121840">
        <w:rPr>
          <w:rFonts w:ascii="Times New Roman" w:hAnsi="Times New Roman" w:cs="Times New Roman"/>
          <w:i/>
          <w:vertAlign w:val="subscript"/>
        </w:rPr>
        <w:t>ij</w:t>
      </w:r>
      <w:r w:rsidRPr="00121840">
        <w:rPr>
          <w:rFonts w:ascii="Times New Roman" w:hAnsi="Times New Roman" w:cs="Times New Roman"/>
        </w:rPr>
        <w:t>. The quality function to be maximized is then given by the following equation:</w:t>
      </w:r>
    </w:p>
    <w:p w14:paraId="11FAB13A" w14:textId="77777777" w:rsidR="00E363E2" w:rsidRPr="00121840" w:rsidRDefault="00E363E2" w:rsidP="00E363E2">
      <w:pPr>
        <w:pStyle w:val="MTDisplayEquation"/>
        <w:rPr>
          <w:rFonts w:ascii="Times New Roman" w:hAnsi="Times New Roman" w:cs="Times New Roman"/>
        </w:rPr>
      </w:pPr>
      <w:r w:rsidRPr="00121840">
        <w:rPr>
          <w:rFonts w:ascii="Times New Roman" w:hAnsi="Times New Roman" w:cs="Times New Roman"/>
        </w:rPr>
        <w:tab/>
      </w:r>
      <w:r w:rsidRPr="00121840">
        <w:rPr>
          <w:rFonts w:ascii="Times New Roman" w:hAnsi="Times New Roman" w:cs="Times New Roman"/>
          <w:noProof/>
          <w:position w:val="-36"/>
          <w:lang w:eastAsia="en-US"/>
        </w:rPr>
        <w:drawing>
          <wp:inline distT="0" distB="0" distL="0" distR="0" wp14:anchorId="265BE466" wp14:editId="2E55D9F9">
            <wp:extent cx="3820160" cy="538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3820160" cy="538480"/>
                    </a:xfrm>
                    <a:prstGeom prst="rect">
                      <a:avLst/>
                    </a:prstGeom>
                    <a:noFill/>
                    <a:ln w="9525">
                      <a:noFill/>
                      <a:miter lim="800000"/>
                      <a:headEnd/>
                      <a:tailEnd/>
                    </a:ln>
                  </pic:spPr>
                </pic:pic>
              </a:graphicData>
            </a:graphic>
          </wp:inline>
        </w:drawing>
      </w:r>
      <w:r w:rsidRPr="00121840">
        <w:rPr>
          <w:rFonts w:ascii="Times New Roman" w:hAnsi="Times New Roman" w:cs="Times New Roman"/>
        </w:rPr>
        <w:t xml:space="preserve"> </w:t>
      </w:r>
    </w:p>
    <w:p w14:paraId="596DB764" w14:textId="56ECB0C0" w:rsidR="00E363E2" w:rsidRPr="00121840" w:rsidRDefault="00E363E2" w:rsidP="00E363E2">
      <w:pPr>
        <w:spacing w:line="480" w:lineRule="auto"/>
        <w:rPr>
          <w:rFonts w:ascii="Times New Roman" w:hAnsi="Times New Roman" w:cs="Times New Roman"/>
        </w:rPr>
      </w:pPr>
      <w:proofErr w:type="gramStart"/>
      <w:r w:rsidRPr="00121840">
        <w:rPr>
          <w:rFonts w:ascii="Times New Roman" w:hAnsi="Times New Roman" w:cs="Times New Roman"/>
        </w:rPr>
        <w:t>where</w:t>
      </w:r>
      <w:proofErr w:type="gramEnd"/>
      <w:r w:rsidRPr="00121840">
        <w:rPr>
          <w:rFonts w:ascii="Times New Roman" w:hAnsi="Times New Roman" w:cs="Times New Roman"/>
        </w:rPr>
        <w:t xml:space="preserve"> </w:t>
      </w:r>
      <w:r w:rsidRPr="00121840">
        <w:rPr>
          <w:rFonts w:ascii="Times New Roman" w:hAnsi="Times New Roman" w:cs="Times New Roman"/>
          <w:i/>
        </w:rPr>
        <w:t>g</w:t>
      </w:r>
      <w:r w:rsidRPr="00121840">
        <w:rPr>
          <w:rFonts w:ascii="Times New Roman" w:hAnsi="Times New Roman" w:cs="Times New Roman"/>
          <w:i/>
        </w:rPr>
        <w:softHyphen/>
      </w:r>
      <w:r w:rsidRPr="00121840">
        <w:rPr>
          <w:rFonts w:ascii="Times New Roman" w:hAnsi="Times New Roman" w:cs="Times New Roman"/>
          <w:i/>
          <w:vertAlign w:val="subscript"/>
        </w:rPr>
        <w:t>i</w:t>
      </w:r>
      <w:r w:rsidRPr="00121840">
        <w:rPr>
          <w:rFonts w:ascii="Times New Roman" w:hAnsi="Times New Roman" w:cs="Times New Roman"/>
        </w:rPr>
        <w:t xml:space="preserve"> is the community to which node </w:t>
      </w:r>
      <w:r w:rsidRPr="00121840">
        <w:rPr>
          <w:rFonts w:ascii="Times New Roman" w:hAnsi="Times New Roman" w:cs="Times New Roman"/>
          <w:i/>
        </w:rPr>
        <w:t>i</w:t>
      </w:r>
      <w:r w:rsidRPr="00121840">
        <w:rPr>
          <w:rFonts w:ascii="Times New Roman" w:hAnsi="Times New Roman" w:cs="Times New Roman"/>
        </w:rPr>
        <w:t xml:space="preserve"> is assigned, </w:t>
      </w:r>
      <w:r w:rsidRPr="00121840">
        <w:rPr>
          <w:rFonts w:ascii="Times New Roman" w:hAnsi="Times New Roman" w:cs="Times New Roman"/>
          <w:i/>
        </w:rPr>
        <w:t>g</w:t>
      </w:r>
      <w:r w:rsidRPr="00121840">
        <w:rPr>
          <w:rFonts w:ascii="Times New Roman" w:hAnsi="Times New Roman" w:cs="Times New Roman"/>
          <w:i/>
          <w:vertAlign w:val="subscript"/>
        </w:rPr>
        <w:t>j</w:t>
      </w:r>
      <w:r w:rsidRPr="00121840">
        <w:rPr>
          <w:rFonts w:ascii="Times New Roman" w:hAnsi="Times New Roman" w:cs="Times New Roman"/>
        </w:rPr>
        <w:t xml:space="preserve"> is the community to which node </w:t>
      </w:r>
      <w:r w:rsidRPr="00121840">
        <w:rPr>
          <w:rFonts w:ascii="Times New Roman" w:hAnsi="Times New Roman" w:cs="Times New Roman"/>
          <w:i/>
        </w:rPr>
        <w:t>j</w:t>
      </w:r>
      <w:r w:rsidRPr="00121840">
        <w:rPr>
          <w:rFonts w:ascii="Times New Roman" w:hAnsi="Times New Roman" w:cs="Times New Roman"/>
        </w:rPr>
        <w:t xml:space="preserve"> is assigned, </w:t>
      </w:r>
      <w:r w:rsidRPr="00121840">
        <w:rPr>
          <w:rFonts w:ascii="Times New Roman" w:hAnsi="Times New Roman" w:cs="Times New Roman"/>
        </w:rPr>
        <w:t></w:t>
      </w:r>
      <w:r w:rsidRPr="00121840">
        <w:rPr>
          <w:rFonts w:ascii="Times New Roman" w:hAnsi="Times New Roman" w:cs="Times New Roman"/>
          <w:vertAlign w:val="superscript"/>
        </w:rPr>
        <w:t></w:t>
      </w:r>
      <w:r w:rsidRPr="00121840">
        <w:rPr>
          <w:rFonts w:ascii="Times New Roman" w:hAnsi="Times New Roman" w:cs="Times New Roman"/>
        </w:rPr>
        <w:t xml:space="preserve">and </w:t>
      </w:r>
      <w:r w:rsidRPr="00121840">
        <w:rPr>
          <w:rFonts w:ascii="Times New Roman" w:hAnsi="Times New Roman" w:cs="Times New Roman"/>
        </w:rPr>
        <w:t></w:t>
      </w:r>
      <w:r w:rsidRPr="00121840">
        <w:rPr>
          <w:rFonts w:ascii="Times New Roman" w:hAnsi="Times New Roman" w:cs="Times New Roman"/>
          <w:vertAlign w:val="superscript"/>
        </w:rPr>
        <w:t>-</w:t>
      </w:r>
      <w:r w:rsidRPr="00121840">
        <w:rPr>
          <w:rFonts w:ascii="Times New Roman" w:hAnsi="Times New Roman" w:cs="Times New Roman"/>
        </w:rPr>
        <w:t xml:space="preserve"> are resolution parameters, and the following equation applies </w:t>
      </w:r>
      <w:r w:rsidRPr="00121840">
        <w:rPr>
          <w:rFonts w:ascii="Times New Roman" w:hAnsi="Times New Roman" w:cs="Times New Roman"/>
        </w:rPr>
        <w:fldChar w:fldCharType="begin"/>
      </w:r>
      <w:r w:rsidR="00340477">
        <w:rPr>
          <w:rFonts w:ascii="Times New Roman" w:hAnsi="Times New Roman" w:cs="Times New Roman"/>
        </w:rPr>
        <w:instrText xml:space="preserve"> ADDIN PAPERS2_CITATIONS &lt;citation&gt;&lt;uuid&gt;7566E23F-F1F7-415B-A0F7-39C849E19122&lt;/uuid&gt;&lt;priority&gt;19&lt;/priority&gt;&lt;publications&gt;&lt;publication&gt;&lt;volume&gt;80&lt;/volume&gt;&lt;publication_date&gt;99200907001200000000220000&lt;/publication_date&gt;&lt;number&gt;1&lt;/number&gt;&lt;doi&gt;10.1103/PhysRevE.80.016114&lt;/doi&gt;&lt;startpage&gt;016114&lt;/startpage&gt;&lt;title&gt;Analysis of community structure in networks of correlated data&lt;/title&gt;&lt;uuid&gt;2B86EC46-EAA1-451F-8255-0EB347D9E78B&lt;/uuid&gt;&lt;subtype&gt;400&lt;/subtype&gt;&lt;type&gt;400&lt;/type&gt;&lt;url&gt;http://link.aps.org/doi/10.1103/PhysRevE.80.016114&lt;/url&gt;&lt;bundle&gt;&lt;publication&gt;&lt;title&gt;Physical Review E&lt;/title&gt;&lt;type&gt;-100&lt;/type&gt;&lt;subtype&gt;-100&lt;/subtype&gt;&lt;uuid&gt;99FEED7A-3430-4799-B2F2-32FCE22F1AF2&lt;/uuid&gt;&lt;/publication&gt;&lt;/bundle&gt;&lt;authors&gt;&lt;author&gt;&lt;firstName&gt;Sergio&lt;/firstName&gt;&lt;lastName&gt;Gómez&lt;/lastName&gt;&lt;/author&gt;&lt;author&gt;&lt;firstName&gt;Pablo&lt;/firstName&gt;&lt;lastName&gt;Jensen&lt;/lastName&gt;&lt;/author&gt;&lt;author&gt;&lt;firstName&gt;Alex&lt;/firstName&gt;&lt;lastName&gt;Arenas&lt;/lastName&gt;&lt;/author&gt;&lt;/authors&gt;&lt;/publication&gt;&lt;publication&gt;&lt;uuid&gt;E144C2C1-CA0D-4007-B802-7313E315F51D&lt;/uuid&gt;&lt;volume&gt;80&lt;/volume&gt;&lt;startpage&gt;036115&lt;/startpage&gt;&lt;revision_date&gt;99200907091200000000222000&lt;/revision_date&gt;&lt;publication_date&gt;99200909001200000000220000&lt;/publication_date&gt;&lt;url&gt;http://eutils.ncbi.nlm.nih.gov/entrez/eutils/elink.fcgi?dbfrom=pubmed&amp;amp;id=19905188&amp;amp;retmode=ref&amp;amp;cmd=prlinks&lt;/url&gt;&lt;type&gt;400&lt;/type&gt;&lt;title&gt;Community detection in networks with positive and negative links.&lt;/title&gt;&lt;location&gt;200,8,50.6692115,4.6239996&lt;/location&gt;&lt;submission_date&gt;99200811231200000000222000&lt;/submission_date&gt;&lt;number&gt;3 Pt 2&lt;/number&gt;&lt;institution&gt;Department of Mathematical Engineering, Université Catholique de Louvain, Bâtiment Euler, Avenue G Lemaître, 4 B-1348 Louvain-la-neuve, Belgium. vincent.traag@uclouvain.be&lt;/institution&gt;&lt;subtype&gt;400&lt;/subtype&gt;&lt;bundle&gt;&lt;publication&gt;&lt;title&gt;Physical Review E&lt;/title&gt;&lt;type&gt;-100&lt;/type&gt;&lt;subtype&gt;-100&lt;/subtype&gt;&lt;uuid&gt;99FEED7A-3430-4799-B2F2-32FCE22F1AF2&lt;/uuid&gt;&lt;/publication&gt;&lt;/bundle&gt;&lt;authors&gt;&lt;author&gt;&lt;firstName&gt;V&lt;/firstName&gt;&lt;middleNames&gt;A&lt;/middleNames&gt;&lt;lastName&gt;Traag&lt;/lastName&gt;&lt;/author&gt;&lt;author&gt;&lt;firstName&gt;Jeroen&lt;/firstName&gt;&lt;lastName&gt;Bruggeman&lt;/lastName&gt;&lt;/author&gt;&lt;/authors&gt;&lt;/publication&gt;&lt;/publications&gt;&lt;cites&gt;&lt;/cites&gt;&lt;/citation&gt;</w:instrText>
      </w:r>
      <w:r w:rsidRPr="00121840">
        <w:rPr>
          <w:rFonts w:ascii="Times New Roman" w:hAnsi="Times New Roman" w:cs="Times New Roman"/>
        </w:rPr>
        <w:fldChar w:fldCharType="separate"/>
      </w:r>
      <w:r w:rsidR="006541A5">
        <w:rPr>
          <w:rFonts w:ascii="Times New Roman" w:hAnsi="Times New Roman" w:cs="Times New Roman"/>
        </w:rPr>
        <w:t>[31, 32]</w:t>
      </w:r>
      <w:r w:rsidRPr="00121840">
        <w:rPr>
          <w:rFonts w:ascii="Times New Roman" w:hAnsi="Times New Roman" w:cs="Times New Roman"/>
        </w:rPr>
        <w:fldChar w:fldCharType="end"/>
      </w:r>
      <w:r w:rsidRPr="00121840">
        <w:rPr>
          <w:rFonts w:ascii="Times New Roman" w:hAnsi="Times New Roman" w:cs="Times New Roman"/>
        </w:rPr>
        <w:t>:</w:t>
      </w:r>
    </w:p>
    <w:p w14:paraId="61214F71" w14:textId="77777777" w:rsidR="00E363E2" w:rsidRPr="00121840" w:rsidRDefault="00E363E2" w:rsidP="00E363E2">
      <w:pPr>
        <w:pStyle w:val="MTDisplayEquation"/>
        <w:rPr>
          <w:rFonts w:ascii="Times New Roman" w:hAnsi="Times New Roman" w:cs="Times New Roman"/>
        </w:rPr>
      </w:pPr>
      <w:r w:rsidRPr="00121840">
        <w:rPr>
          <w:rFonts w:ascii="Times New Roman" w:hAnsi="Times New Roman" w:cs="Times New Roman"/>
        </w:rPr>
        <w:tab/>
      </w:r>
      <w:r w:rsidRPr="00121840">
        <w:rPr>
          <w:rFonts w:ascii="Times New Roman" w:hAnsi="Times New Roman" w:cs="Times New Roman"/>
          <w:noProof/>
          <w:position w:val="-30"/>
          <w:lang w:eastAsia="en-US"/>
        </w:rPr>
        <w:drawing>
          <wp:inline distT="0" distB="0" distL="0" distR="0" wp14:anchorId="2E97F2C9" wp14:editId="1649CDE2">
            <wp:extent cx="1483360" cy="355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1483360" cy="355600"/>
                    </a:xfrm>
                    <a:prstGeom prst="rect">
                      <a:avLst/>
                    </a:prstGeom>
                    <a:noFill/>
                    <a:ln w="9525">
                      <a:noFill/>
                      <a:miter lim="800000"/>
                      <a:headEnd/>
                      <a:tailEnd/>
                    </a:ln>
                  </pic:spPr>
                </pic:pic>
              </a:graphicData>
            </a:graphic>
          </wp:inline>
        </w:drawing>
      </w:r>
      <w:r w:rsidRPr="00121840">
        <w:rPr>
          <w:rFonts w:ascii="Times New Roman" w:hAnsi="Times New Roman" w:cs="Times New Roman"/>
        </w:rPr>
        <w:t xml:space="preserve"> </w:t>
      </w:r>
    </w:p>
    <w:p w14:paraId="55F19344" w14:textId="77777777" w:rsidR="00E363E2" w:rsidRPr="00121840" w:rsidRDefault="00E363E2" w:rsidP="00E363E2">
      <w:pPr>
        <w:spacing w:line="480" w:lineRule="auto"/>
        <w:rPr>
          <w:rFonts w:ascii="Times New Roman" w:hAnsi="Times New Roman" w:cs="Times New Roman"/>
        </w:rPr>
      </w:pPr>
    </w:p>
    <w:p w14:paraId="2FAB8327" w14:textId="4986240F" w:rsidR="00E363E2" w:rsidRPr="00121840" w:rsidRDefault="00E363E2" w:rsidP="00E363E2">
      <w:pPr>
        <w:spacing w:line="480" w:lineRule="auto"/>
        <w:rPr>
          <w:rFonts w:ascii="Times New Roman" w:hAnsi="Times New Roman" w:cs="Times New Roman"/>
        </w:rPr>
      </w:pPr>
      <w:r w:rsidRPr="00121840">
        <w:rPr>
          <w:rFonts w:ascii="Times New Roman" w:hAnsi="Times New Roman" w:cs="Times New Roman"/>
        </w:rPr>
        <w:t xml:space="preserve">The two free parameters in the optimization of the modularity quality function are then the resolution parameters </w:t>
      </w:r>
      <w:r w:rsidRPr="00121840">
        <w:rPr>
          <w:rFonts w:ascii="Times New Roman" w:hAnsi="Times New Roman" w:cs="Times New Roman"/>
        </w:rPr>
        <w:fldChar w:fldCharType="begin"/>
      </w:r>
      <w:r w:rsidR="00340477">
        <w:rPr>
          <w:rFonts w:ascii="Times New Roman" w:hAnsi="Times New Roman" w:cs="Times New Roman"/>
        </w:rPr>
        <w:instrText xml:space="preserve"> ADDIN PAPERS2_CITATIONS &lt;citation&gt;&lt;uuid&gt;10653CCD-97B9-4A9E-9747-445EAC59464E&lt;/uuid&gt;&lt;priority&gt;20&lt;/priority&gt;&lt;publications&gt;&lt;publication&gt;&lt;volume&gt;80&lt;/volume&gt;&lt;publication_date&gt;99200907001200000000220000&lt;/publication_date&gt;&lt;number&gt;1&lt;/number&gt;&lt;doi&gt;10.1103/PhysRevE.80.016114&lt;/doi&gt;&lt;startpage&gt;016114&lt;/startpage&gt;&lt;title&gt;Analysis of community structure in networks of correlated data&lt;/title&gt;&lt;uuid&gt;2B86EC46-EAA1-451F-8255-0EB347D9E78B&lt;/uuid&gt;&lt;subtype&gt;400&lt;/subtype&gt;&lt;type&gt;400&lt;/type&gt;&lt;url&gt;http://link.aps.org/doi/10.1103/PhysRevE.80.016114&lt;/url&gt;&lt;bundle&gt;&lt;publication&gt;&lt;title&gt;Physical Review E&lt;/title&gt;&lt;type&gt;-100&lt;/type&gt;&lt;subtype&gt;-100&lt;/subtype&gt;&lt;uuid&gt;99FEED7A-3430-4799-B2F2-32FCE22F1AF2&lt;/uuid&gt;&lt;/publication&gt;&lt;/bundle&gt;&lt;authors&gt;&lt;author&gt;&lt;firstName&gt;Sergio&lt;/firstName&gt;&lt;lastName&gt;Gómez&lt;/lastName&gt;&lt;/author&gt;&lt;author&gt;&lt;firstName&gt;Pablo&lt;/firstName&gt;&lt;lastName&gt;Jensen&lt;/lastName&gt;&lt;/author&gt;&lt;author&gt;&lt;firstName&gt;Alex&lt;/firstName&gt;&lt;lastName&gt;Arenas&lt;/lastName&gt;&lt;/author&gt;&lt;/authors&gt;&lt;/publication&gt;&lt;publication&gt;&lt;uuid&gt;653F6FC6-60B5-41EB-94AB-0C1977F56A57&lt;/uuid&gt;&lt;volume&gt;104&lt;/volume&gt;&lt;doi&gt;10.1073/pnas.0605965104&lt;/doi&gt;&lt;startpage&gt;36&lt;/startpage&gt;&lt;publication_date&gt;99200701021200000000222000&lt;/publication_date&gt;&lt;url&gt;http://eutils.ncbi.nlm.nih.gov/entrez/eutils/elink.fcgi?dbfrom=pubmed&amp;amp;id=17190818&amp;amp;retmode=ref&amp;amp;cmd=prlinks&lt;/url&gt;&lt;type&gt;400&lt;/type&gt;&lt;title&gt;Resolution limit in community detection.&lt;/title&gt;&lt;location&gt;200,9,39.1700314,-86.5148088&lt;/location&gt;&lt;institution&gt;School of Informatics and Center for Biocomplexity, Indiana University, Bloomington, IN 47406, USA.&lt;/institution&gt;&lt;number&gt;1&lt;/number&gt;&lt;subtype&gt;400&lt;/subtype&gt;&lt;endpage&gt;41&lt;/endpage&gt;&lt;bundle&gt;&lt;publication&gt;&lt;url&gt;http://www.pnas.org/&lt;/url&gt;&lt;title&gt;Proceedings of the National Academy of Sciences of the United States of America&lt;/title&gt;&lt;type&gt;-100&lt;/type&gt;&lt;subtype&gt;-100&lt;/subtype&gt;&lt;uuid&gt;502C3E7B-E662-479E-8398-E24F8757CF77&lt;/uuid&gt;&lt;/publication&gt;&lt;/bundle&gt;&lt;authors&gt;&lt;author&gt;&lt;firstName&gt;Santo&lt;/firstName&gt;&lt;lastName&gt;Fortunato&lt;/lastName&gt;&lt;/author&gt;&lt;author&gt;&lt;firstName&gt;Marc&lt;/firstName&gt;&lt;lastName&gt;Barthélemy&lt;/lastName&gt;&lt;/author&gt;&lt;/authors&gt;&lt;/publication&gt;&lt;/publications&gt;&lt;cites&gt;&lt;/cites&gt;&lt;/citation&gt;</w:instrText>
      </w:r>
      <w:r w:rsidRPr="00121840">
        <w:rPr>
          <w:rFonts w:ascii="Times New Roman" w:hAnsi="Times New Roman" w:cs="Times New Roman"/>
        </w:rPr>
        <w:fldChar w:fldCharType="separate"/>
      </w:r>
      <w:r w:rsidR="006541A5">
        <w:rPr>
          <w:rFonts w:ascii="Times New Roman" w:hAnsi="Times New Roman" w:cs="Times New Roman"/>
        </w:rPr>
        <w:t>[32, 33]</w:t>
      </w:r>
      <w:r w:rsidRPr="00121840">
        <w:rPr>
          <w:rFonts w:ascii="Times New Roman" w:hAnsi="Times New Roman" w:cs="Times New Roman"/>
        </w:rPr>
        <w:fldChar w:fldCharType="end"/>
      </w:r>
      <w:r w:rsidRPr="00121840">
        <w:rPr>
          <w:rFonts w:ascii="Times New Roman" w:hAnsi="Times New Roman" w:cs="Times New Roman"/>
        </w:rPr>
        <w:t xml:space="preserve">, which control the sensitivity of the algorithm to structure at larger or smaller scales in the network. For simplicity, we kept </w:t>
      </w:r>
      <w:r w:rsidRPr="00121840">
        <w:rPr>
          <w:rFonts w:ascii="Times New Roman" w:hAnsi="Times New Roman" w:cs="Times New Roman"/>
        </w:rPr>
        <w:sym w:font="Symbol" w:char="F067"/>
      </w:r>
      <w:r w:rsidRPr="00121840">
        <w:rPr>
          <w:rFonts w:ascii="Times New Roman" w:hAnsi="Times New Roman" w:cs="Times New Roman"/>
        </w:rPr>
        <w:t xml:space="preserve">+ and </w:t>
      </w:r>
      <w:r w:rsidRPr="00121840">
        <w:rPr>
          <w:rFonts w:ascii="Times New Roman" w:hAnsi="Times New Roman" w:cs="Times New Roman"/>
        </w:rPr>
        <w:sym w:font="Symbol" w:char="F067"/>
      </w:r>
      <w:r w:rsidRPr="00121840">
        <w:rPr>
          <w:rFonts w:ascii="Times New Roman" w:hAnsi="Times New Roman" w:cs="Times New Roman"/>
        </w:rPr>
        <w:t xml:space="preserve">- equal, (hereafter referred to as simply </w:t>
      </w:r>
      <w:r w:rsidRPr="00121840">
        <w:rPr>
          <w:rFonts w:ascii="Times New Roman" w:hAnsi="Times New Roman" w:cs="Times New Roman"/>
        </w:rPr>
        <w:sym w:font="Symbol" w:char="F067"/>
      </w:r>
      <w:r w:rsidRPr="00121840">
        <w:rPr>
          <w:rFonts w:ascii="Times New Roman" w:hAnsi="Times New Roman" w:cs="Times New Roman"/>
        </w:rPr>
        <w:t xml:space="preserve">) and varied their values from 0.1 to 2 in intervals of 0.1 to examine their effect on the number and composition of putatively co-regulated modules detected. </w:t>
      </w:r>
    </w:p>
    <w:p w14:paraId="61D334C6" w14:textId="77777777" w:rsidR="00E363E2" w:rsidRPr="00121840" w:rsidRDefault="00E363E2" w:rsidP="00E363E2">
      <w:pPr>
        <w:spacing w:line="480" w:lineRule="auto"/>
        <w:rPr>
          <w:rFonts w:ascii="Times New Roman" w:hAnsi="Times New Roman" w:cs="Times New Roman"/>
        </w:rPr>
      </w:pPr>
    </w:p>
    <w:p w14:paraId="7E9C8650" w14:textId="6C68C056" w:rsidR="00E363E2" w:rsidRPr="00121840" w:rsidRDefault="000646E3" w:rsidP="00E363E2">
      <w:pPr>
        <w:spacing w:line="480" w:lineRule="auto"/>
        <w:rPr>
          <w:rFonts w:ascii="Times New Roman" w:hAnsi="Times New Roman" w:cs="Times New Roman"/>
        </w:rPr>
      </w:pPr>
      <w:r>
        <w:rPr>
          <w:rFonts w:ascii="Times New Roman" w:hAnsi="Times New Roman" w:cs="Times New Roman"/>
        </w:rPr>
        <w:t>Because the optim</w:t>
      </w:r>
      <w:r w:rsidR="00E363E2" w:rsidRPr="00121840">
        <w:rPr>
          <w:rFonts w:ascii="Times New Roman" w:hAnsi="Times New Roman" w:cs="Times New Roman"/>
        </w:rPr>
        <w:t xml:space="preserve">ization of the modularity quality function is NP-hard we explore the near-degeneracy of solutions by performing 100 optimizations of the quality function for each value of </w:t>
      </w:r>
      <w:r w:rsidR="00E363E2" w:rsidRPr="00121840">
        <w:rPr>
          <w:rFonts w:ascii="Times New Roman" w:hAnsi="Times New Roman" w:cs="Times New Roman"/>
        </w:rPr>
        <w:t xml:space="preserve">. We calculate the average number of modules (S) and modularity (Q) over these optimizations. The average modularity, Q, can be interpreted as a measure of putative co-regulation of miRNAs within modules, with high values of Q indicating strong putative co-regulation of miRNAs within modules and low values of Q indicating weak putative co-regulation of miRNAs within modules. </w:t>
      </w:r>
    </w:p>
    <w:p w14:paraId="55D9AAF7" w14:textId="77777777" w:rsidR="00E363E2" w:rsidRPr="00121840" w:rsidRDefault="00E363E2" w:rsidP="00E363E2">
      <w:pPr>
        <w:spacing w:line="480" w:lineRule="auto"/>
        <w:rPr>
          <w:rFonts w:ascii="Times New Roman" w:hAnsi="Times New Roman" w:cs="Times New Roman"/>
        </w:rPr>
      </w:pPr>
    </w:p>
    <w:p w14:paraId="1A80A1F8" w14:textId="20B15E24" w:rsidR="00E363E2" w:rsidRPr="00121840" w:rsidRDefault="00E363E2" w:rsidP="00E363E2">
      <w:pPr>
        <w:spacing w:line="480" w:lineRule="auto"/>
        <w:rPr>
          <w:rFonts w:ascii="Times New Roman" w:hAnsi="Times New Roman" w:cs="Times New Roman"/>
        </w:rPr>
      </w:pPr>
      <w:r w:rsidRPr="00121840">
        <w:rPr>
          <w:rFonts w:ascii="Times New Roman" w:hAnsi="Times New Roman" w:cs="Times New Roman"/>
        </w:rPr>
        <w:t xml:space="preserve">A representative partition of the 100 optimizations was constructed as in Bassett et al. </w:t>
      </w:r>
      <w:r w:rsidRPr="00121840">
        <w:rPr>
          <w:rFonts w:ascii="Times New Roman" w:hAnsi="Times New Roman" w:cs="Times New Roman"/>
        </w:rPr>
        <w:fldChar w:fldCharType="begin"/>
      </w:r>
      <w:r w:rsidR="00340477">
        <w:rPr>
          <w:rFonts w:ascii="Times New Roman" w:hAnsi="Times New Roman" w:cs="Times New Roman"/>
        </w:rPr>
        <w:instrText xml:space="preserve"> ADDIN PAPERS2_CITATIONS &lt;citation&gt;&lt;uuid&gt;17A5D6A6-D676-4007-A2CD-6B0B88F0A011&lt;/uuid&gt;&lt;priority&gt;21&lt;/priority&gt;&lt;publications&gt;&lt;publication&gt;&lt;volume&gt;23&lt;/volume&gt;&lt;publication_date&gt;99201300001200000000200000&lt;/publication_date&gt;&lt;number&gt;1&lt;/number&gt;&lt;doi&gt;10.1063/1.4790830&lt;/doi&gt;&lt;startpage&gt;013142&lt;/startpage&gt;&lt;title&gt;Robust detection of dynamic community structure in networks&lt;/title&gt;&lt;uuid&gt;C052E95A-1D07-41E9-9B47-8FE9A06E7219&lt;/uuid&gt;&lt;subtype&gt;400&lt;/subtype&gt;&lt;type&gt;400&lt;/type&gt;&lt;url&gt;http://link.aip.org/link/CHAOEH/v23/i1/p013142/s1&amp;amp;Agg=doi&lt;/url&gt;&lt;bundle&gt;&lt;publication&gt;&lt;title&gt;Chaos: An Interdisciplinary Journal of Nonlinear Science&lt;/title&gt;&lt;type&gt;-100&lt;/type&gt;&lt;subtype&gt;-100&lt;/subtype&gt;&lt;uuid&gt;05FDABDC-B982-4566-8035-F0003CEAA2B6&lt;/uuid&gt;&lt;/publication&gt;&lt;/bundle&gt;&lt;authors&gt;&lt;author&gt;&lt;firstName&gt;Danielle&lt;/firstName&gt;&lt;middleNames&gt;S&lt;/middleNames&gt;&lt;lastName&gt;Bassett&lt;/lastName&gt;&lt;/author&gt;&lt;author&gt;&lt;firstName&gt;Mason&lt;/firstName&gt;&lt;middleNames&gt;A&lt;/middleNames&gt;&lt;lastName&gt;Porter&lt;/lastName&gt;&lt;/author&gt;&lt;author&gt;&lt;firstName&gt;Nicholas&lt;/firstName&gt;&lt;middleNames&gt;F&lt;/middleNames&gt;&lt;lastName&gt;Wymbs&lt;/lastName&gt;&lt;/author&gt;&lt;author&gt;&lt;firstName&gt;Scott&lt;/firstName&gt;&lt;middleNames&gt;T&lt;/middleNames&gt;&lt;lastName&gt;Grafton&lt;/lastName&gt;&lt;/author&gt;&lt;author&gt;&lt;firstName&gt;Jean&lt;/firstName&gt;&lt;middleNames&gt;M&lt;/middleNames&gt;&lt;lastName&gt;Carlson&lt;/lastName&gt;&lt;/author&gt;&lt;author&gt;&lt;firstName&gt;Peter&lt;/firstName&gt;&lt;middleNames&gt;J&lt;/middleNames&gt;&lt;lastName&gt;Mucha&lt;/lastName&gt;&lt;/author&gt;&lt;/authors&gt;&lt;/publication&gt;&lt;/publications&gt;&lt;cites&gt;&lt;cite&gt;&lt;suppress&gt;A&lt;/suppress&gt;&lt;/cite&gt;&lt;/cites&gt;&lt;/citation&gt;</w:instrText>
      </w:r>
      <w:r w:rsidRPr="00121840">
        <w:rPr>
          <w:rFonts w:ascii="Times New Roman" w:hAnsi="Times New Roman" w:cs="Times New Roman"/>
        </w:rPr>
        <w:fldChar w:fldCharType="separate"/>
      </w:r>
      <w:r w:rsidR="006541A5">
        <w:rPr>
          <w:rFonts w:ascii="Times New Roman" w:hAnsi="Times New Roman" w:cs="Times New Roman"/>
        </w:rPr>
        <w:t>[34]</w:t>
      </w:r>
      <w:r w:rsidRPr="00121840">
        <w:rPr>
          <w:rFonts w:ascii="Times New Roman" w:hAnsi="Times New Roman" w:cs="Times New Roman"/>
        </w:rPr>
        <w:fldChar w:fldCharType="end"/>
      </w:r>
      <w:r w:rsidRPr="00121840">
        <w:rPr>
          <w:rFonts w:ascii="Times New Roman" w:hAnsi="Times New Roman" w:cs="Times New Roman"/>
        </w:rPr>
        <w:t xml:space="preserve">. Briefly, a matrix T was created summarizing the number of times each pair of miRNAs in the dataset </w:t>
      </w:r>
      <w:proofErr w:type="gramStart"/>
      <w:r w:rsidRPr="00121840">
        <w:rPr>
          <w:rFonts w:ascii="Times New Roman" w:hAnsi="Times New Roman" w:cs="Times New Roman"/>
          <w:i/>
        </w:rPr>
        <w:t xml:space="preserve">i </w:t>
      </w:r>
      <w:r w:rsidRPr="00121840">
        <w:rPr>
          <w:rFonts w:ascii="Times New Roman" w:hAnsi="Times New Roman" w:cs="Times New Roman"/>
        </w:rPr>
        <w:t xml:space="preserve">and </w:t>
      </w:r>
      <w:r w:rsidRPr="00121840">
        <w:rPr>
          <w:rFonts w:ascii="Times New Roman" w:hAnsi="Times New Roman" w:cs="Times New Roman"/>
          <w:i/>
        </w:rPr>
        <w:t>j</w:t>
      </w:r>
      <w:proofErr w:type="gramEnd"/>
      <w:r w:rsidRPr="00121840">
        <w:rPr>
          <w:rFonts w:ascii="Times New Roman" w:hAnsi="Times New Roman" w:cs="Times New Roman"/>
          <w:i/>
        </w:rPr>
        <w:t xml:space="preserve"> </w:t>
      </w:r>
      <w:r w:rsidRPr="00121840">
        <w:rPr>
          <w:rFonts w:ascii="Times New Roman" w:hAnsi="Times New Roman" w:cs="Times New Roman"/>
        </w:rPr>
        <w:t>were in the same module in each of the 100 optimizations. Each of the 100 optimizations was then randomly permuted, and a corresponding matrix T</w:t>
      </w:r>
      <w:r w:rsidRPr="00121840">
        <w:rPr>
          <w:rFonts w:ascii="Times New Roman" w:hAnsi="Times New Roman" w:cs="Times New Roman"/>
          <w:vertAlign w:val="superscript"/>
        </w:rPr>
        <w:t>r</w:t>
      </w:r>
      <w:r w:rsidRPr="00121840">
        <w:rPr>
          <w:rFonts w:ascii="Times New Roman" w:hAnsi="Times New Roman" w:cs="Times New Roman"/>
        </w:rPr>
        <w:t xml:space="preserve"> was constructed summarizing the number of times each pair of miRNAs was in the same module in each of the 100 randomly permuted optimizations. All values T</w:t>
      </w:r>
      <w:r w:rsidRPr="00121840">
        <w:rPr>
          <w:rFonts w:ascii="Times New Roman" w:hAnsi="Times New Roman" w:cs="Times New Roman"/>
          <w:i/>
          <w:vertAlign w:val="subscript"/>
        </w:rPr>
        <w:t>ij</w:t>
      </w:r>
      <w:r w:rsidRPr="00121840">
        <w:rPr>
          <w:rFonts w:ascii="Times New Roman" w:hAnsi="Times New Roman" w:cs="Times New Roman"/>
        </w:rPr>
        <w:t xml:space="preserve"> which were lower than the corresponding values T</w:t>
      </w:r>
      <w:r w:rsidRPr="00121840">
        <w:rPr>
          <w:rFonts w:ascii="Times New Roman" w:hAnsi="Times New Roman" w:cs="Times New Roman"/>
          <w:vertAlign w:val="subscript"/>
        </w:rPr>
        <w:t>ij</w:t>
      </w:r>
      <w:r w:rsidRPr="00121840">
        <w:rPr>
          <w:rFonts w:ascii="Times New Roman" w:hAnsi="Times New Roman" w:cs="Times New Roman"/>
          <w:vertAlign w:val="superscript"/>
        </w:rPr>
        <w:t>r</w:t>
      </w:r>
      <w:r w:rsidRPr="00121840">
        <w:rPr>
          <w:rFonts w:ascii="Times New Roman" w:hAnsi="Times New Roman" w:cs="Times New Roman"/>
        </w:rPr>
        <w:t xml:space="preserve"> were set to 0, and this modified T matrix was then subjected to the same community detection approach used to construct the original co-expression networks above to create a single, representative partition.</w:t>
      </w:r>
    </w:p>
    <w:p w14:paraId="53D27192" w14:textId="77777777" w:rsidR="00E363E2" w:rsidRPr="00121840" w:rsidRDefault="00E363E2" w:rsidP="00E363E2">
      <w:pPr>
        <w:spacing w:line="480" w:lineRule="auto"/>
        <w:rPr>
          <w:rFonts w:ascii="Times New Roman" w:hAnsi="Times New Roman" w:cs="Times New Roman"/>
        </w:rPr>
      </w:pPr>
    </w:p>
    <w:p w14:paraId="4B5BDD02" w14:textId="77777777" w:rsidR="00E363E2" w:rsidRPr="00121840" w:rsidRDefault="00E363E2" w:rsidP="00E363E2">
      <w:pPr>
        <w:spacing w:line="480" w:lineRule="auto"/>
        <w:rPr>
          <w:rFonts w:ascii="Times New Roman" w:hAnsi="Times New Roman" w:cs="Times New Roman"/>
        </w:rPr>
      </w:pPr>
      <w:r w:rsidRPr="00121840">
        <w:rPr>
          <w:rFonts w:ascii="Times New Roman" w:hAnsi="Times New Roman" w:cs="Times New Roman"/>
        </w:rPr>
        <w:t xml:space="preserve">Community structuring was carried out at the standard resolution parameter of 1, and is discussed in detail in the main text. Increasing </w:t>
      </w:r>
      <w:r w:rsidRPr="00121840">
        <w:rPr>
          <w:rFonts w:ascii="Times New Roman" w:hAnsi="Times New Roman" w:cs="Times New Roman"/>
        </w:rPr>
        <w:sym w:font="Symbol" w:char="F067"/>
      </w:r>
      <w:r w:rsidRPr="00121840">
        <w:rPr>
          <w:rFonts w:ascii="Times New Roman" w:hAnsi="Times New Roman" w:cs="Times New Roman"/>
        </w:rPr>
        <w:t xml:space="preserve"> values generally resulted in a greater number of modules detected within a network. To investigate the effect of γ values greater than 1, we examined the network produced by a γ value of 2.5. The γ value of 2.5 was chosen because values greater than 2.5 resulted in increasing numbers of individual miRNAs being identified as separate, individual modules – a hallmark of fragmentation in the network. While the number of modules detected at γ=2.5 was increased in comparison to the number identified at γ=1, the majority of new modules were formed from small groups of miRNAs or single miRNAs splitting from the major modules detected at γ=1. The only consistent major subdivision of the existing modules was a splitting of a single module (module 2) into at least two submodules. Therefore, as a separate approach to examine the substructure within all of the modules detected at γ=1.0, each module was reanalyzed individually to detect submodularity.</w:t>
      </w:r>
    </w:p>
    <w:p w14:paraId="1E3A6FF1" w14:textId="77777777" w:rsidR="00E363E2" w:rsidRPr="00121840" w:rsidRDefault="00E363E2" w:rsidP="00E363E2">
      <w:pPr>
        <w:spacing w:line="480" w:lineRule="auto"/>
        <w:rPr>
          <w:rFonts w:ascii="Times New Roman" w:hAnsi="Times New Roman" w:cs="Times New Roman"/>
        </w:rPr>
      </w:pPr>
    </w:p>
    <w:p w14:paraId="42E53EB3" w14:textId="67AD8F72" w:rsidR="00E363E2" w:rsidRPr="00121840" w:rsidRDefault="00E363E2" w:rsidP="00E363E2">
      <w:pPr>
        <w:spacing w:line="480" w:lineRule="auto"/>
        <w:rPr>
          <w:rFonts w:ascii="Times New Roman" w:hAnsi="Times New Roman" w:cs="Times New Roman"/>
        </w:rPr>
      </w:pPr>
      <w:r w:rsidRPr="00121840">
        <w:rPr>
          <w:rFonts w:ascii="Times New Roman" w:hAnsi="Times New Roman" w:cs="Times New Roman"/>
        </w:rPr>
        <w:t xml:space="preserve">To determine the significance of network community structure, two treatment-permuted null models were constructed for each dataset: i) for each miRNA, expression values were permuted over all treatments (randomly permuted across all treatments dataset), and ii) to account for potential differences between the two replicates even after normalization, for each miRNA, expression values were permuted within each replicate (randomly permuted within each replicate dataset). For both types of permutations, 1000 different permuted datasets were constructed, and average correlation (R) was calculated for each. One-sample, two-tailed t-tests were conducted comparing the 1000 </w:t>
      </w:r>
      <w:proofErr w:type="gramStart"/>
      <w:r w:rsidRPr="00121840">
        <w:rPr>
          <w:rFonts w:ascii="Times New Roman" w:hAnsi="Times New Roman" w:cs="Times New Roman"/>
        </w:rPr>
        <w:t>R values</w:t>
      </w:r>
      <w:proofErr w:type="gramEnd"/>
      <w:r w:rsidRPr="00121840">
        <w:rPr>
          <w:rFonts w:ascii="Times New Roman" w:hAnsi="Times New Roman" w:cs="Times New Roman"/>
        </w:rPr>
        <w:t xml:space="preserve"> to the mean R value from the true dataset. Similarly, the partitioning of each of the 1000 replicates was compared to the representative partition of the actual dataset via a z-score of the Rand coefficent </w:t>
      </w:r>
      <w:r w:rsidRPr="00121840">
        <w:rPr>
          <w:rFonts w:ascii="Times New Roman" w:hAnsi="Times New Roman" w:cs="Times New Roman"/>
        </w:rPr>
        <w:fldChar w:fldCharType="begin"/>
      </w:r>
      <w:r w:rsidR="00340477">
        <w:rPr>
          <w:rFonts w:ascii="Times New Roman" w:hAnsi="Times New Roman" w:cs="Times New Roman"/>
        </w:rPr>
        <w:instrText xml:space="preserve"> ADDIN PAPERS2_CITATIONS &lt;citation&gt;&lt;uuid&gt;BBEFC1C3-0710-4D7F-AEF8-92C83BFDCD93&lt;/uuid&gt;&lt;priority&gt;22&lt;/priority&gt;&lt;publications&gt;&lt;publication&gt;&lt;volume&gt;391&lt;/volume&gt;&lt;publication_date&gt;99201208001200000000220000&lt;/publication_date&gt;&lt;number&gt;16&lt;/number&gt;&lt;doi&gt;10.1016/j.physa.2011.12.021&lt;/doi&gt;&lt;startpage&gt;4165&lt;/startpage&gt;&lt;title&gt;Social structure of Facebook networks&lt;/title&gt;&lt;uuid&gt;A0253BB9-16B3-41C8-A4FC-02A463C847C6&lt;/uuid&gt;&lt;subtype&gt;400&lt;/subtype&gt;&lt;endpage&gt;4180&lt;/endpage&gt;&lt;type&gt;400&lt;/type&gt;&lt;url&gt;http://linkinghub.elsevier.com/retrieve/pii/S0378437111009186&lt;/url&gt;&lt;bundle&gt;&lt;publication&gt;&lt;title&gt;Physica A: Statistical Mechanics and its Applications&lt;/title&gt;&lt;type&gt;-100&lt;/type&gt;&lt;subtype&gt;-100&lt;/subtype&gt;&lt;uuid&gt;4D755CA3-58B1-4394-99ED-6E9C01279BC7&lt;/uuid&gt;&lt;/publication&gt;&lt;/bundle&gt;&lt;authors&gt;&lt;author&gt;&lt;firstName&gt;Amanda&lt;/firstName&gt;&lt;middleNames&gt;L&lt;/middleNames&gt;&lt;lastName&gt;Traud&lt;/lastName&gt;&lt;/author&gt;&lt;author&gt;&lt;firstName&gt;Peter&lt;/firstName&gt;&lt;middleNames&gt;J&lt;/middleNames&gt;&lt;lastName&gt;Mucha&lt;/lastName&gt;&lt;/author&gt;&lt;author&gt;&lt;firstName&gt;Mason&lt;/firstName&gt;&lt;middleNames&gt;A&lt;/middleNames&gt;&lt;lastName&gt;Porter&lt;/lastName&gt;&lt;/author&gt;&lt;/authors&gt;&lt;/publication&gt;&lt;publication&gt;&lt;volume&gt;23&lt;/volume&gt;&lt;publication_date&gt;99201300001200000000200000&lt;/publication_date&gt;&lt;number&gt;1&lt;/number&gt;&lt;doi&gt;10.1063/1.4790830&lt;/doi&gt;&lt;startpage&gt;013142&lt;/startpage&gt;&lt;title&gt;Robust detection of dynamic community structure in networks&lt;/title&gt;&lt;uuid&gt;C052E95A-1D07-41E9-9B47-8FE9A06E7219&lt;/uuid&gt;&lt;subtype&gt;400&lt;/subtype&gt;&lt;type&gt;400&lt;/type&gt;&lt;url&gt;http://link.aip.org/link/CHAOEH/v23/i1/p013142/s1&amp;amp;Agg=doi&lt;/url&gt;&lt;bundle&gt;&lt;publication&gt;&lt;title&gt;Chaos: An Interdisciplinary Journal of Nonlinear Science&lt;/title&gt;&lt;type&gt;-100&lt;/type&gt;&lt;subtype&gt;-100&lt;/subtype&gt;&lt;uuid&gt;05FDABDC-B982-4566-8035-F0003CEAA2B6&lt;/uuid&gt;&lt;/publication&gt;&lt;/bundle&gt;&lt;authors&gt;&lt;author&gt;&lt;firstName&gt;Danielle&lt;/firstName&gt;&lt;middleNames&gt;S&lt;/middleNames&gt;&lt;lastName&gt;Bassett&lt;/lastName&gt;&lt;/author&gt;&lt;author&gt;&lt;firstName&gt;Mason&lt;/firstName&gt;&lt;middleNames&gt;A&lt;/middleNames&gt;&lt;lastName&gt;Porter&lt;/lastName&gt;&lt;/author&gt;&lt;author&gt;&lt;firstName&gt;Nicholas&lt;/firstName&gt;&lt;middleNames&gt;F&lt;/middleNames&gt;&lt;lastName&gt;Wymbs&lt;/lastName&gt;&lt;/author&gt;&lt;author&gt;&lt;firstName&gt;Scott&lt;/firstName&gt;&lt;middleNames&gt;T&lt;/middleNames&gt;&lt;lastName&gt;Grafton&lt;/lastName&gt;&lt;/author&gt;&lt;author&gt;&lt;firstName&gt;Jean&lt;/firstName&gt;&lt;middleNames&gt;M&lt;/middleNames&gt;&lt;lastName&gt;Carlson&lt;/lastName&gt;&lt;/author&gt;&lt;author&gt;&lt;firstName&gt;Peter&lt;/firstName&gt;&lt;middleNames&gt;J&lt;/middleNames&gt;&lt;lastName&gt;Mucha&lt;/lastName&gt;&lt;/author&gt;&lt;/authors&gt;&lt;/publication&gt;&lt;/publications&gt;&lt;cites&gt;&lt;/cites&gt;&lt;/citation&gt;</w:instrText>
      </w:r>
      <w:r w:rsidRPr="00121840">
        <w:rPr>
          <w:rFonts w:ascii="Times New Roman" w:hAnsi="Times New Roman" w:cs="Times New Roman"/>
        </w:rPr>
        <w:fldChar w:fldCharType="separate"/>
      </w:r>
      <w:r w:rsidR="006541A5">
        <w:rPr>
          <w:rFonts w:ascii="Times New Roman" w:hAnsi="Times New Roman" w:cs="Times New Roman"/>
        </w:rPr>
        <w:t>[34, 35]</w:t>
      </w:r>
      <w:r w:rsidRPr="00121840">
        <w:rPr>
          <w:rFonts w:ascii="Times New Roman" w:hAnsi="Times New Roman" w:cs="Times New Roman"/>
        </w:rPr>
        <w:fldChar w:fldCharType="end"/>
      </w:r>
      <w:r w:rsidRPr="00121840">
        <w:rPr>
          <w:rFonts w:ascii="Times New Roman" w:hAnsi="Times New Roman" w:cs="Times New Roman"/>
        </w:rPr>
        <w:t xml:space="preserve">, which measures similarity between the networks. Z-scores were averaged over the replicates to generate a mean </w:t>
      </w:r>
      <w:proofErr w:type="gramStart"/>
      <w:r w:rsidRPr="00121840">
        <w:rPr>
          <w:rFonts w:ascii="Times New Roman" w:hAnsi="Times New Roman" w:cs="Times New Roman"/>
        </w:rPr>
        <w:t>z-score</w:t>
      </w:r>
      <w:proofErr w:type="gramEnd"/>
      <w:r w:rsidRPr="00121840">
        <w:rPr>
          <w:rFonts w:ascii="Times New Roman" w:hAnsi="Times New Roman" w:cs="Times New Roman"/>
        </w:rPr>
        <w:t xml:space="preserve"> for each permuted dataset. The mean expected </w:t>
      </w:r>
      <w:proofErr w:type="gramStart"/>
      <w:r w:rsidRPr="00121840">
        <w:rPr>
          <w:rFonts w:ascii="Times New Roman" w:hAnsi="Times New Roman" w:cs="Times New Roman"/>
        </w:rPr>
        <w:t>z-score</w:t>
      </w:r>
      <w:proofErr w:type="gramEnd"/>
      <w:r w:rsidRPr="00121840">
        <w:rPr>
          <w:rFonts w:ascii="Times New Roman" w:hAnsi="Times New Roman" w:cs="Times New Roman"/>
        </w:rPr>
        <w:t xml:space="preserve"> between independent networks is 0, with increasing z-scores for more-similar networks. When comparing networks of datasets with only partially overlapping sets of miRNAs, the </w:t>
      </w:r>
      <w:proofErr w:type="gramStart"/>
      <w:r w:rsidRPr="00121840">
        <w:rPr>
          <w:rFonts w:ascii="Times New Roman" w:hAnsi="Times New Roman" w:cs="Times New Roman"/>
        </w:rPr>
        <w:t>z-score</w:t>
      </w:r>
      <w:proofErr w:type="gramEnd"/>
      <w:r w:rsidRPr="00121840">
        <w:rPr>
          <w:rFonts w:ascii="Times New Roman" w:hAnsi="Times New Roman" w:cs="Times New Roman"/>
        </w:rPr>
        <w:t xml:space="preserve"> was calculated only for the miRNAs in common between the datasets. In the permuted datasets where the expression levels of each miRNA were randomly permuted across treatments within each replicate (within replicate, randomly permuted datasets), the permutation maintained the structure due to differences between replicates that is present in the real dataset. The mean z-scores between the actual dataset and within replicate, randomly permuted datasets were therefore elevated above zero, reflecting these preserved between replicate differences. For comparison, the mean z-score between each of the 100 optimizations of the true dataset compared to the representative partition was also calculated, to illustrate the z-score of partitions that share more than simply between replicate differences (Fig. S4). </w:t>
      </w:r>
    </w:p>
    <w:p w14:paraId="6FA3442C" w14:textId="77777777" w:rsidR="00E363E2" w:rsidRPr="00B75B1E" w:rsidRDefault="00E363E2" w:rsidP="00E363E2">
      <w:pPr>
        <w:spacing w:line="480" w:lineRule="auto"/>
        <w:rPr>
          <w:rFonts w:ascii="Times" w:hAnsi="Times"/>
        </w:rPr>
      </w:pPr>
      <w:r>
        <w:rPr>
          <w:rFonts w:ascii="Times" w:hAnsi="Times"/>
        </w:rPr>
        <w:tab/>
      </w:r>
    </w:p>
    <w:p w14:paraId="657B4272" w14:textId="77777777" w:rsidR="00E363E2" w:rsidRPr="00121840" w:rsidRDefault="00E363E2" w:rsidP="00E363E2">
      <w:pPr>
        <w:spacing w:line="480" w:lineRule="auto"/>
        <w:rPr>
          <w:rFonts w:ascii="Arial" w:hAnsi="Arial" w:cs="Arial"/>
          <w:b/>
          <w:sz w:val="32"/>
          <w:szCs w:val="32"/>
        </w:rPr>
      </w:pPr>
      <w:r w:rsidRPr="00121840">
        <w:rPr>
          <w:rFonts w:ascii="Arial" w:hAnsi="Arial" w:cs="Arial"/>
          <w:b/>
          <w:sz w:val="32"/>
          <w:szCs w:val="32"/>
        </w:rPr>
        <w:t>Supplemental Results</w:t>
      </w:r>
    </w:p>
    <w:p w14:paraId="44B0EFFF" w14:textId="77777777" w:rsidR="00E363E2" w:rsidRDefault="00E363E2" w:rsidP="00E363E2">
      <w:pPr>
        <w:spacing w:line="480" w:lineRule="auto"/>
        <w:rPr>
          <w:rFonts w:ascii="Times" w:hAnsi="Times"/>
          <w:b/>
        </w:rPr>
      </w:pPr>
    </w:p>
    <w:p w14:paraId="52F3E8A5" w14:textId="77777777" w:rsidR="00E363E2" w:rsidRPr="00121840" w:rsidRDefault="00E363E2" w:rsidP="00E363E2">
      <w:pPr>
        <w:spacing w:line="480" w:lineRule="auto"/>
        <w:rPr>
          <w:rFonts w:ascii="Arial" w:hAnsi="Arial" w:cs="Arial"/>
          <w:b/>
        </w:rPr>
      </w:pPr>
      <w:r w:rsidRPr="00121840">
        <w:rPr>
          <w:rFonts w:ascii="Arial" w:hAnsi="Arial" w:cs="Arial"/>
          <w:b/>
        </w:rPr>
        <w:t>Modules of differentially expressed miRNAs are stable even without known reprogramming miRNAs, or when investigating only reprogramming samples</w:t>
      </w:r>
    </w:p>
    <w:p w14:paraId="7230E811" w14:textId="77777777" w:rsidR="00E363E2" w:rsidRPr="009A7CC7" w:rsidRDefault="00E363E2" w:rsidP="00E363E2">
      <w:pPr>
        <w:spacing w:line="480" w:lineRule="auto"/>
        <w:rPr>
          <w:rFonts w:ascii="Times New Roman" w:hAnsi="Times New Roman" w:cs="Times New Roman"/>
        </w:rPr>
      </w:pPr>
      <w:r w:rsidRPr="009A7CC7">
        <w:rPr>
          <w:rFonts w:ascii="Times New Roman" w:hAnsi="Times New Roman" w:cs="Times New Roman"/>
        </w:rPr>
        <w:t xml:space="preserve">There was high partition similarity (z-scores) between network module partitioning generated from the full FDR1 and FDR5 datasets and those partitions generated from their counterpart datasets where the miRNAs overlapping with the KR dataset had been removed (Table S5). Modules detected in both the FDR1 and FDR5 datasets were therefore largely the same even after the subset of miRNAs from the literature were removed. This indicates that the partitioning of these datasets into modules, and the similarity of this partitioning to the KR dataset, did not rely solely on the expression patterns of the miRNAs shared in common between the KR dataset and either the FDR1 or FDR5 datasets. Similarly, when only the reprogramming samples (MEF, Thy1–, SSEA1+ and Oct4-GFP+) were analyzed at </w:t>
      </w:r>
      <w:r w:rsidRPr="009A7CC7">
        <w:rPr>
          <w:rFonts w:ascii="Times New Roman" w:hAnsi="Times New Roman" w:cs="Times New Roman"/>
        </w:rPr>
        <w:sym w:font="Symbol" w:char="F067"/>
      </w:r>
      <w:r w:rsidRPr="009A7CC7">
        <w:rPr>
          <w:rFonts w:ascii="Times New Roman" w:hAnsi="Times New Roman" w:cs="Times New Roman"/>
        </w:rPr>
        <w:t xml:space="preserve">=1, the results were quite similar to those for the entire dataset. The same </w:t>
      </w:r>
      <w:proofErr w:type="gramStart"/>
      <w:r w:rsidRPr="009A7CC7">
        <w:rPr>
          <w:rFonts w:ascii="Times New Roman" w:hAnsi="Times New Roman" w:cs="Times New Roman"/>
        </w:rPr>
        <w:t>number of modules were</w:t>
      </w:r>
      <w:proofErr w:type="gramEnd"/>
      <w:r w:rsidRPr="009A7CC7">
        <w:rPr>
          <w:rFonts w:ascii="Times New Roman" w:hAnsi="Times New Roman" w:cs="Times New Roman"/>
        </w:rPr>
        <w:t xml:space="preserve"> detected, and there was high partition similarity (z-scores) between the partitioning generated from the reprogramming-only sample datasets and that generated from the corresponding full datasets (Tables S4, S5). This suggests that the pattern of partitioning is robust and reflects differences in the expression patterns of various groups of miRNAs during reprogramming. For all datasets (Fig. S4), the average correlation was greater than expected by chance when compared to the average correlation of randomly permuted datasets, indicating greater than random co-expression among the miRNAs in the datasets. Similarly, the partition similarity (z-score) between network partitions of the randomly permuted datasets and the representative partition of the actual data was lower than between the representative partition and the underlying optimizations of the actual data (Extended Experimental Procedures, Fig. S4). The mean </w:t>
      </w:r>
      <w:proofErr w:type="gramStart"/>
      <w:r w:rsidRPr="009A7CC7">
        <w:rPr>
          <w:rFonts w:ascii="Times New Roman" w:hAnsi="Times New Roman" w:cs="Times New Roman"/>
        </w:rPr>
        <w:t>z-score</w:t>
      </w:r>
      <w:proofErr w:type="gramEnd"/>
      <w:r w:rsidRPr="009A7CC7">
        <w:rPr>
          <w:rFonts w:ascii="Times New Roman" w:hAnsi="Times New Roman" w:cs="Times New Roman"/>
        </w:rPr>
        <w:t xml:space="preserve"> for the representative partition of the actual data compared to the datasets created by randomly permutation across all treatments was 0 for all datasets and community resolution parameters, as expected between independent networks. The mean z-score for the representative partition of the actual data compared to the randomly permuted within each replicate datasets was greater than zero for some combinations of dataset and community resolution parameter, reflecting the between replicate structure shared between the representative partition and these permuted datasets. However, these z-scores were always lower than the mean </w:t>
      </w:r>
      <w:proofErr w:type="gramStart"/>
      <w:r w:rsidRPr="009A7CC7">
        <w:rPr>
          <w:rFonts w:ascii="Times New Roman" w:hAnsi="Times New Roman" w:cs="Times New Roman"/>
        </w:rPr>
        <w:t>z-score</w:t>
      </w:r>
      <w:proofErr w:type="gramEnd"/>
      <w:r w:rsidRPr="009A7CC7">
        <w:rPr>
          <w:rFonts w:ascii="Times New Roman" w:hAnsi="Times New Roman" w:cs="Times New Roman"/>
        </w:rPr>
        <w:t xml:space="preserve"> between the representative partition and the underlying optimizations of the actual data, demonstrating that the shared structure due to the differences between the two replicates was only a fraction of the total structure.</w:t>
      </w:r>
    </w:p>
    <w:p w14:paraId="5943C41E" w14:textId="77777777" w:rsidR="00E363E2" w:rsidRDefault="00E363E2" w:rsidP="00E363E2">
      <w:pPr>
        <w:spacing w:line="480" w:lineRule="auto"/>
        <w:ind w:firstLine="720"/>
        <w:rPr>
          <w:rFonts w:ascii="Times" w:hAnsi="Times"/>
        </w:rPr>
      </w:pPr>
    </w:p>
    <w:p w14:paraId="17C79B20" w14:textId="77777777" w:rsidR="00E363E2" w:rsidRPr="009A7CC7" w:rsidRDefault="00E363E2" w:rsidP="00E363E2">
      <w:pPr>
        <w:spacing w:line="480" w:lineRule="auto"/>
        <w:rPr>
          <w:rFonts w:ascii="Arial" w:hAnsi="Arial" w:cs="Arial"/>
          <w:b/>
        </w:rPr>
      </w:pPr>
      <w:r w:rsidRPr="009A7CC7">
        <w:rPr>
          <w:rFonts w:ascii="Arial" w:hAnsi="Arial" w:cs="Arial"/>
          <w:b/>
        </w:rPr>
        <w:t xml:space="preserve">Details of submodule structure when </w:t>
      </w:r>
      <w:r w:rsidRPr="009A7CC7">
        <w:rPr>
          <w:rFonts w:ascii="Arial" w:hAnsi="Arial" w:cs="Arial"/>
          <w:b/>
        </w:rPr>
        <w:sym w:font="Symbol" w:char="F067"/>
      </w:r>
      <w:r w:rsidRPr="009A7CC7">
        <w:rPr>
          <w:rFonts w:ascii="Arial" w:hAnsi="Arial" w:cs="Arial"/>
          <w:b/>
        </w:rPr>
        <w:t>=2.5</w:t>
      </w:r>
    </w:p>
    <w:p w14:paraId="5F96E780" w14:textId="77777777" w:rsidR="00E363E2" w:rsidRPr="009A7CC7" w:rsidRDefault="00E363E2" w:rsidP="00E363E2">
      <w:pPr>
        <w:spacing w:line="480" w:lineRule="auto"/>
        <w:rPr>
          <w:rFonts w:ascii="Times New Roman" w:hAnsi="Times New Roman" w:cs="Times New Roman"/>
        </w:rPr>
      </w:pPr>
      <w:r w:rsidRPr="009A7CC7">
        <w:rPr>
          <w:rFonts w:ascii="Times New Roman" w:hAnsi="Times New Roman" w:cs="Times New Roman"/>
        </w:rPr>
        <w:t>When the resolution parameter</w:t>
      </w:r>
      <w:r w:rsidRPr="009A7CC7">
        <w:rPr>
          <w:rFonts w:ascii="Times New Roman" w:hAnsi="Times New Roman" w:cs="Times New Roman"/>
          <w:b/>
        </w:rPr>
        <w:t xml:space="preserve"> </w:t>
      </w:r>
      <w:r w:rsidRPr="009A7CC7">
        <w:rPr>
          <w:rFonts w:ascii="Times New Roman" w:hAnsi="Times New Roman" w:cs="Times New Roman"/>
          <w:b/>
        </w:rPr>
        <w:sym w:font="Symbol" w:char="F067"/>
      </w:r>
      <w:r w:rsidRPr="009A7CC7">
        <w:rPr>
          <w:rFonts w:ascii="Times New Roman" w:hAnsi="Times New Roman" w:cs="Times New Roman"/>
        </w:rPr>
        <w:t xml:space="preserve"> was increased to 2.5, the FDR1 dataset splintered into 9 modules, 5 of which had 10 or fewer miRNAs. The only consistent subdivision across all three datasets was that module 2 from the analysis at </w:t>
      </w:r>
      <w:r w:rsidRPr="009A7CC7">
        <w:rPr>
          <w:rFonts w:ascii="Times New Roman" w:hAnsi="Times New Roman" w:cs="Times New Roman"/>
        </w:rPr>
        <w:sym w:font="Symbol" w:char="F067"/>
      </w:r>
      <w:r w:rsidRPr="009A7CC7">
        <w:rPr>
          <w:rFonts w:ascii="Times New Roman" w:hAnsi="Times New Roman" w:cs="Times New Roman"/>
        </w:rPr>
        <w:t xml:space="preserve">=1 was subdivided, though the extent of that subdivision varied greatly across the three datasets. In the KR dataset, modules 1 &amp; 3 at </w:t>
      </w:r>
      <w:r w:rsidRPr="009A7CC7">
        <w:rPr>
          <w:rFonts w:ascii="Times New Roman" w:hAnsi="Times New Roman" w:cs="Times New Roman"/>
        </w:rPr>
        <w:sym w:font="Symbol" w:char="F067"/>
      </w:r>
      <w:r w:rsidRPr="009A7CC7">
        <w:rPr>
          <w:rFonts w:ascii="Times New Roman" w:hAnsi="Times New Roman" w:cs="Times New Roman"/>
        </w:rPr>
        <w:t xml:space="preserve">=1 were largely identical to modules 1 and 2, respectively, at </w:t>
      </w:r>
      <w:r w:rsidRPr="009A7CC7">
        <w:rPr>
          <w:rFonts w:ascii="Times New Roman" w:hAnsi="Times New Roman" w:cs="Times New Roman"/>
        </w:rPr>
        <w:sym w:font="Symbol" w:char="F067"/>
      </w:r>
      <w:r w:rsidRPr="009A7CC7">
        <w:rPr>
          <w:rFonts w:ascii="Times New Roman" w:hAnsi="Times New Roman" w:cs="Times New Roman"/>
        </w:rPr>
        <w:t xml:space="preserve">=2.5, while module 2 from </w:t>
      </w:r>
      <w:r w:rsidRPr="009A7CC7">
        <w:rPr>
          <w:rFonts w:ascii="Times New Roman" w:hAnsi="Times New Roman" w:cs="Times New Roman"/>
        </w:rPr>
        <w:sym w:font="Symbol" w:char="F067"/>
      </w:r>
      <w:r w:rsidRPr="009A7CC7">
        <w:rPr>
          <w:rFonts w:ascii="Times New Roman" w:hAnsi="Times New Roman" w:cs="Times New Roman"/>
        </w:rPr>
        <w:t xml:space="preserve">=1 split into modules 3 and 4 at </w:t>
      </w:r>
      <w:r w:rsidRPr="009A7CC7">
        <w:rPr>
          <w:rFonts w:ascii="Times New Roman" w:hAnsi="Times New Roman" w:cs="Times New Roman"/>
        </w:rPr>
        <w:sym w:font="Symbol" w:char="F067"/>
      </w:r>
      <w:r w:rsidRPr="009A7CC7">
        <w:rPr>
          <w:rFonts w:ascii="Times New Roman" w:hAnsi="Times New Roman" w:cs="Times New Roman"/>
        </w:rPr>
        <w:t xml:space="preserve">=2.5. In the FDR1 dataset, module 1 at </w:t>
      </w:r>
      <w:r w:rsidRPr="009A7CC7">
        <w:rPr>
          <w:rFonts w:ascii="Times New Roman" w:hAnsi="Times New Roman" w:cs="Times New Roman"/>
        </w:rPr>
        <w:sym w:font="Symbol" w:char="F067"/>
      </w:r>
      <w:r w:rsidRPr="009A7CC7">
        <w:rPr>
          <w:rFonts w:ascii="Times New Roman" w:hAnsi="Times New Roman" w:cs="Times New Roman"/>
        </w:rPr>
        <w:t xml:space="preserve">=1 is identical to module 1 at </w:t>
      </w:r>
      <w:r w:rsidRPr="009A7CC7">
        <w:rPr>
          <w:rFonts w:ascii="Times New Roman" w:hAnsi="Times New Roman" w:cs="Times New Roman"/>
        </w:rPr>
        <w:sym w:font="Symbol" w:char="F067"/>
      </w:r>
      <w:r w:rsidRPr="009A7CC7">
        <w:rPr>
          <w:rFonts w:ascii="Times New Roman" w:hAnsi="Times New Roman" w:cs="Times New Roman"/>
        </w:rPr>
        <w:t xml:space="preserve">=2.5 with the exception of 2 miRNAs, while module 3 at </w:t>
      </w:r>
      <w:r w:rsidRPr="009A7CC7">
        <w:rPr>
          <w:rFonts w:ascii="Times New Roman" w:hAnsi="Times New Roman" w:cs="Times New Roman"/>
        </w:rPr>
        <w:sym w:font="Symbol" w:char="F067"/>
      </w:r>
      <w:r w:rsidRPr="009A7CC7">
        <w:rPr>
          <w:rFonts w:ascii="Times New Roman" w:hAnsi="Times New Roman" w:cs="Times New Roman"/>
        </w:rPr>
        <w:t xml:space="preserve">=1 largely corresponds to modules 2 and 5 at </w:t>
      </w:r>
      <w:r w:rsidRPr="009A7CC7">
        <w:rPr>
          <w:rFonts w:ascii="Times New Roman" w:hAnsi="Times New Roman" w:cs="Times New Roman"/>
        </w:rPr>
        <w:sym w:font="Symbol" w:char="F067"/>
      </w:r>
      <w:r w:rsidRPr="009A7CC7">
        <w:rPr>
          <w:rFonts w:ascii="Times New Roman" w:hAnsi="Times New Roman" w:cs="Times New Roman"/>
        </w:rPr>
        <w:t xml:space="preserve">=2.5. Module 2 at </w:t>
      </w:r>
      <w:r w:rsidRPr="009A7CC7">
        <w:rPr>
          <w:rFonts w:ascii="Times New Roman" w:hAnsi="Times New Roman" w:cs="Times New Roman"/>
        </w:rPr>
        <w:sym w:font="Symbol" w:char="F067"/>
      </w:r>
      <w:r w:rsidRPr="009A7CC7">
        <w:rPr>
          <w:rFonts w:ascii="Times New Roman" w:hAnsi="Times New Roman" w:cs="Times New Roman"/>
        </w:rPr>
        <w:t xml:space="preserve">=1, however, split into modules 3,4,6,7,8 and 9 (plus one miRNA contributed to module 1) when </w:t>
      </w:r>
      <w:r w:rsidRPr="009A7CC7">
        <w:rPr>
          <w:rFonts w:ascii="Times New Roman" w:hAnsi="Times New Roman" w:cs="Times New Roman"/>
        </w:rPr>
        <w:sym w:font="Symbol" w:char="F067"/>
      </w:r>
      <w:r w:rsidRPr="009A7CC7">
        <w:rPr>
          <w:rFonts w:ascii="Times New Roman" w:hAnsi="Times New Roman" w:cs="Times New Roman"/>
        </w:rPr>
        <w:t xml:space="preserve"> was increased to 2.5. The effects of increasing </w:t>
      </w:r>
      <w:r w:rsidRPr="009A7CC7">
        <w:rPr>
          <w:rFonts w:ascii="Times New Roman" w:hAnsi="Times New Roman" w:cs="Times New Roman"/>
        </w:rPr>
        <w:sym w:font="Symbol" w:char="F067"/>
      </w:r>
      <w:r w:rsidRPr="009A7CC7">
        <w:rPr>
          <w:rFonts w:ascii="Times New Roman" w:hAnsi="Times New Roman" w:cs="Times New Roman"/>
        </w:rPr>
        <w:t xml:space="preserve"> to 2.5 were not as severe for the FDR5 dataset, where modules 1, 2 and 3 at </w:t>
      </w:r>
      <w:r w:rsidRPr="009A7CC7">
        <w:rPr>
          <w:rFonts w:ascii="Times New Roman" w:hAnsi="Times New Roman" w:cs="Times New Roman"/>
        </w:rPr>
        <w:sym w:font="Symbol" w:char="F067"/>
      </w:r>
      <w:r w:rsidRPr="009A7CC7">
        <w:rPr>
          <w:rFonts w:ascii="Times New Roman" w:hAnsi="Times New Roman" w:cs="Times New Roman"/>
        </w:rPr>
        <w:t xml:space="preserve">=1 roughly corresponded to modules 1, 3 and 2, respectively, at </w:t>
      </w:r>
      <w:r w:rsidRPr="009A7CC7">
        <w:rPr>
          <w:rFonts w:ascii="Times New Roman" w:hAnsi="Times New Roman" w:cs="Times New Roman"/>
        </w:rPr>
        <w:sym w:font="Symbol" w:char="F067"/>
      </w:r>
      <w:r w:rsidRPr="009A7CC7">
        <w:rPr>
          <w:rFonts w:ascii="Times New Roman" w:hAnsi="Times New Roman" w:cs="Times New Roman"/>
        </w:rPr>
        <w:t xml:space="preserve">=2.5. The fourth module at </w:t>
      </w:r>
      <w:r w:rsidRPr="009A7CC7">
        <w:rPr>
          <w:rFonts w:ascii="Times New Roman" w:hAnsi="Times New Roman" w:cs="Times New Roman"/>
        </w:rPr>
        <w:sym w:font="Symbol" w:char="F067"/>
      </w:r>
      <w:r w:rsidRPr="009A7CC7">
        <w:rPr>
          <w:rFonts w:ascii="Times New Roman" w:hAnsi="Times New Roman" w:cs="Times New Roman"/>
        </w:rPr>
        <w:t xml:space="preserve">=2.5 was composed of about half (7 miRNAs) from module 1 at </w:t>
      </w:r>
      <w:r w:rsidRPr="009A7CC7">
        <w:rPr>
          <w:rFonts w:ascii="Times New Roman" w:hAnsi="Times New Roman" w:cs="Times New Roman"/>
        </w:rPr>
        <w:sym w:font="Symbol" w:char="F067"/>
      </w:r>
      <w:r w:rsidRPr="009A7CC7">
        <w:rPr>
          <w:rFonts w:ascii="Times New Roman" w:hAnsi="Times New Roman" w:cs="Times New Roman"/>
        </w:rPr>
        <w:t xml:space="preserve">=1 and half (8miRNAs) from module 2 at </w:t>
      </w:r>
      <w:r w:rsidRPr="009A7CC7">
        <w:rPr>
          <w:rFonts w:ascii="Times New Roman" w:hAnsi="Times New Roman" w:cs="Times New Roman"/>
        </w:rPr>
        <w:sym w:font="Symbol" w:char="F067"/>
      </w:r>
      <w:r w:rsidRPr="009A7CC7">
        <w:rPr>
          <w:rFonts w:ascii="Times New Roman" w:hAnsi="Times New Roman" w:cs="Times New Roman"/>
        </w:rPr>
        <w:t xml:space="preserve">=1. </w:t>
      </w:r>
    </w:p>
    <w:p w14:paraId="3B3C0147" w14:textId="77777777" w:rsidR="00E363E2" w:rsidRDefault="00E363E2" w:rsidP="00E363E2">
      <w:pPr>
        <w:spacing w:line="480" w:lineRule="auto"/>
        <w:rPr>
          <w:rFonts w:ascii="Times" w:hAnsi="Times"/>
        </w:rPr>
      </w:pPr>
    </w:p>
    <w:p w14:paraId="0809CA3A" w14:textId="77777777" w:rsidR="00E363E2" w:rsidRPr="009A7CC7" w:rsidRDefault="00E363E2" w:rsidP="00E363E2">
      <w:pPr>
        <w:spacing w:line="480" w:lineRule="auto"/>
        <w:rPr>
          <w:rFonts w:ascii="Arial" w:hAnsi="Arial" w:cs="Arial"/>
          <w:b/>
        </w:rPr>
      </w:pPr>
      <w:r w:rsidRPr="009A7CC7">
        <w:rPr>
          <w:rFonts w:ascii="Arial" w:hAnsi="Arial" w:cs="Arial"/>
          <w:b/>
        </w:rPr>
        <w:t>Details of submodule structure in module 1</w:t>
      </w:r>
    </w:p>
    <w:p w14:paraId="7A9FC6D8" w14:textId="431D48C5" w:rsidR="00E363E2" w:rsidRPr="009A7CC7" w:rsidRDefault="00E363E2" w:rsidP="00E363E2">
      <w:pPr>
        <w:spacing w:line="480" w:lineRule="auto"/>
        <w:rPr>
          <w:rFonts w:ascii="Times New Roman" w:hAnsi="Times New Roman" w:cs="Times New Roman"/>
        </w:rPr>
      </w:pPr>
      <w:r w:rsidRPr="009A7CC7">
        <w:rPr>
          <w:rFonts w:ascii="Times New Roman" w:hAnsi="Times New Roman" w:cs="Times New Roman"/>
        </w:rPr>
        <w:t xml:space="preserve">The substructure of module 1 was investigated with a resolution parameter of </w:t>
      </w:r>
      <w:r w:rsidRPr="009A7CC7">
        <w:rPr>
          <w:rFonts w:ascii="Times New Roman" w:hAnsi="Times New Roman" w:cs="Times New Roman"/>
        </w:rPr>
        <w:sym w:font="Symbol" w:char="F067"/>
      </w:r>
      <w:r w:rsidRPr="009A7CC7">
        <w:rPr>
          <w:rFonts w:ascii="Times New Roman" w:hAnsi="Times New Roman" w:cs="Times New Roman"/>
        </w:rPr>
        <w:t xml:space="preserve">=1 and yielded three modules in the KR dataset, and four in the FDR1 and FDR5 datasets. Members of submodule 1A included the majority of MET miRNAs (miR-200a-3p, miR-200b-3p, miR-429-3p, and miR-205-5p), two miRNAs of the 106b~25 cluster (miR-106b-5p and miR-93-5p), four miRNAs from the miR-17~92 cluster (miR-17-5p, miR-18a-5p, miR-20a-5p, and miR-92a-3p) and miR-183-5p.  The 106b~25 and 106a~363 clusters are paralogs of the 17~92 cluster, are all activated by c-Myc and play a role in reprogramming </w:t>
      </w:r>
      <w:r w:rsidRPr="009A7CC7">
        <w:rPr>
          <w:rFonts w:ascii="Times New Roman" w:hAnsi="Times New Roman" w:cs="Times New Roman"/>
        </w:rPr>
        <w:fldChar w:fldCharType="begin"/>
      </w:r>
      <w:r w:rsidR="00340477">
        <w:rPr>
          <w:rFonts w:ascii="Times New Roman" w:hAnsi="Times New Roman" w:cs="Times New Roman"/>
        </w:rPr>
        <w:instrText xml:space="preserve"> ADDIN PAPERS2_CITATIONS &lt;citation&gt;&lt;uuid&gt;7FB65108-A075-4F00-A72A-80D6EB65191F&lt;/uuid&gt;&lt;priority&gt;23&lt;/priority&gt;&lt;publications&gt;&lt;publication&gt;&lt;uuid&gt;AF65BBDB-11A2-494D-A7E2-3BCD56CA9479&lt;/uuid&gt;&lt;volume&gt;133&lt;/volume&gt;&lt;doi&gt;10.1016/j.cell.2008.04.001&lt;/doi&gt;&lt;startpage&gt;217&lt;/startpage&gt;&lt;publication_date&gt;99200804181200000000222000&lt;/publication_date&gt;&lt;url&gt;http://eutils.ncbi.nlm.nih.gov/entrez/eutils/elink.fcgi?dbfrom=pubmed&amp;amp;id=18423194&amp;amp;retmode=ref&amp;amp;cmd=prlinks&lt;/url&gt;&lt;type&gt;400&lt;/type&gt;&lt;title&gt;miRiad roles for the miR-17-92 cluster in development and disease.&lt;/title&gt;&lt;location&gt;200,5,39.3042055,-76.5574930&lt;/location&gt;&lt;institution&gt;McKusick-Nathans Institute of Genetic Medicine, Departments of Pediatrics and Molecular Biology and Genetics, Johns Hopkins University School of Medicine, Baltimore, MD 21205, USA. jmendell@jhmi.edu&lt;/institution&gt;&lt;number&gt;2&lt;/number&gt;&lt;subtype&gt;400&lt;/subtype&gt;&lt;endpage&gt;222&lt;/endpage&gt;&lt;bundle&gt;&lt;publication&gt;&lt;publisher&gt;Elsevier Ltd&lt;/publisher&gt;&lt;url&gt;http://www.cell.com/&lt;/url&gt;&lt;title&gt;Cell&lt;/title&gt;&lt;type&gt;-100&lt;/type&gt;&lt;subtype&gt;-100&lt;/subtype&gt;&lt;uuid&gt;8CFA51D8-691D-4D35-9178-8A5217A71525&lt;/uuid&gt;&lt;/publication&gt;&lt;/bundle&gt;&lt;authors&gt;&lt;author&gt;&lt;firstName&gt;Joshua&lt;/firstName&gt;&lt;middleNames&gt;T&lt;/middleNames&gt;&lt;lastName&gt;Mendell&lt;/lastName&gt;&lt;/author&gt;&lt;/authors&gt;&lt;/publication&gt;&lt;publication&gt;&lt;uuid&gt;30C3A5E2-258B-461D-8743-565715D710CD&lt;/uuid&gt;&lt;volume&gt;30&lt;/volume&gt;&lt;doi&gt;10.1038/emboj.2011.2&lt;/doi&gt;&lt;startpage&gt;823&lt;/startpage&gt;&lt;publication_date&gt;99201102011200000000222000&lt;/publication_date&gt;&lt;url&gt;http://dx.doi.org/10.1038/emboj.2011.2&lt;/url&gt;&lt;type&gt;400&lt;/type&gt;&lt;title&gt;Small RNA-mediated regulation of iPS cell generation&lt;/title&gt;&lt;publisher&gt;Nature Publishing Group&lt;/publisher&gt;&lt;number&gt;5&lt;/number&gt;&lt;subtype&gt;400&lt;/subtype&gt;&lt;endpage&gt;834&lt;/endpage&gt;&lt;bundle&gt;&lt;publication&gt;&lt;publisher&gt;Nature Publishing Group&lt;/publisher&gt;&lt;title&gt;The EMBO Journal&lt;/title&gt;&lt;type&gt;-100&lt;/type&gt;&lt;subtype&gt;-100&lt;/subtype&gt;&lt;uuid&gt;0D48ACF8-8A6B-4665-B1DB-A9C341C2A754&lt;/uuid&gt;&lt;/publication&gt;&lt;/bundle&gt;&lt;authors&gt;&lt;author&gt;&lt;firstName&gt;Zhonghan&lt;/firstName&gt;&lt;lastName&gt;Li&lt;/lastName&gt;&lt;/author&gt;&lt;author&gt;&lt;firstName&gt;Chao-Shun&lt;/firstName&gt;&lt;lastName&gt;Yang&lt;/lastName&gt;&lt;/author&gt;&lt;author&gt;&lt;firstName&gt;Katsuhiko&lt;/firstName&gt;&lt;lastName&gt;Nakashima&lt;/lastName&gt;&lt;/author&gt;&lt;author&gt;&lt;firstName&gt;Tariq&lt;/firstName&gt;&lt;middleNames&gt;M&lt;/middleNames&gt;&lt;lastName&gt;Rana&lt;/lastName&gt;&lt;/author&gt;&lt;/authors&gt;&lt;/publication&gt;&lt;/publications&gt;&lt;cites&gt;&lt;/cites&gt;&lt;/citation&gt;</w:instrText>
      </w:r>
      <w:r w:rsidRPr="009A7CC7">
        <w:rPr>
          <w:rFonts w:ascii="Times New Roman" w:hAnsi="Times New Roman" w:cs="Times New Roman"/>
        </w:rPr>
        <w:fldChar w:fldCharType="separate"/>
      </w:r>
      <w:r w:rsidR="006541A5">
        <w:rPr>
          <w:rFonts w:ascii="Times New Roman" w:hAnsi="Times New Roman" w:cs="Times New Roman"/>
        </w:rPr>
        <w:t>[9, 36]</w:t>
      </w:r>
      <w:r w:rsidRPr="009A7CC7">
        <w:rPr>
          <w:rFonts w:ascii="Times New Roman" w:hAnsi="Times New Roman" w:cs="Times New Roman"/>
        </w:rPr>
        <w:fldChar w:fldCharType="end"/>
      </w:r>
      <w:r w:rsidRPr="009A7CC7">
        <w:rPr>
          <w:rFonts w:ascii="Times New Roman" w:hAnsi="Times New Roman" w:cs="Times New Roman"/>
        </w:rPr>
        <w:t xml:space="preserve">. </w:t>
      </w:r>
      <w:proofErr w:type="gramStart"/>
      <w:r w:rsidRPr="009A7CC7">
        <w:rPr>
          <w:rFonts w:ascii="Times New Roman" w:hAnsi="Times New Roman" w:cs="Times New Roman"/>
        </w:rPr>
        <w:t>miR</w:t>
      </w:r>
      <w:proofErr w:type="gramEnd"/>
      <w:r w:rsidRPr="009A7CC7">
        <w:rPr>
          <w:rFonts w:ascii="Times New Roman" w:hAnsi="Times New Roman" w:cs="Times New Roman"/>
        </w:rPr>
        <w:t xml:space="preserve">-93 and miR-106b, in particular, have been shown to increase reprogramming efficiency and promote MET by targeting p21 and TGFBR </w:t>
      </w:r>
      <w:r w:rsidRPr="009A7CC7">
        <w:rPr>
          <w:rFonts w:ascii="Times New Roman" w:hAnsi="Times New Roman" w:cs="Times New Roman"/>
        </w:rPr>
        <w:fldChar w:fldCharType="begin"/>
      </w:r>
      <w:r w:rsidR="00340477">
        <w:rPr>
          <w:rFonts w:ascii="Times New Roman" w:hAnsi="Times New Roman" w:cs="Times New Roman"/>
        </w:rPr>
        <w:instrText xml:space="preserve"> ADDIN PAPERS2_CITATIONS &lt;citation&gt;&lt;uuid&gt;CF671A2A-AB4D-4C89-B1FB-8C5C40232897&lt;/uuid&gt;&lt;priority&gt;24&lt;/priority&gt;&lt;publications&gt;&lt;publication&gt;&lt;uuid&gt;30C3A5E2-258B-461D-8743-565715D710CD&lt;/uuid&gt;&lt;volume&gt;30&lt;/volume&gt;&lt;doi&gt;10.1038/emboj.2011.2&lt;/doi&gt;&lt;startpage&gt;823&lt;/startpage&gt;&lt;publication_date&gt;99201102011200000000222000&lt;/publication_date&gt;&lt;url&gt;http://dx.doi.org/10.1038/emboj.2011.2&lt;/url&gt;&lt;type&gt;400&lt;/type&gt;&lt;title&gt;Small RNA-mediated regulation of iPS cell generation&lt;/title&gt;&lt;publisher&gt;Nature Publishing Group&lt;/publisher&gt;&lt;number&gt;5&lt;/number&gt;&lt;subtype&gt;400&lt;/subtype&gt;&lt;endpage&gt;834&lt;/endpage&gt;&lt;bundle&gt;&lt;publication&gt;&lt;publisher&gt;Nature Publishing Group&lt;/publisher&gt;&lt;title&gt;The EMBO Journal&lt;/title&gt;&lt;type&gt;-100&lt;/type&gt;&lt;subtype&gt;-100&lt;/subtype&gt;&lt;uuid&gt;0D48ACF8-8A6B-4665-B1DB-A9C341C2A754&lt;/uuid&gt;&lt;/publication&gt;&lt;/bundle&gt;&lt;authors&gt;&lt;author&gt;&lt;firstName&gt;Zhonghan&lt;/firstName&gt;&lt;lastName&gt;Li&lt;/lastName&gt;&lt;/author&gt;&lt;author&gt;&lt;firstName&gt;Chao-Shun&lt;/firstName&gt;&lt;lastName&gt;Yang&lt;/lastName&gt;&lt;/author&gt;&lt;author&gt;&lt;firstName&gt;Katsuhiko&lt;/firstName&gt;&lt;lastName&gt;Nakashima&lt;/lastName&gt;&lt;/author&gt;&lt;author&gt;&lt;firstName&gt;Tariq&lt;/firstName&gt;&lt;middleNames&gt;M&lt;/middleNames&gt;&lt;lastName&gt;Rana&lt;/lastName&gt;&lt;/author&gt;&lt;/authors&gt;&lt;/publication&gt;&lt;/publications&gt;&lt;cites&gt;&lt;/cites&gt;&lt;/citation&gt;</w:instrText>
      </w:r>
      <w:r w:rsidRPr="009A7CC7">
        <w:rPr>
          <w:rFonts w:ascii="Times New Roman" w:hAnsi="Times New Roman" w:cs="Times New Roman"/>
        </w:rPr>
        <w:fldChar w:fldCharType="separate"/>
      </w:r>
      <w:r w:rsidR="006541A5">
        <w:rPr>
          <w:rFonts w:ascii="Arial" w:hAnsi="Arial" w:cs="Arial"/>
        </w:rPr>
        <w:t>[9]</w:t>
      </w:r>
      <w:r w:rsidRPr="009A7CC7">
        <w:rPr>
          <w:rFonts w:ascii="Times New Roman" w:hAnsi="Times New Roman" w:cs="Times New Roman"/>
        </w:rPr>
        <w:fldChar w:fldCharType="end"/>
      </w:r>
      <w:r w:rsidRPr="009A7CC7">
        <w:rPr>
          <w:rFonts w:ascii="Times New Roman" w:hAnsi="Times New Roman" w:cs="Times New Roman"/>
        </w:rPr>
        <w:t>.</w:t>
      </w:r>
    </w:p>
    <w:p w14:paraId="5E9C3A03" w14:textId="77777777" w:rsidR="00E363E2" w:rsidRPr="009A7CC7" w:rsidRDefault="00E363E2" w:rsidP="00E363E2">
      <w:pPr>
        <w:spacing w:line="480" w:lineRule="auto"/>
        <w:rPr>
          <w:rFonts w:ascii="Times New Roman" w:hAnsi="Times New Roman" w:cs="Times New Roman"/>
        </w:rPr>
      </w:pPr>
    </w:p>
    <w:p w14:paraId="2A6A7483" w14:textId="77777777" w:rsidR="00E363E2" w:rsidRPr="009A7CC7" w:rsidRDefault="00E363E2" w:rsidP="00E363E2">
      <w:pPr>
        <w:spacing w:line="480" w:lineRule="auto"/>
        <w:rPr>
          <w:rFonts w:ascii="Times New Roman" w:hAnsi="Times New Roman" w:cs="Times New Roman"/>
        </w:rPr>
      </w:pPr>
      <w:proofErr w:type="gramStart"/>
      <w:r w:rsidRPr="009A7CC7">
        <w:rPr>
          <w:rFonts w:ascii="Times New Roman" w:hAnsi="Times New Roman" w:cs="Times New Roman"/>
        </w:rPr>
        <w:t>miRNAs</w:t>
      </w:r>
      <w:proofErr w:type="gramEnd"/>
      <w:r w:rsidRPr="009A7CC7">
        <w:rPr>
          <w:rFonts w:ascii="Times New Roman" w:hAnsi="Times New Roman" w:cs="Times New Roman"/>
        </w:rPr>
        <w:t xml:space="preserve"> in submodule 1B in all three datasets included most of the 290~295 cluster (miR-290-5p, miR-291a-3p, miR-291a-5p, miR-291b-3p, miR-291b-5p, miR-292-3p, miR-294-3p, miR-295-3p), two members of the 106a~363 cluster (</w:t>
      </w:r>
      <w:r w:rsidRPr="009A7CC7">
        <w:rPr>
          <w:rFonts w:ascii="Times New Roman" w:hAnsi="Times New Roman" w:cs="Times New Roman"/>
          <w:b/>
        </w:rPr>
        <w:t>miR-106a-5p</w:t>
      </w:r>
      <w:r w:rsidRPr="009A7CC7">
        <w:rPr>
          <w:rFonts w:ascii="Times New Roman" w:hAnsi="Times New Roman" w:cs="Times New Roman"/>
        </w:rPr>
        <w:t xml:space="preserve">, </w:t>
      </w:r>
      <w:r w:rsidRPr="009A7CC7">
        <w:rPr>
          <w:rFonts w:ascii="Times New Roman" w:hAnsi="Times New Roman" w:cs="Times New Roman"/>
          <w:b/>
        </w:rPr>
        <w:t>miR-363-3p</w:t>
      </w:r>
      <w:r w:rsidRPr="009A7CC7">
        <w:rPr>
          <w:rFonts w:ascii="Times New Roman" w:hAnsi="Times New Roman" w:cs="Times New Roman"/>
        </w:rPr>
        <w:t xml:space="preserve">) and two MET miRNAs (miR-141-3p, </w:t>
      </w:r>
      <w:r w:rsidRPr="009A7CC7">
        <w:rPr>
          <w:rFonts w:ascii="Times New Roman" w:hAnsi="Times New Roman" w:cs="Times New Roman"/>
          <w:b/>
        </w:rPr>
        <w:t>miR-200c-3p</w:t>
      </w:r>
      <w:r w:rsidRPr="009A7CC7">
        <w:rPr>
          <w:rFonts w:ascii="Times New Roman" w:hAnsi="Times New Roman" w:cs="Times New Roman"/>
        </w:rPr>
        <w:t>). Here and throughout, bold denotes miRNAs that were absent from the FDR1 dataset (i.e. not significant at an FDR of 1%), but in this submodule in both the KR and FDR5 datasets. The only other miRNAs in this submodule (either in all datasets or just KR and FDR5) were from the Dlk1-Dio3 cluster (</w:t>
      </w:r>
      <w:r w:rsidRPr="009A7CC7">
        <w:rPr>
          <w:rFonts w:ascii="Times New Roman" w:hAnsi="Times New Roman" w:cs="Times New Roman"/>
          <w:b/>
        </w:rPr>
        <w:t>miR-495-3p</w:t>
      </w:r>
      <w:r w:rsidRPr="009A7CC7">
        <w:rPr>
          <w:rFonts w:ascii="Times New Roman" w:hAnsi="Times New Roman" w:cs="Times New Roman"/>
        </w:rPr>
        <w:t xml:space="preserve">, miR-543-3p and </w:t>
      </w:r>
      <w:r w:rsidRPr="009A7CC7">
        <w:rPr>
          <w:rFonts w:ascii="Times New Roman" w:hAnsi="Times New Roman" w:cs="Times New Roman"/>
          <w:b/>
        </w:rPr>
        <w:t>miR-758-3p</w:t>
      </w:r>
      <w:r w:rsidRPr="009A7CC7">
        <w:rPr>
          <w:rFonts w:ascii="Times New Roman" w:hAnsi="Times New Roman" w:cs="Times New Roman"/>
        </w:rPr>
        <w:t xml:space="preserve">), which had the additional feature of early down-regulation in the MEF to Thy1– transition as described above, although miR-758-3p was one of the 19 miRNAs in this region not significantly downregulated at the MEF to Thy1– transition. </w:t>
      </w:r>
    </w:p>
    <w:p w14:paraId="51047CE3" w14:textId="77777777" w:rsidR="00E363E2" w:rsidRPr="009A7CC7" w:rsidRDefault="00E363E2" w:rsidP="00E363E2">
      <w:pPr>
        <w:spacing w:line="480" w:lineRule="auto"/>
        <w:rPr>
          <w:rFonts w:ascii="Times New Roman" w:hAnsi="Times New Roman" w:cs="Times New Roman"/>
        </w:rPr>
      </w:pPr>
    </w:p>
    <w:p w14:paraId="3437EC41" w14:textId="5F736E97" w:rsidR="00E363E2" w:rsidRPr="009A7CC7" w:rsidRDefault="00E363E2" w:rsidP="00E363E2">
      <w:pPr>
        <w:spacing w:line="480" w:lineRule="auto"/>
        <w:rPr>
          <w:rFonts w:ascii="Times New Roman" w:hAnsi="Times New Roman" w:cs="Times New Roman"/>
        </w:rPr>
      </w:pPr>
      <w:r w:rsidRPr="009A7CC7">
        <w:rPr>
          <w:rFonts w:ascii="Times New Roman" w:hAnsi="Times New Roman" w:cs="Times New Roman"/>
        </w:rPr>
        <w:t>MiRNAs in submodule 1C included the 302b~367 cluster (miR-302a</w:t>
      </w:r>
      <w:proofErr w:type="gramStart"/>
      <w:r w:rsidRPr="009A7CC7">
        <w:rPr>
          <w:rFonts w:ascii="Times New Roman" w:hAnsi="Times New Roman" w:cs="Times New Roman"/>
        </w:rPr>
        <w:t>,b,c</w:t>
      </w:r>
      <w:proofErr w:type="gramEnd"/>
      <w:r w:rsidRPr="009A7CC7">
        <w:rPr>
          <w:rFonts w:ascii="Times New Roman" w:hAnsi="Times New Roman" w:cs="Times New Roman"/>
        </w:rPr>
        <w:t xml:space="preserve"> and d-3p, miR-367-3p and star sequences </w:t>
      </w:r>
      <w:r w:rsidRPr="009A7CC7">
        <w:rPr>
          <w:rFonts w:ascii="Times New Roman" w:hAnsi="Times New Roman" w:cs="Times New Roman"/>
          <w:b/>
        </w:rPr>
        <w:t>miR-302a,c</w:t>
      </w:r>
      <w:r w:rsidRPr="009A7CC7">
        <w:rPr>
          <w:rFonts w:ascii="Times New Roman" w:hAnsi="Times New Roman" w:cs="Times New Roman"/>
        </w:rPr>
        <w:t xml:space="preserve">,d-5p ), and miR-489-3p. MiRNAs in this submodule were upregulated in reprogramming, with their highest levels in the Oct4-GFP+ samples. Expression of these miRNAs was lower in the established iPS line and mES line, confirming Polo et al.’s </w:t>
      </w:r>
      <w:r w:rsidRPr="009A7CC7">
        <w:rPr>
          <w:rFonts w:ascii="Times New Roman" w:hAnsi="Times New Roman" w:cs="Times New Roman"/>
        </w:rPr>
        <w:fldChar w:fldCharType="begin"/>
      </w:r>
      <w:r w:rsidR="00340477">
        <w:rPr>
          <w:rFonts w:ascii="Times New Roman" w:hAnsi="Times New Roman" w:cs="Times New Roman"/>
        </w:rPr>
        <w:instrText xml:space="preserve"> ADDIN PAPERS2_CITATIONS &lt;citation&gt;&lt;uuid&gt;F9B8C719-AEFA-444C-97BE-7E47121D5728&lt;/uuid&gt;&lt;priority&gt;25&lt;/priority&gt;&lt;publications&gt;&lt;publication&gt;&lt;uuid&gt;61ED3E16-C8F7-4374-BEED-1F7FDB8D2D68&lt;/uuid&gt;&lt;volume&gt;151&lt;/volume&gt;&lt;accepted_date&gt;99201211201200000000222000&lt;/accepted_date&gt;&lt;doi&gt;10.1016/j.cell.2012.11.039&lt;/doi&gt;&lt;startpage&gt;1617&lt;/startpage&gt;&lt;revision_date&gt;99201210091200000000222000&lt;/revision_date&gt;&lt;publication_date&gt;99201212211200000000222000&lt;/publication_date&gt;&lt;url&gt;http://eutils.ncbi.nlm.nih.gov/entrez/eutils/elink.fcgi?dbfrom=pubmed&amp;amp;id=23260147&amp;amp;retmode=ref&amp;amp;cmd=prlinks&lt;/url&gt;&lt;type&gt;400&lt;/type&gt;&lt;title&gt;A molecular roadmap of reprogramming somatic cells into iPS cells.&lt;/title&gt;&lt;location&gt;200,8,42.3620163,-71.0659218&lt;/location&gt;&lt;submission_date&gt;99201205121200000000222000&lt;/submission_date&gt;&lt;number&gt;7&lt;/number&gt;&lt;institution&gt;Massachusetts General Hospital Cancer Center and Center for Regenerative Medicine, 185 Cambridge Street, Boston, MA 02114, USA.&lt;/institution&gt;&lt;subtype&gt;400&lt;/subtype&gt;&lt;endpage&gt;1632&lt;/endpage&gt;&lt;bundle&gt;&lt;publication&gt;&lt;publisher&gt;Elsevier Ltd&lt;/publisher&gt;&lt;url&gt;http://www.cell.com/&lt;/url&gt;&lt;title&gt;Cell&lt;/title&gt;&lt;type&gt;-100&lt;/type&gt;&lt;subtype&gt;-100&lt;/subtype&gt;&lt;uuid&gt;8CFA51D8-691D-4D35-9178-8A5217A71525&lt;/uuid&gt;&lt;/publication&gt;&lt;/bundle&gt;&lt;authors&gt;&lt;author&gt;&lt;firstName&gt;Jose&lt;/firstName&gt;&lt;middleNames&gt;M&lt;/middleNames&gt;&lt;lastName&gt;Polo&lt;/lastName&gt;&lt;/author&gt;&lt;author&gt;&lt;firstName&gt;Endre&lt;/firstName&gt;&lt;lastName&gt;Anderssen&lt;/lastName&gt;&lt;/author&gt;&lt;author&gt;&lt;firstName&gt;Ryan&lt;/firstName&gt;&lt;middleNames&gt;M&lt;/middleNames&gt;&lt;lastName&gt;Walsh&lt;/lastName&gt;&lt;/author&gt;&lt;author&gt;&lt;firstName&gt;Benjamin&lt;/firstName&gt;&lt;middleNames&gt;A&lt;/middleNames&gt;&lt;lastName&gt;Schwarz&lt;/lastName&gt;&lt;/author&gt;&lt;author&gt;&lt;firstName&gt;Christian&lt;/firstName&gt;&lt;middleNames&gt;M&lt;/middleNames&gt;&lt;lastName&gt;Nefzger&lt;/lastName&gt;&lt;/author&gt;&lt;author&gt;&lt;firstName&gt;Sue&lt;/firstName&gt;&lt;middleNames&gt;Mei&lt;/middleNames&gt;&lt;lastName&gt;Lim&lt;/lastName&gt;&lt;/author&gt;&lt;author&gt;&lt;firstName&gt;Marti&lt;/firstName&gt;&lt;lastName&gt;Borkent&lt;/lastName&gt;&lt;/author&gt;&lt;author&gt;&lt;firstName&gt;Effie&lt;/firstName&gt;&lt;lastName&gt;Apostolou&lt;/lastName&gt;&lt;/author&gt;&lt;author&gt;&lt;firstName&gt;Sara&lt;/firstName&gt;&lt;lastName&gt;Alaei&lt;/lastName&gt;&lt;/author&gt;&lt;author&gt;&lt;firstName&gt;Jennifer&lt;/firstName&gt;&lt;lastName&gt;Cloutier&lt;/lastName&gt;&lt;/author&gt;&lt;author&gt;&lt;firstName&gt;Ori&lt;/firstName&gt;&lt;lastName&gt;Bar-Nur&lt;/lastName&gt;&lt;/author&gt;&lt;author&gt;&lt;firstName&gt;Sihem&lt;/firstName&gt;&lt;lastName&gt;Cheloufi&lt;/lastName&gt;&lt;/author&gt;&lt;author&gt;&lt;firstName&gt;Matthias&lt;/firstName&gt;&lt;lastName&gt;Stadtfeld&lt;/lastName&gt;&lt;/author&gt;&lt;author&gt;&lt;firstName&gt;Maria&lt;/firstName&gt;&lt;middleNames&gt;Eugenia&lt;/middleNames&gt;&lt;lastName&gt;Figueroa&lt;/lastName&gt;&lt;/author&gt;&lt;author&gt;&lt;firstName&gt;Daisy&lt;/firstName&gt;&lt;lastName&gt;Robinton&lt;/lastName&gt;&lt;/author&gt;&lt;author&gt;&lt;firstName&gt;Sridaran&lt;/firstName&gt;&lt;lastName&gt;Natesan&lt;/lastName&gt;&lt;/author&gt;&lt;author&gt;&lt;firstName&gt;Ari&lt;/firstName&gt;&lt;lastName&gt;Melnick&lt;/lastName&gt;&lt;/author&gt;&lt;author&gt;&lt;firstName&gt;Jinfang&lt;/firstName&gt;&lt;lastName&gt;Zhu&lt;/lastName&gt;&lt;/author&gt;&lt;author&gt;&lt;firstName&gt;Sridhar&lt;/firstName&gt;&lt;lastName&gt;Ramaswamy&lt;/lastName&gt;&lt;/author&gt;&lt;author&gt;&lt;firstName&gt;Konrad&lt;/firstName&gt;&lt;lastName&gt;Hochedlinger&lt;/lastName&gt;&lt;/author&gt;&lt;/authors&gt;&lt;/publication&gt;&lt;/publications&gt;&lt;cites&gt;&lt;cite&gt;&lt;suppress&gt;A&lt;/suppress&gt;&lt;/cite&gt;&lt;/cites&gt;&lt;/citation&gt;</w:instrText>
      </w:r>
      <w:r w:rsidRPr="009A7CC7">
        <w:rPr>
          <w:rFonts w:ascii="Times New Roman" w:hAnsi="Times New Roman" w:cs="Times New Roman"/>
        </w:rPr>
        <w:fldChar w:fldCharType="separate"/>
      </w:r>
      <w:r w:rsidR="006541A5">
        <w:rPr>
          <w:rFonts w:ascii="Times New Roman" w:hAnsi="Times New Roman" w:cs="Times New Roman"/>
        </w:rPr>
        <w:t>[5]</w:t>
      </w:r>
      <w:r w:rsidRPr="009A7CC7">
        <w:rPr>
          <w:rFonts w:ascii="Times New Roman" w:hAnsi="Times New Roman" w:cs="Times New Roman"/>
        </w:rPr>
        <w:fldChar w:fldCharType="end"/>
      </w:r>
      <w:r w:rsidRPr="009A7CC7">
        <w:rPr>
          <w:rFonts w:ascii="Times New Roman" w:hAnsi="Times New Roman" w:cs="Times New Roman"/>
        </w:rPr>
        <w:t xml:space="preserve"> result, which found that miR-302a was transiently upregulated in Oct4-GFP+ cells only.</w:t>
      </w:r>
    </w:p>
    <w:p w14:paraId="606F40A5" w14:textId="77777777" w:rsidR="00E363E2" w:rsidRPr="009A7CC7" w:rsidRDefault="00E363E2" w:rsidP="00E363E2">
      <w:pPr>
        <w:spacing w:line="480" w:lineRule="auto"/>
        <w:rPr>
          <w:rFonts w:ascii="Times New Roman" w:hAnsi="Times New Roman" w:cs="Times New Roman"/>
        </w:rPr>
      </w:pPr>
    </w:p>
    <w:p w14:paraId="270FDB46" w14:textId="77777777" w:rsidR="00E363E2" w:rsidRPr="009A7CC7" w:rsidRDefault="00E363E2" w:rsidP="00E363E2">
      <w:pPr>
        <w:spacing w:line="480" w:lineRule="auto"/>
        <w:rPr>
          <w:rFonts w:ascii="Times New Roman" w:hAnsi="Times New Roman" w:cs="Times New Roman"/>
        </w:rPr>
      </w:pPr>
      <w:r w:rsidRPr="009A7CC7">
        <w:rPr>
          <w:rFonts w:ascii="Times New Roman" w:hAnsi="Times New Roman" w:cs="Times New Roman"/>
        </w:rPr>
        <w:t xml:space="preserve">Of the 30 (FDR1) and 51 (FDR5) miRNAs in submodule 1D, 19 were members of this submodule in both the FDR1 and FDR5 datasets. Of these, six were mature (miR-19a-3p, 19b-3p) or star sequences (miR-20a-3p, mir-92a-1-5p, mir-92a-2-5p, mir-93-3p) from reprogramming- and pluripotency-associated miRNA clusters 17~92a, 106a~363, 106b~25, and one was a star sequence (miR-200b-5p) of a MET-associated miRNA. </w:t>
      </w:r>
    </w:p>
    <w:p w14:paraId="39A304FF" w14:textId="77777777" w:rsidR="005B5115" w:rsidRDefault="005B5115" w:rsidP="005B5115">
      <w:pPr>
        <w:spacing w:line="480" w:lineRule="auto"/>
        <w:rPr>
          <w:rFonts w:ascii="Times" w:hAnsi="Times"/>
          <w:b/>
          <w:color w:val="000000" w:themeColor="text1"/>
        </w:rPr>
      </w:pPr>
    </w:p>
    <w:p w14:paraId="2929008B" w14:textId="0E2BC393" w:rsidR="00AD3FBE" w:rsidRPr="00E363E2" w:rsidRDefault="00AD3FBE" w:rsidP="008B589C">
      <w:pPr>
        <w:spacing w:line="480" w:lineRule="auto"/>
        <w:rPr>
          <w:rFonts w:ascii="Arial" w:hAnsi="Arial" w:cs="Arial"/>
          <w:b/>
          <w:color w:val="000000" w:themeColor="text1"/>
          <w:sz w:val="32"/>
          <w:szCs w:val="32"/>
        </w:rPr>
      </w:pPr>
      <w:r w:rsidRPr="00E363E2">
        <w:rPr>
          <w:rFonts w:ascii="Arial" w:hAnsi="Arial" w:cs="Arial"/>
          <w:b/>
          <w:color w:val="000000" w:themeColor="text1"/>
          <w:sz w:val="32"/>
          <w:szCs w:val="32"/>
        </w:rPr>
        <w:t>Supplemental Figures</w:t>
      </w:r>
    </w:p>
    <w:p w14:paraId="2506A74B" w14:textId="77777777" w:rsidR="005B5115" w:rsidRPr="008B589C" w:rsidRDefault="005E4463" w:rsidP="008B589C">
      <w:pPr>
        <w:spacing w:line="480" w:lineRule="auto"/>
        <w:rPr>
          <w:rFonts w:ascii="Times" w:hAnsi="Times"/>
          <w:b/>
          <w:color w:val="000000" w:themeColor="text1"/>
        </w:rPr>
      </w:pPr>
      <w:r>
        <w:rPr>
          <w:rFonts w:ascii="Times" w:hAnsi="Times"/>
          <w:b/>
          <w:noProof/>
          <w:color w:val="000000" w:themeColor="text1"/>
          <w:lang w:eastAsia="en-US"/>
        </w:rPr>
        <w:drawing>
          <wp:inline distT="0" distB="0" distL="0" distR="0" wp14:anchorId="7B78A50B" wp14:editId="5E60800B">
            <wp:extent cx="5943600" cy="1774825"/>
            <wp:effectExtent l="25400" t="0" r="0" b="0"/>
            <wp:docPr id="9" name="Picture 8" descr="Supplementary_Figure_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ure_1.tif"/>
                    <pic:cNvPicPr/>
                  </pic:nvPicPr>
                  <pic:blipFill>
                    <a:blip r:embed="rId11"/>
                    <a:stretch>
                      <a:fillRect/>
                    </a:stretch>
                  </pic:blipFill>
                  <pic:spPr>
                    <a:xfrm>
                      <a:off x="0" y="0"/>
                      <a:ext cx="5943600" cy="1774825"/>
                    </a:xfrm>
                    <a:prstGeom prst="rect">
                      <a:avLst/>
                    </a:prstGeom>
                  </pic:spPr>
                </pic:pic>
              </a:graphicData>
            </a:graphic>
          </wp:inline>
        </w:drawing>
      </w:r>
    </w:p>
    <w:p w14:paraId="0B4CB713" w14:textId="3FB62E14" w:rsidR="005B5115" w:rsidRPr="000348E5" w:rsidRDefault="005B5115" w:rsidP="005B5115">
      <w:pPr>
        <w:spacing w:line="480" w:lineRule="auto"/>
        <w:rPr>
          <w:rFonts w:ascii="Arial" w:hAnsi="Arial" w:cs="Arial"/>
          <w:b/>
          <w:color w:val="000000" w:themeColor="text1"/>
        </w:rPr>
      </w:pPr>
      <w:r w:rsidRPr="000348E5">
        <w:rPr>
          <w:rFonts w:ascii="Arial" w:hAnsi="Arial" w:cs="Arial"/>
          <w:b/>
          <w:color w:val="000000" w:themeColor="text1"/>
        </w:rPr>
        <w:t>Figure S1. Experimental verification of Thy1– cells</w:t>
      </w:r>
    </w:p>
    <w:p w14:paraId="19180AAD" w14:textId="77777777" w:rsidR="005B5115" w:rsidRPr="000348E5" w:rsidRDefault="005B5115" w:rsidP="005B5115">
      <w:pPr>
        <w:spacing w:line="480" w:lineRule="auto"/>
        <w:rPr>
          <w:rFonts w:ascii="Times New Roman" w:hAnsi="Times New Roman" w:cs="Times New Roman"/>
          <w:color w:val="000000" w:themeColor="text1"/>
        </w:rPr>
      </w:pPr>
      <w:r w:rsidRPr="000348E5">
        <w:rPr>
          <w:rFonts w:ascii="Times New Roman" w:hAnsi="Times New Roman" w:cs="Times New Roman"/>
          <w:color w:val="000000" w:themeColor="text1"/>
        </w:rPr>
        <w:t>A) The Thy1– population is enriched for potential iPSC cells. Thy1+ and Thy1– cells were sorted from OSKM-infected MEFs on 5 day of culture. An equal number of cells (4x10</w:t>
      </w:r>
      <w:r w:rsidRPr="000348E5">
        <w:rPr>
          <w:rFonts w:ascii="Times New Roman" w:hAnsi="Times New Roman" w:cs="Times New Roman"/>
          <w:color w:val="000000" w:themeColor="text1"/>
          <w:vertAlign w:val="superscript"/>
        </w:rPr>
        <w:t>4</w:t>
      </w:r>
      <w:r w:rsidRPr="000348E5">
        <w:rPr>
          <w:rFonts w:ascii="Times New Roman" w:hAnsi="Times New Roman" w:cs="Times New Roman"/>
          <w:color w:val="000000" w:themeColor="text1"/>
        </w:rPr>
        <w:t xml:space="preserve">) was reseeded onto irradiated feeder plates and cultured until day 13. Cells were then fixed and stained with an AP substrate. Red color indicates the AP+ colonies. B) Thy1– cells showed greater potential to form AP+ colonies. AP+ colonies were quantified on day </w:t>
      </w:r>
      <w:proofErr w:type="gramStart"/>
      <w:r w:rsidRPr="000348E5">
        <w:rPr>
          <w:rFonts w:ascii="Times New Roman" w:hAnsi="Times New Roman" w:cs="Times New Roman"/>
          <w:color w:val="000000" w:themeColor="text1"/>
        </w:rPr>
        <w:t>13 post-OSKM transduction</w:t>
      </w:r>
      <w:proofErr w:type="gramEnd"/>
      <w:r w:rsidRPr="000348E5">
        <w:rPr>
          <w:rFonts w:ascii="Times New Roman" w:hAnsi="Times New Roman" w:cs="Times New Roman"/>
          <w:color w:val="000000" w:themeColor="text1"/>
        </w:rPr>
        <w:t xml:space="preserve">. Graphs are mean and range of duplicate wells. C) The Thy1– population was enriched with iPSC-generating cells. Oct4-GFP+ colonies were quantified on day </w:t>
      </w:r>
      <w:proofErr w:type="gramStart"/>
      <w:r w:rsidRPr="000348E5">
        <w:rPr>
          <w:rFonts w:ascii="Times New Roman" w:hAnsi="Times New Roman" w:cs="Times New Roman"/>
          <w:color w:val="000000" w:themeColor="text1"/>
        </w:rPr>
        <w:t>13 post-OSKM transduction</w:t>
      </w:r>
      <w:proofErr w:type="gramEnd"/>
      <w:r w:rsidRPr="000348E5">
        <w:rPr>
          <w:rFonts w:ascii="Times New Roman" w:hAnsi="Times New Roman" w:cs="Times New Roman"/>
          <w:color w:val="000000" w:themeColor="text1"/>
        </w:rPr>
        <w:t xml:space="preserve">. Graphs are mean and range of duplicate wells. </w:t>
      </w:r>
      <w:r w:rsidR="00505290" w:rsidRPr="000348E5">
        <w:rPr>
          <w:rFonts w:ascii="Times New Roman" w:hAnsi="Times New Roman" w:cs="Times New Roman"/>
          <w:color w:val="000000" w:themeColor="text1"/>
        </w:rPr>
        <w:t xml:space="preserve">D) </w:t>
      </w:r>
      <w:proofErr w:type="gramStart"/>
      <w:r w:rsidR="00505290" w:rsidRPr="000348E5">
        <w:rPr>
          <w:rFonts w:ascii="Times New Roman" w:hAnsi="Times New Roman" w:cs="Times New Roman"/>
          <w:color w:val="000000" w:themeColor="text1"/>
        </w:rPr>
        <w:t>piPSCs</w:t>
      </w:r>
      <w:proofErr w:type="gramEnd"/>
      <w:r w:rsidR="00505290" w:rsidRPr="000348E5">
        <w:rPr>
          <w:rFonts w:ascii="Times New Roman" w:hAnsi="Times New Roman" w:cs="Times New Roman"/>
          <w:color w:val="000000" w:themeColor="text1"/>
        </w:rPr>
        <w:t xml:space="preserve"> were derived from OSKM-transduced MEFs. The cells have similar morphology and proliferation rate to mES cells and established iPSCs, but have not switched on expression of endogenous self-renewal markers such as </w:t>
      </w:r>
      <w:r w:rsidR="00505290" w:rsidRPr="000348E5">
        <w:rPr>
          <w:rFonts w:ascii="Times New Roman" w:hAnsi="Times New Roman" w:cs="Times New Roman"/>
          <w:i/>
          <w:iCs/>
          <w:color w:val="000000" w:themeColor="text1"/>
        </w:rPr>
        <w:t>Oct4</w:t>
      </w:r>
      <w:r w:rsidR="00505290" w:rsidRPr="000348E5">
        <w:rPr>
          <w:rFonts w:ascii="Times New Roman" w:hAnsi="Times New Roman" w:cs="Times New Roman"/>
          <w:color w:val="000000" w:themeColor="text1"/>
        </w:rPr>
        <w:t>, and thus remain GFP-negative.</w:t>
      </w:r>
    </w:p>
    <w:p w14:paraId="4A5E6038" w14:textId="77777777" w:rsidR="005B5115" w:rsidRPr="00A7268A" w:rsidRDefault="005B5115" w:rsidP="005B5115">
      <w:pPr>
        <w:spacing w:line="480" w:lineRule="auto"/>
        <w:rPr>
          <w:rFonts w:ascii="Times" w:hAnsi="Times"/>
          <w:color w:val="000000" w:themeColor="text1"/>
        </w:rPr>
      </w:pPr>
    </w:p>
    <w:p w14:paraId="219E283A" w14:textId="77777777" w:rsidR="00AD3FBE" w:rsidRDefault="005E4463" w:rsidP="005B5115">
      <w:pPr>
        <w:spacing w:line="480" w:lineRule="auto"/>
        <w:rPr>
          <w:rFonts w:ascii="Times" w:hAnsi="Times"/>
          <w:color w:val="000000" w:themeColor="text1"/>
        </w:rPr>
      </w:pPr>
      <w:r>
        <w:rPr>
          <w:rFonts w:ascii="Times" w:hAnsi="Times"/>
          <w:noProof/>
          <w:color w:val="000000" w:themeColor="text1"/>
          <w:lang w:eastAsia="en-US"/>
        </w:rPr>
        <w:drawing>
          <wp:inline distT="0" distB="0" distL="0" distR="0" wp14:anchorId="371D1950" wp14:editId="7260DA71">
            <wp:extent cx="4890211" cy="4059022"/>
            <wp:effectExtent l="25400" t="0" r="11989" b="0"/>
            <wp:docPr id="10" name="Picture 9" descr="Supplementary_Figure_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ure_2.tif"/>
                    <pic:cNvPicPr/>
                  </pic:nvPicPr>
                  <pic:blipFill>
                    <a:blip r:embed="rId12"/>
                    <a:stretch>
                      <a:fillRect/>
                    </a:stretch>
                  </pic:blipFill>
                  <pic:spPr>
                    <a:xfrm>
                      <a:off x="0" y="0"/>
                      <a:ext cx="4890211" cy="4059022"/>
                    </a:xfrm>
                    <a:prstGeom prst="rect">
                      <a:avLst/>
                    </a:prstGeom>
                  </pic:spPr>
                </pic:pic>
              </a:graphicData>
            </a:graphic>
          </wp:inline>
        </w:drawing>
      </w:r>
    </w:p>
    <w:p w14:paraId="45180325" w14:textId="77777777" w:rsidR="00B65D87" w:rsidRPr="000348E5" w:rsidRDefault="005B5115" w:rsidP="005B5115">
      <w:pPr>
        <w:spacing w:line="480" w:lineRule="auto"/>
        <w:rPr>
          <w:rFonts w:ascii="Arial" w:hAnsi="Arial" w:cs="Arial"/>
          <w:b/>
          <w:color w:val="000000" w:themeColor="text1"/>
        </w:rPr>
      </w:pPr>
      <w:r w:rsidRPr="000348E5">
        <w:rPr>
          <w:rFonts w:ascii="Arial" w:hAnsi="Arial" w:cs="Arial"/>
          <w:b/>
          <w:color w:val="000000" w:themeColor="text1"/>
        </w:rPr>
        <w:t xml:space="preserve">Figure S2. First four principal components of PCA plotted one-dimensionally. </w:t>
      </w:r>
    </w:p>
    <w:p w14:paraId="4B79F16B" w14:textId="453D82E9" w:rsidR="005B5115" w:rsidRPr="00B65D87" w:rsidRDefault="005B5115" w:rsidP="005B5115">
      <w:pPr>
        <w:spacing w:line="480" w:lineRule="auto"/>
        <w:rPr>
          <w:rFonts w:ascii="Times New Roman" w:hAnsi="Times New Roman" w:cs="Times New Roman"/>
          <w:color w:val="000000" w:themeColor="text1"/>
        </w:rPr>
      </w:pPr>
      <w:r w:rsidRPr="00B65D87">
        <w:rPr>
          <w:rFonts w:ascii="Times New Roman" w:hAnsi="Times New Roman" w:cs="Times New Roman"/>
          <w:color w:val="000000" w:themeColor="text1"/>
        </w:rPr>
        <w:t xml:space="preserve">The percent of variation represented by each is listed at the top of the figure, and the first four principal components altogether accounted for 73.1% of the variation in the dataset. </w:t>
      </w:r>
    </w:p>
    <w:p w14:paraId="202F6021" w14:textId="77777777" w:rsidR="005B5115" w:rsidRPr="00A7268A" w:rsidRDefault="005B5115" w:rsidP="005B5115">
      <w:pPr>
        <w:spacing w:line="480" w:lineRule="auto"/>
        <w:rPr>
          <w:rFonts w:ascii="Times" w:hAnsi="Times"/>
          <w:color w:val="000000" w:themeColor="text1"/>
        </w:rPr>
      </w:pPr>
    </w:p>
    <w:p w14:paraId="548785B0" w14:textId="77777777" w:rsidR="008802C8" w:rsidRDefault="005E4463" w:rsidP="005B5115">
      <w:pPr>
        <w:spacing w:line="480" w:lineRule="auto"/>
        <w:rPr>
          <w:rFonts w:ascii="Times" w:hAnsi="Times"/>
          <w:color w:val="000000" w:themeColor="text1"/>
        </w:rPr>
      </w:pPr>
      <w:r>
        <w:rPr>
          <w:rFonts w:ascii="Times" w:hAnsi="Times"/>
          <w:noProof/>
          <w:color w:val="000000" w:themeColor="text1"/>
          <w:lang w:eastAsia="en-US"/>
        </w:rPr>
        <w:drawing>
          <wp:inline distT="0" distB="0" distL="0" distR="0" wp14:anchorId="08A90CBA" wp14:editId="5859EFCB">
            <wp:extent cx="5943600" cy="7808595"/>
            <wp:effectExtent l="25400" t="0" r="0" b="0"/>
            <wp:docPr id="11" name="Picture 10" descr="Supplementary_Fig_3_rotat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_3_rotated.tif"/>
                    <pic:cNvPicPr/>
                  </pic:nvPicPr>
                  <pic:blipFill>
                    <a:blip r:embed="rId13"/>
                    <a:stretch>
                      <a:fillRect/>
                    </a:stretch>
                  </pic:blipFill>
                  <pic:spPr>
                    <a:xfrm>
                      <a:off x="0" y="0"/>
                      <a:ext cx="5943600" cy="7808595"/>
                    </a:xfrm>
                    <a:prstGeom prst="rect">
                      <a:avLst/>
                    </a:prstGeom>
                  </pic:spPr>
                </pic:pic>
              </a:graphicData>
            </a:graphic>
          </wp:inline>
        </w:drawing>
      </w:r>
    </w:p>
    <w:p w14:paraId="3B9858C8" w14:textId="77777777" w:rsidR="00B65D87" w:rsidRDefault="00B65D87" w:rsidP="005B5115">
      <w:pPr>
        <w:spacing w:line="480" w:lineRule="auto"/>
        <w:rPr>
          <w:rFonts w:ascii="Arial" w:hAnsi="Arial" w:cs="Arial"/>
          <w:b/>
          <w:color w:val="000000" w:themeColor="text1"/>
        </w:rPr>
      </w:pPr>
    </w:p>
    <w:p w14:paraId="4A007D8B" w14:textId="0B2FC32C" w:rsidR="00C63606" w:rsidRDefault="005B5115" w:rsidP="005B5115">
      <w:pPr>
        <w:spacing w:line="480" w:lineRule="auto"/>
        <w:rPr>
          <w:rFonts w:ascii="Arial" w:hAnsi="Arial" w:cs="Arial"/>
          <w:b/>
          <w:color w:val="000000" w:themeColor="text1"/>
        </w:rPr>
      </w:pPr>
      <w:r w:rsidRPr="00B65D87">
        <w:rPr>
          <w:rFonts w:ascii="Arial" w:hAnsi="Arial" w:cs="Arial"/>
          <w:b/>
          <w:color w:val="000000" w:themeColor="text1"/>
        </w:rPr>
        <w:t>Figure S3</w:t>
      </w:r>
      <w:r w:rsidR="002B41A1" w:rsidRPr="00B65D87">
        <w:rPr>
          <w:rFonts w:ascii="Arial" w:hAnsi="Arial" w:cs="Arial"/>
          <w:b/>
          <w:color w:val="000000" w:themeColor="text1"/>
        </w:rPr>
        <w:t>.</w:t>
      </w:r>
      <w:r w:rsidR="008B589C" w:rsidRPr="00B65D87">
        <w:rPr>
          <w:rFonts w:ascii="Arial" w:hAnsi="Arial" w:cs="Arial"/>
          <w:b/>
          <w:color w:val="000000" w:themeColor="text1"/>
        </w:rPr>
        <w:t xml:space="preserve"> </w:t>
      </w:r>
      <w:r w:rsidR="00C63606">
        <w:rPr>
          <w:rFonts w:ascii="Arial" w:hAnsi="Arial" w:cs="Arial"/>
          <w:b/>
          <w:color w:val="000000" w:themeColor="text1"/>
        </w:rPr>
        <w:t>Isomir variation and microarray re-analysis</w:t>
      </w:r>
    </w:p>
    <w:p w14:paraId="6E209783" w14:textId="342089C1" w:rsidR="005B5115" w:rsidRPr="00C63606" w:rsidRDefault="008B589C" w:rsidP="005B5115">
      <w:pPr>
        <w:spacing w:line="480" w:lineRule="auto"/>
        <w:rPr>
          <w:rFonts w:ascii="Times" w:hAnsi="Times"/>
          <w:color w:val="000000" w:themeColor="text1"/>
        </w:rPr>
      </w:pPr>
      <w:r w:rsidRPr="00C63606">
        <w:rPr>
          <w:rFonts w:ascii="Times New Roman" w:hAnsi="Times New Roman" w:cs="Times New Roman"/>
          <w:color w:val="000000" w:themeColor="text1"/>
        </w:rPr>
        <w:t xml:space="preserve">A) </w:t>
      </w:r>
      <w:proofErr w:type="gramStart"/>
      <w:r w:rsidRPr="00C63606">
        <w:rPr>
          <w:rFonts w:ascii="Times New Roman" w:hAnsi="Times New Roman" w:cs="Times New Roman"/>
          <w:color w:val="000000" w:themeColor="text1"/>
        </w:rPr>
        <w:t>miR</w:t>
      </w:r>
      <w:proofErr w:type="gramEnd"/>
      <w:r w:rsidR="005B5115" w:rsidRPr="00C63606">
        <w:rPr>
          <w:rFonts w:ascii="Times New Roman" w:hAnsi="Times New Roman" w:cs="Times New Roman"/>
          <w:color w:val="000000" w:themeColor="text1"/>
        </w:rPr>
        <w:t>-485-3p isomir variation.</w:t>
      </w:r>
      <w:r w:rsidR="005B5115" w:rsidRPr="00A7268A">
        <w:rPr>
          <w:rFonts w:ascii="Times" w:hAnsi="Times"/>
          <w:color w:val="000000" w:themeColor="text1"/>
        </w:rPr>
        <w:t xml:space="preserve"> </w:t>
      </w:r>
      <w:r w:rsidR="005B5115" w:rsidRPr="00B65D87">
        <w:rPr>
          <w:rFonts w:ascii="Times New Roman" w:hAnsi="Times New Roman" w:cs="Times New Roman"/>
          <w:color w:val="000000" w:themeColor="text1"/>
        </w:rPr>
        <w:t>Fraction of reads with varying 5’ start sites for repl</w:t>
      </w:r>
      <w:r w:rsidRPr="00B65D87">
        <w:rPr>
          <w:rFonts w:ascii="Times New Roman" w:hAnsi="Times New Roman" w:cs="Times New Roman"/>
          <w:color w:val="000000" w:themeColor="text1"/>
        </w:rPr>
        <w:t xml:space="preserve">icates 1 (gray) and 2 (black); </w:t>
      </w:r>
      <w:r w:rsidR="005B5115" w:rsidRPr="00B65D87">
        <w:rPr>
          <w:rFonts w:ascii="Times New Roman" w:hAnsi="Times New Roman" w:cs="Times New Roman"/>
          <w:color w:val="000000" w:themeColor="text1"/>
        </w:rPr>
        <w:t>miRBase mature miRNA start site is 0. B) Log</w:t>
      </w:r>
      <w:r w:rsidR="005B5115" w:rsidRPr="00B65D87">
        <w:rPr>
          <w:rFonts w:ascii="Times New Roman" w:hAnsi="Times New Roman" w:cs="Times New Roman"/>
          <w:color w:val="000000" w:themeColor="text1"/>
          <w:vertAlign w:val="subscript"/>
        </w:rPr>
        <w:t>2</w:t>
      </w:r>
      <w:r w:rsidR="005B5115" w:rsidRPr="00B65D87">
        <w:rPr>
          <w:rFonts w:ascii="Times New Roman" w:hAnsi="Times New Roman" w:cs="Times New Roman"/>
          <w:color w:val="000000" w:themeColor="text1"/>
        </w:rPr>
        <w:t xml:space="preserve"> fold change of Thy1+ (black), Thy1– (blue) and successfully progressing reprogramming cells</w:t>
      </w:r>
      <w:r w:rsidR="0036488F" w:rsidRPr="00B65D87">
        <w:rPr>
          <w:rFonts w:ascii="Times New Roman" w:hAnsi="Times New Roman" w:cs="Times New Roman"/>
          <w:color w:val="000000" w:themeColor="text1"/>
        </w:rPr>
        <w:t xml:space="preserve"> (red) from Polo et al.’s </w:t>
      </w:r>
      <w:r w:rsidR="00775673" w:rsidRPr="00B65D87">
        <w:rPr>
          <w:rFonts w:ascii="Times New Roman" w:hAnsi="Times New Roman" w:cs="Times New Roman"/>
          <w:color w:val="000000" w:themeColor="text1"/>
        </w:rPr>
        <w:fldChar w:fldCharType="begin"/>
      </w:r>
      <w:r w:rsidR="00340477">
        <w:rPr>
          <w:rFonts w:ascii="Times New Roman" w:hAnsi="Times New Roman" w:cs="Times New Roman"/>
          <w:color w:val="000000" w:themeColor="text1"/>
        </w:rPr>
        <w:instrText xml:space="preserve"> ADDIN PAPERS2_CITATIONS &lt;citation&gt;&lt;uuid&gt;CA4C3BAC-40BA-4C0E-AF3D-A64B2678D329&lt;/uuid&gt;&lt;priority&gt;26&lt;/priority&gt;&lt;publications&gt;&lt;publication&gt;&lt;uuid&gt;61ED3E16-C8F7-4374-BEED-1F7FDB8D2D68&lt;/uuid&gt;&lt;volume&gt;151&lt;/volume&gt;&lt;accepted_date&gt;99201211201200000000222000&lt;/accepted_date&gt;&lt;doi&gt;10.1016/j.cell.2012.11.039&lt;/doi&gt;&lt;startpage&gt;1617&lt;/startpage&gt;&lt;revision_date&gt;99201210091200000000222000&lt;/revision_date&gt;&lt;publication_date&gt;99201212211200000000222000&lt;/publication_date&gt;&lt;url&gt;http://eutils.ncbi.nlm.nih.gov/entrez/eutils/elink.fcgi?dbfrom=pubmed&amp;amp;id=23260147&amp;amp;retmode=ref&amp;amp;cmd=prlinks&lt;/url&gt;&lt;type&gt;400&lt;/type&gt;&lt;title&gt;A molecular roadmap of reprogramming somatic cells into iPS cells.&lt;/title&gt;&lt;location&gt;200,8,42.3620163,-71.0659218&lt;/location&gt;&lt;submission_date&gt;99201205121200000000222000&lt;/submission_date&gt;&lt;number&gt;7&lt;/number&gt;&lt;institution&gt;Massachusetts General Hospital Cancer Center and Center for Regenerative Medicine, 185 Cambridge Street, Boston, MA 02114, USA.&lt;/institution&gt;&lt;subtype&gt;400&lt;/subtype&gt;&lt;endpage&gt;1632&lt;/endpage&gt;&lt;bundle&gt;&lt;publication&gt;&lt;publisher&gt;Elsevier Ltd&lt;/publisher&gt;&lt;url&gt;http://www.cell.com/&lt;/url&gt;&lt;title&gt;Cell&lt;/title&gt;&lt;type&gt;-100&lt;/type&gt;&lt;subtype&gt;-100&lt;/subtype&gt;&lt;uuid&gt;8CFA51D8-691D-4D35-9178-8A5217A71525&lt;/uuid&gt;&lt;/publication&gt;&lt;/bundle&gt;&lt;authors&gt;&lt;author&gt;&lt;firstName&gt;Jose&lt;/firstName&gt;&lt;middleNames&gt;M&lt;/middleNames&gt;&lt;lastName&gt;Polo&lt;/lastName&gt;&lt;/author&gt;&lt;author&gt;&lt;firstName&gt;Endre&lt;/firstName&gt;&lt;lastName&gt;Anderssen&lt;/lastName&gt;&lt;/author&gt;&lt;author&gt;&lt;firstName&gt;Ryan&lt;/firstName&gt;&lt;middleNames&gt;M&lt;/middleNames&gt;&lt;lastName&gt;Walsh&lt;/lastName&gt;&lt;/author&gt;&lt;author&gt;&lt;firstName&gt;Benjamin&lt;/firstName&gt;&lt;middleNames&gt;A&lt;/middleNames&gt;&lt;lastName&gt;Schwarz&lt;/lastName&gt;&lt;/author&gt;&lt;author&gt;&lt;firstName&gt;Christian&lt;/firstName&gt;&lt;middleNames&gt;M&lt;/middleNames&gt;&lt;lastName&gt;Nefzger&lt;/lastName&gt;&lt;/author&gt;&lt;author&gt;&lt;firstName&gt;Sue&lt;/firstName&gt;&lt;middleNames&gt;Mei&lt;/middleNames&gt;&lt;lastName&gt;Lim&lt;/lastName&gt;&lt;/author&gt;&lt;author&gt;&lt;firstName&gt;Marti&lt;/firstName&gt;&lt;lastName&gt;Borkent&lt;/lastName&gt;&lt;/author&gt;&lt;author&gt;&lt;firstName&gt;Effie&lt;/firstName&gt;&lt;lastName&gt;Apostolou&lt;/lastName&gt;&lt;/author&gt;&lt;author&gt;&lt;firstName&gt;Sara&lt;/firstName&gt;&lt;lastName&gt;Alaei&lt;/lastName&gt;&lt;/author&gt;&lt;author&gt;&lt;firstName&gt;Jennifer&lt;/firstName&gt;&lt;lastName&gt;Cloutier&lt;/lastName&gt;&lt;/author&gt;&lt;author&gt;&lt;firstName&gt;Ori&lt;/firstName&gt;&lt;lastName&gt;Bar-Nur&lt;/lastName&gt;&lt;/author&gt;&lt;author&gt;&lt;firstName&gt;Sihem&lt;/firstName&gt;&lt;lastName&gt;Cheloufi&lt;/lastName&gt;&lt;/author&gt;&lt;author&gt;&lt;firstName&gt;Matthias&lt;/firstName&gt;&lt;lastName&gt;Stadtfeld&lt;/lastName&gt;&lt;/author&gt;&lt;author&gt;&lt;firstName&gt;Maria&lt;/firstName&gt;&lt;middleNames&gt;Eugenia&lt;/middleNames&gt;&lt;lastName&gt;Figueroa&lt;/lastName&gt;&lt;/author&gt;&lt;author&gt;&lt;firstName&gt;Daisy&lt;/firstName&gt;&lt;lastName&gt;Robinton&lt;/lastName&gt;&lt;/author&gt;&lt;author&gt;&lt;firstName&gt;Sridaran&lt;/firstName&gt;&lt;lastName&gt;Natesan&lt;/lastName&gt;&lt;/author&gt;&lt;author&gt;&lt;firstName&gt;Ari&lt;/firstName&gt;&lt;lastName&gt;Melnick&lt;/lastName&gt;&lt;/author&gt;&lt;author&gt;&lt;firstName&gt;Jinfang&lt;/firstName&gt;&lt;lastName&gt;Zhu&lt;/lastName&gt;&lt;/author&gt;&lt;author&gt;&lt;firstName&gt;Sridhar&lt;/firstName&gt;&lt;lastName&gt;Ramaswamy&lt;/lastName&gt;&lt;/author&gt;&lt;author&gt;&lt;firstName&gt;Konrad&lt;/firstName&gt;&lt;lastName&gt;Hochedlinger&lt;/lastName&gt;&lt;/author&gt;&lt;/authors&gt;&lt;/publication&gt;&lt;/publications&gt;&lt;cites&gt;&lt;cite&gt;&lt;suppress&gt;A&lt;/suppress&gt;&lt;/cite&gt;&lt;/cites&gt;&lt;/citation&gt;</w:instrText>
      </w:r>
      <w:r w:rsidR="00775673" w:rsidRPr="00B65D87">
        <w:rPr>
          <w:rFonts w:ascii="Times New Roman" w:hAnsi="Times New Roman" w:cs="Times New Roman"/>
          <w:color w:val="000000" w:themeColor="text1"/>
        </w:rPr>
        <w:fldChar w:fldCharType="separate"/>
      </w:r>
      <w:r w:rsidR="006541A5">
        <w:rPr>
          <w:rFonts w:ascii="Times New Roman" w:hAnsi="Times New Roman" w:cs="Times New Roman"/>
        </w:rPr>
        <w:t>[5]</w:t>
      </w:r>
      <w:r w:rsidR="00775673" w:rsidRPr="00B65D87">
        <w:rPr>
          <w:rFonts w:ascii="Times New Roman" w:hAnsi="Times New Roman" w:cs="Times New Roman"/>
          <w:color w:val="000000" w:themeColor="text1"/>
        </w:rPr>
        <w:fldChar w:fldCharType="end"/>
      </w:r>
      <w:r w:rsidR="005B5115" w:rsidRPr="00B65D87">
        <w:rPr>
          <w:rFonts w:ascii="Times New Roman" w:hAnsi="Times New Roman" w:cs="Times New Roman"/>
          <w:color w:val="000000" w:themeColor="text1"/>
        </w:rPr>
        <w:t xml:space="preserve"> microarray study. The first intermediate stage that Polo et al. sampled after inducing reprogramming was the SSEA1+ stage, so Thy1+ and Thy1– cells were subsets of cells that did not progress along the reprogramming trajectory, but maintained their Thy1– or Thy1+ and SSEA1- character throughout the experiment. Day 0 corresponds to MEFs at the initiation of reprogramming, days 3,6 and 9 are SSEA1+, day 12 is Oct4-GFP+ and the final sample is a characterized iPS line. </w:t>
      </w:r>
    </w:p>
    <w:p w14:paraId="73616FFA" w14:textId="77777777" w:rsidR="005B5115" w:rsidRPr="00B65D87" w:rsidRDefault="005B5115" w:rsidP="005B5115">
      <w:pPr>
        <w:spacing w:line="480" w:lineRule="auto"/>
        <w:rPr>
          <w:rFonts w:ascii="Times New Roman" w:hAnsi="Times New Roman" w:cs="Times New Roman"/>
          <w:color w:val="000000" w:themeColor="text1"/>
        </w:rPr>
      </w:pPr>
    </w:p>
    <w:p w14:paraId="7C11BF88" w14:textId="77777777" w:rsidR="008802C8" w:rsidRDefault="005E4463" w:rsidP="005B5115">
      <w:pPr>
        <w:spacing w:line="480" w:lineRule="auto"/>
        <w:rPr>
          <w:rFonts w:ascii="Times" w:hAnsi="Times"/>
          <w:color w:val="000000" w:themeColor="text1"/>
        </w:rPr>
      </w:pPr>
      <w:r>
        <w:rPr>
          <w:rFonts w:ascii="Times" w:hAnsi="Times"/>
          <w:noProof/>
          <w:color w:val="000000" w:themeColor="text1"/>
          <w:lang w:eastAsia="en-US"/>
        </w:rPr>
        <w:drawing>
          <wp:inline distT="0" distB="0" distL="0" distR="0" wp14:anchorId="0D512FBE" wp14:editId="7EA13C33">
            <wp:extent cx="5885815" cy="8229600"/>
            <wp:effectExtent l="25400" t="0" r="6985" b="0"/>
            <wp:docPr id="12" name="Picture 11" descr="Supplementary_Fig_4_rotat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_4_rotated.tif"/>
                    <pic:cNvPicPr/>
                  </pic:nvPicPr>
                  <pic:blipFill>
                    <a:blip r:embed="rId14"/>
                    <a:stretch>
                      <a:fillRect/>
                    </a:stretch>
                  </pic:blipFill>
                  <pic:spPr>
                    <a:xfrm>
                      <a:off x="0" y="0"/>
                      <a:ext cx="5885815" cy="8229600"/>
                    </a:xfrm>
                    <a:prstGeom prst="rect">
                      <a:avLst/>
                    </a:prstGeom>
                  </pic:spPr>
                </pic:pic>
              </a:graphicData>
            </a:graphic>
          </wp:inline>
        </w:drawing>
      </w:r>
    </w:p>
    <w:p w14:paraId="23CA485D" w14:textId="77777777" w:rsidR="00E363E2" w:rsidRPr="00E363E2" w:rsidRDefault="005B5115" w:rsidP="005B5115">
      <w:pPr>
        <w:spacing w:line="480" w:lineRule="auto"/>
        <w:rPr>
          <w:rFonts w:ascii="Times" w:hAnsi="Times"/>
          <w:b/>
          <w:color w:val="000000" w:themeColor="text1"/>
        </w:rPr>
      </w:pPr>
      <w:r w:rsidRPr="00E363E2">
        <w:rPr>
          <w:rFonts w:ascii="Arial" w:hAnsi="Arial" w:cs="Arial"/>
          <w:b/>
          <w:color w:val="000000" w:themeColor="text1"/>
        </w:rPr>
        <w:t>Figur</w:t>
      </w:r>
      <w:r w:rsidR="00386C6A" w:rsidRPr="00E363E2">
        <w:rPr>
          <w:rFonts w:ascii="Arial" w:hAnsi="Arial" w:cs="Arial"/>
          <w:b/>
          <w:color w:val="000000" w:themeColor="text1"/>
        </w:rPr>
        <w:t>e S4</w:t>
      </w:r>
      <w:r w:rsidRPr="00E363E2">
        <w:rPr>
          <w:rFonts w:ascii="Arial" w:hAnsi="Arial" w:cs="Arial"/>
          <w:b/>
          <w:color w:val="000000" w:themeColor="text1"/>
        </w:rPr>
        <w:t>. Average correlation and part</w:t>
      </w:r>
      <w:r w:rsidR="008B589C" w:rsidRPr="00E363E2">
        <w:rPr>
          <w:rFonts w:ascii="Arial" w:hAnsi="Arial" w:cs="Arial"/>
          <w:b/>
          <w:color w:val="000000" w:themeColor="text1"/>
        </w:rPr>
        <w:t>ition similarity (mean z-score) for network analyses.</w:t>
      </w:r>
      <w:r w:rsidRPr="00E363E2">
        <w:rPr>
          <w:rFonts w:ascii="Times" w:hAnsi="Times"/>
          <w:b/>
          <w:color w:val="000000" w:themeColor="text1"/>
        </w:rPr>
        <w:t xml:space="preserve"> </w:t>
      </w:r>
    </w:p>
    <w:p w14:paraId="4FEDAC08" w14:textId="2246E304" w:rsidR="005B5115" w:rsidRPr="00B65D87" w:rsidRDefault="005B5115" w:rsidP="005B5115">
      <w:pPr>
        <w:spacing w:line="480" w:lineRule="auto"/>
        <w:rPr>
          <w:rFonts w:ascii="Times New Roman" w:hAnsi="Times New Roman" w:cs="Times New Roman"/>
          <w:color w:val="000000" w:themeColor="text1"/>
        </w:rPr>
      </w:pPr>
      <w:r w:rsidRPr="00B65D87">
        <w:rPr>
          <w:rFonts w:ascii="Times New Roman" w:hAnsi="Times New Roman" w:cs="Times New Roman"/>
          <w:color w:val="000000" w:themeColor="text1"/>
        </w:rPr>
        <w:t>Average correlation is calculated for 100 optimizations of each dataset and for two types of randomly permuted datasets</w:t>
      </w:r>
      <w:proofErr w:type="gramStart"/>
      <w:r w:rsidRPr="00B65D87">
        <w:rPr>
          <w:rFonts w:ascii="Times New Roman" w:hAnsi="Times New Roman" w:cs="Times New Roman"/>
          <w:color w:val="000000" w:themeColor="text1"/>
        </w:rPr>
        <w:t>:1000</w:t>
      </w:r>
      <w:proofErr w:type="gramEnd"/>
      <w:r w:rsidRPr="00B65D87">
        <w:rPr>
          <w:rFonts w:ascii="Times New Roman" w:hAnsi="Times New Roman" w:cs="Times New Roman"/>
          <w:color w:val="000000" w:themeColor="text1"/>
        </w:rPr>
        <w:t xml:space="preserve"> datasets either randomly permuted across all treatments (treatment-permuted, all) or randomly permuted within replicates (treatment-permuted, by rep). For the within-module analyses, average correlation is expected to be higher in each dataset than in corresponding random-permuted datasets, and that was the case for all three modules. Mean z-scores are calculated between the representative partition of the actual data and the 1000 randomly permuted datasets of each type. For comparison, the </w:t>
      </w:r>
      <w:proofErr w:type="gramStart"/>
      <w:r w:rsidRPr="00B65D87">
        <w:rPr>
          <w:rFonts w:ascii="Times New Roman" w:hAnsi="Times New Roman" w:cs="Times New Roman"/>
          <w:color w:val="000000" w:themeColor="text1"/>
        </w:rPr>
        <w:t>z-score</w:t>
      </w:r>
      <w:proofErr w:type="gramEnd"/>
      <w:r w:rsidRPr="00B65D87">
        <w:rPr>
          <w:rFonts w:ascii="Times New Roman" w:hAnsi="Times New Roman" w:cs="Times New Roman"/>
          <w:color w:val="000000" w:themeColor="text1"/>
        </w:rPr>
        <w:t xml:space="preserve"> of the 100 optimizations of the network compared to the representative network of those 100 optimizations is shown (blue). Error bars are standard deviation. Average correlation and partition similarity are shown for. (A &amp; E) all samples, γ=1.0. (B-H): subsets of each dataset (KR, FDR1, FDR5) corresponding to the three modules detected at γ=1; (I &amp; L) FDR1 and FDR5 datasets modified to remove all miRNAs that overlap with the KR dataset (γ=1, KR dataset as in A &amp; E shown for comparison), (J &amp; M) KR and unmodified FDR1 and FDR5 datasets using reprogramming treatments only, and (C &amp; F) KR and unmodified FDR1 and FDR5 datasets using γ=2.5.</w:t>
      </w:r>
    </w:p>
    <w:p w14:paraId="6BED90D6" w14:textId="77777777" w:rsidR="005B5115" w:rsidRDefault="005B5115" w:rsidP="005B5115">
      <w:pPr>
        <w:spacing w:line="480" w:lineRule="auto"/>
        <w:rPr>
          <w:rFonts w:ascii="Times" w:hAnsi="Times"/>
          <w:b/>
          <w:color w:val="000000" w:themeColor="text1"/>
        </w:rPr>
      </w:pPr>
    </w:p>
    <w:p w14:paraId="13DA4B18" w14:textId="77777777" w:rsidR="008802C8" w:rsidRDefault="005E4463" w:rsidP="005B5115">
      <w:pPr>
        <w:spacing w:line="480" w:lineRule="auto"/>
        <w:rPr>
          <w:rFonts w:ascii="Times" w:hAnsi="Times"/>
          <w:color w:val="000000" w:themeColor="text1"/>
        </w:rPr>
      </w:pPr>
      <w:r>
        <w:rPr>
          <w:rFonts w:ascii="Times" w:hAnsi="Times"/>
          <w:noProof/>
          <w:color w:val="000000" w:themeColor="text1"/>
          <w:lang w:eastAsia="en-US"/>
        </w:rPr>
        <w:drawing>
          <wp:inline distT="0" distB="0" distL="0" distR="0" wp14:anchorId="0A8F68DE" wp14:editId="3AB6B556">
            <wp:extent cx="5695950" cy="8229600"/>
            <wp:effectExtent l="25400" t="0" r="0" b="0"/>
            <wp:docPr id="13" name="Picture 12" descr="Supplementary_Fig_5_rotat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_5_rotated.tif"/>
                    <pic:cNvPicPr/>
                  </pic:nvPicPr>
                  <pic:blipFill>
                    <a:blip r:embed="rId15"/>
                    <a:stretch>
                      <a:fillRect/>
                    </a:stretch>
                  </pic:blipFill>
                  <pic:spPr>
                    <a:xfrm>
                      <a:off x="0" y="0"/>
                      <a:ext cx="5695950" cy="8229600"/>
                    </a:xfrm>
                    <a:prstGeom prst="rect">
                      <a:avLst/>
                    </a:prstGeom>
                  </pic:spPr>
                </pic:pic>
              </a:graphicData>
            </a:graphic>
          </wp:inline>
        </w:drawing>
      </w:r>
    </w:p>
    <w:p w14:paraId="596746F5" w14:textId="77777777" w:rsidR="00E363E2" w:rsidRPr="00B65D87" w:rsidRDefault="00386C6A" w:rsidP="005B5115">
      <w:pPr>
        <w:spacing w:line="480" w:lineRule="auto"/>
        <w:rPr>
          <w:rFonts w:ascii="Arial" w:hAnsi="Arial" w:cs="Arial"/>
          <w:b/>
          <w:color w:val="000000" w:themeColor="text1"/>
        </w:rPr>
      </w:pPr>
      <w:r w:rsidRPr="00B65D87">
        <w:rPr>
          <w:rFonts w:ascii="Arial" w:hAnsi="Arial" w:cs="Arial"/>
          <w:b/>
          <w:color w:val="000000" w:themeColor="text1"/>
        </w:rPr>
        <w:t>Figure S5</w:t>
      </w:r>
      <w:r w:rsidR="005B5115" w:rsidRPr="00B65D87">
        <w:rPr>
          <w:rFonts w:ascii="Arial" w:hAnsi="Arial" w:cs="Arial"/>
          <w:b/>
          <w:color w:val="000000" w:themeColor="text1"/>
        </w:rPr>
        <w:t xml:space="preserve">. Fine scale community structure uncovered at a larger value of the community resolution parameter (γ=2.5). </w:t>
      </w:r>
    </w:p>
    <w:p w14:paraId="387F9A2E" w14:textId="6A19FEC4" w:rsidR="005B5115" w:rsidRPr="00B65D87" w:rsidRDefault="005B5115" w:rsidP="005B5115">
      <w:pPr>
        <w:spacing w:line="480" w:lineRule="auto"/>
        <w:rPr>
          <w:rFonts w:ascii="Times New Roman" w:hAnsi="Times New Roman" w:cs="Times New Roman"/>
          <w:color w:val="000000" w:themeColor="text1"/>
        </w:rPr>
      </w:pPr>
      <w:r w:rsidRPr="00B65D87">
        <w:rPr>
          <w:rFonts w:ascii="Times New Roman" w:hAnsi="Times New Roman" w:cs="Times New Roman"/>
          <w:color w:val="000000" w:themeColor="text1"/>
        </w:rPr>
        <w:t xml:space="preserve">For the A) KR, B) FDR1 and C) FDR5 datasets, a heatmap of the correlation matrix is shown on the left. Each row and column </w:t>
      </w:r>
      <w:proofErr w:type="gramStart"/>
      <w:r w:rsidRPr="00B65D87">
        <w:rPr>
          <w:rFonts w:ascii="Times New Roman" w:hAnsi="Times New Roman" w:cs="Times New Roman"/>
          <w:color w:val="000000" w:themeColor="text1"/>
        </w:rPr>
        <w:t>represent</w:t>
      </w:r>
      <w:proofErr w:type="gramEnd"/>
      <w:r w:rsidRPr="00B65D87">
        <w:rPr>
          <w:rFonts w:ascii="Times New Roman" w:hAnsi="Times New Roman" w:cs="Times New Roman"/>
          <w:color w:val="000000" w:themeColor="text1"/>
        </w:rPr>
        <w:t xml:space="preserve"> a single miRNA. Module assignments are from the representative partition. Colorbars indicate the module assignment for each miRNA in the heatmap to the left for each of the three datasets. Module 1 is blue, module 2 is yellow, module 3 is red, module 4 is cyan, module 5 is green, module 6 is magenta, and the single miRNA modules, modules 7 and 8, are black. Whisker plots show the </w:t>
      </w:r>
      <w:proofErr w:type="gramStart"/>
      <w:r w:rsidRPr="00B65D87">
        <w:rPr>
          <w:rFonts w:ascii="Times New Roman" w:hAnsi="Times New Roman" w:cs="Times New Roman"/>
          <w:color w:val="000000" w:themeColor="text1"/>
        </w:rPr>
        <w:t>log</w:t>
      </w:r>
      <w:r w:rsidRPr="00B65D87">
        <w:rPr>
          <w:rFonts w:ascii="Times New Roman" w:hAnsi="Times New Roman" w:cs="Times New Roman"/>
          <w:color w:val="000000" w:themeColor="text1"/>
          <w:vertAlign w:val="subscript"/>
        </w:rPr>
        <w:t>10</w:t>
      </w:r>
      <w:r w:rsidRPr="00B65D87">
        <w:rPr>
          <w:rFonts w:ascii="Times New Roman" w:hAnsi="Times New Roman" w:cs="Times New Roman"/>
          <w:color w:val="000000" w:themeColor="text1"/>
        </w:rPr>
        <w:t>(</w:t>
      </w:r>
      <w:proofErr w:type="gramEnd"/>
      <w:r w:rsidRPr="00B65D87">
        <w:rPr>
          <w:rFonts w:ascii="Times New Roman" w:hAnsi="Times New Roman" w:cs="Times New Roman"/>
          <w:color w:val="000000" w:themeColor="text1"/>
        </w:rPr>
        <w:t xml:space="preserve">expression) of the miRNAs in the module. </w:t>
      </w:r>
    </w:p>
    <w:p w14:paraId="124AB4F9" w14:textId="77777777" w:rsidR="005B5115" w:rsidRPr="002D1D01" w:rsidRDefault="005B5115" w:rsidP="005B5115">
      <w:pPr>
        <w:spacing w:line="480" w:lineRule="auto"/>
        <w:rPr>
          <w:rFonts w:ascii="Times" w:hAnsi="Times"/>
          <w:b/>
          <w:color w:val="000000" w:themeColor="text1"/>
        </w:rPr>
      </w:pPr>
    </w:p>
    <w:p w14:paraId="570D7B43" w14:textId="77777777" w:rsidR="005B5115" w:rsidRPr="00A7268A" w:rsidRDefault="005B5115" w:rsidP="005B5115">
      <w:pPr>
        <w:spacing w:line="480" w:lineRule="auto"/>
        <w:rPr>
          <w:rFonts w:ascii="Times" w:hAnsi="Times"/>
          <w:color w:val="000000" w:themeColor="text1"/>
        </w:rPr>
      </w:pPr>
    </w:p>
    <w:p w14:paraId="3B3EAC21" w14:textId="77777777" w:rsidR="008802C8" w:rsidRDefault="005E4463" w:rsidP="005B5115">
      <w:pPr>
        <w:spacing w:line="480" w:lineRule="auto"/>
        <w:rPr>
          <w:rFonts w:ascii="Times" w:hAnsi="Times"/>
          <w:color w:val="000000" w:themeColor="text1"/>
        </w:rPr>
      </w:pPr>
      <w:r>
        <w:rPr>
          <w:rFonts w:ascii="Times" w:hAnsi="Times"/>
          <w:noProof/>
          <w:color w:val="000000" w:themeColor="text1"/>
          <w:lang w:eastAsia="en-US"/>
        </w:rPr>
        <w:drawing>
          <wp:inline distT="0" distB="0" distL="0" distR="0" wp14:anchorId="0E576FEC" wp14:editId="4B6D75BE">
            <wp:extent cx="5943600" cy="8004175"/>
            <wp:effectExtent l="25400" t="0" r="0" b="0"/>
            <wp:docPr id="14" name="Picture 13" descr="Supplementary_Fig_6_rotat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_6_rotated.tif"/>
                    <pic:cNvPicPr/>
                  </pic:nvPicPr>
                  <pic:blipFill>
                    <a:blip r:embed="rId16"/>
                    <a:stretch>
                      <a:fillRect/>
                    </a:stretch>
                  </pic:blipFill>
                  <pic:spPr>
                    <a:xfrm>
                      <a:off x="0" y="0"/>
                      <a:ext cx="5943600" cy="8004175"/>
                    </a:xfrm>
                    <a:prstGeom prst="rect">
                      <a:avLst/>
                    </a:prstGeom>
                  </pic:spPr>
                </pic:pic>
              </a:graphicData>
            </a:graphic>
          </wp:inline>
        </w:drawing>
      </w:r>
    </w:p>
    <w:p w14:paraId="38E32198" w14:textId="77777777" w:rsidR="00B65D87" w:rsidRPr="00B65D87" w:rsidRDefault="005B5115" w:rsidP="005B5115">
      <w:pPr>
        <w:spacing w:line="480" w:lineRule="auto"/>
        <w:rPr>
          <w:rFonts w:ascii="Arial" w:hAnsi="Arial" w:cs="Arial"/>
          <w:b/>
        </w:rPr>
      </w:pPr>
      <w:r w:rsidRPr="00B65D87">
        <w:rPr>
          <w:rFonts w:ascii="Arial" w:hAnsi="Arial" w:cs="Arial"/>
          <w:b/>
          <w:color w:val="000000" w:themeColor="text1"/>
        </w:rPr>
        <w:t xml:space="preserve">Figure S6. </w:t>
      </w:r>
      <w:r w:rsidRPr="00B65D87">
        <w:rPr>
          <w:rFonts w:ascii="Arial" w:hAnsi="Arial" w:cs="Arial"/>
          <w:b/>
        </w:rPr>
        <w:t xml:space="preserve">Community structure of miRNAs found in module 3 of the representative partition of the original modular decomposition performed at gamma=1. </w:t>
      </w:r>
    </w:p>
    <w:p w14:paraId="6E5E5251" w14:textId="7C8CA5FF" w:rsidR="005B5115" w:rsidRPr="00B65D87" w:rsidRDefault="005B5115" w:rsidP="005B5115">
      <w:pPr>
        <w:spacing w:line="480" w:lineRule="auto"/>
        <w:rPr>
          <w:rFonts w:ascii="Times New Roman" w:hAnsi="Times New Roman" w:cs="Times New Roman"/>
          <w:color w:val="000000" w:themeColor="text1"/>
        </w:rPr>
      </w:pPr>
      <w:r w:rsidRPr="00B65D87">
        <w:rPr>
          <w:rFonts w:ascii="Times New Roman" w:hAnsi="Times New Roman" w:cs="Times New Roman"/>
          <w:color w:val="000000" w:themeColor="text1"/>
        </w:rPr>
        <w:t xml:space="preserve">For the A) KR, B) FDR1 and C) FDR5 datasets, the heatmap of the correlation matrix is shown on the left. Each row and column </w:t>
      </w:r>
      <w:proofErr w:type="gramStart"/>
      <w:r w:rsidRPr="00B65D87">
        <w:rPr>
          <w:rFonts w:ascii="Times New Roman" w:hAnsi="Times New Roman" w:cs="Times New Roman"/>
          <w:color w:val="000000" w:themeColor="text1"/>
        </w:rPr>
        <w:t>represent</w:t>
      </w:r>
      <w:proofErr w:type="gramEnd"/>
      <w:r w:rsidRPr="00B65D87">
        <w:rPr>
          <w:rFonts w:ascii="Times New Roman" w:hAnsi="Times New Roman" w:cs="Times New Roman"/>
          <w:color w:val="000000" w:themeColor="text1"/>
        </w:rPr>
        <w:t xml:space="preserve"> a single miRNA. Colorbars indicate the submodule assignment in each dataset of every miRNA in the heatmap to the left. Submodule 1 is blue, 2 </w:t>
      </w:r>
      <w:proofErr w:type="gramStart"/>
      <w:r w:rsidRPr="00B65D87">
        <w:rPr>
          <w:rFonts w:ascii="Times New Roman" w:hAnsi="Times New Roman" w:cs="Times New Roman"/>
          <w:color w:val="000000" w:themeColor="text1"/>
        </w:rPr>
        <w:t>is</w:t>
      </w:r>
      <w:proofErr w:type="gramEnd"/>
      <w:r w:rsidRPr="00B65D87">
        <w:rPr>
          <w:rFonts w:ascii="Times New Roman" w:hAnsi="Times New Roman" w:cs="Times New Roman"/>
          <w:color w:val="000000" w:themeColor="text1"/>
        </w:rPr>
        <w:t xml:space="preserve"> yellow, 3 is red, 4 is cyan and 5 is green. Not all miRNAs in each dataset are present in the other two datasets; miRNAs that are absent are white in the colorbar. Whisker plots show the </w:t>
      </w:r>
      <w:proofErr w:type="gramStart"/>
      <w:r w:rsidRPr="00B65D87">
        <w:rPr>
          <w:rFonts w:ascii="Times New Roman" w:hAnsi="Times New Roman" w:cs="Times New Roman"/>
          <w:color w:val="000000" w:themeColor="text1"/>
        </w:rPr>
        <w:t>log</w:t>
      </w:r>
      <w:r w:rsidRPr="00B65D87">
        <w:rPr>
          <w:rFonts w:ascii="Times New Roman" w:hAnsi="Times New Roman" w:cs="Times New Roman"/>
          <w:color w:val="000000" w:themeColor="text1"/>
          <w:vertAlign w:val="subscript"/>
        </w:rPr>
        <w:t>10</w:t>
      </w:r>
      <w:r w:rsidRPr="00B65D87">
        <w:rPr>
          <w:rFonts w:ascii="Times New Roman" w:hAnsi="Times New Roman" w:cs="Times New Roman"/>
          <w:color w:val="000000" w:themeColor="text1"/>
        </w:rPr>
        <w:t>(</w:t>
      </w:r>
      <w:proofErr w:type="gramEnd"/>
      <w:r w:rsidRPr="00B65D87">
        <w:rPr>
          <w:rFonts w:ascii="Times New Roman" w:hAnsi="Times New Roman" w:cs="Times New Roman"/>
          <w:color w:val="000000" w:themeColor="text1"/>
        </w:rPr>
        <w:t xml:space="preserve">expression) of the miRNAs in the submodule. </w:t>
      </w:r>
    </w:p>
    <w:p w14:paraId="3388CF95" w14:textId="77777777" w:rsidR="005B5115" w:rsidRPr="00B65D87" w:rsidRDefault="005B5115" w:rsidP="005B5115">
      <w:pPr>
        <w:spacing w:line="480" w:lineRule="auto"/>
        <w:rPr>
          <w:rFonts w:ascii="Times New Roman" w:hAnsi="Times New Roman" w:cs="Times New Roman"/>
          <w:b/>
          <w:color w:val="000000" w:themeColor="text1"/>
        </w:rPr>
      </w:pPr>
    </w:p>
    <w:p w14:paraId="22905F2C" w14:textId="7BF18A3A" w:rsidR="005B5115" w:rsidRPr="00B65D87" w:rsidRDefault="008802C8" w:rsidP="005B5115">
      <w:pPr>
        <w:spacing w:line="480" w:lineRule="auto"/>
        <w:rPr>
          <w:rFonts w:ascii="Arial" w:hAnsi="Arial" w:cs="Arial"/>
          <w:b/>
          <w:color w:val="000000" w:themeColor="text1"/>
        </w:rPr>
      </w:pPr>
      <w:r w:rsidRPr="00B65D87">
        <w:rPr>
          <w:rFonts w:ascii="Arial" w:hAnsi="Arial" w:cs="Arial"/>
          <w:b/>
          <w:color w:val="000000" w:themeColor="text1"/>
        </w:rPr>
        <w:t>Supplementary Tables</w:t>
      </w:r>
    </w:p>
    <w:p w14:paraId="179FDEDF" w14:textId="01F9A292" w:rsidR="005B5115" w:rsidRPr="00B65D87" w:rsidRDefault="005B5115" w:rsidP="005B5115">
      <w:pPr>
        <w:spacing w:line="480" w:lineRule="auto"/>
        <w:rPr>
          <w:rFonts w:ascii="Times New Roman" w:hAnsi="Times New Roman" w:cs="Times New Roman"/>
          <w:color w:val="000000"/>
        </w:rPr>
      </w:pPr>
      <w:r w:rsidRPr="00B65D87">
        <w:rPr>
          <w:rFonts w:ascii="Times New Roman" w:hAnsi="Times New Roman" w:cs="Times New Roman"/>
          <w:color w:val="000000"/>
        </w:rPr>
        <w:t>Table S1. EdgeR log</w:t>
      </w:r>
      <w:r w:rsidRPr="00B65D87">
        <w:rPr>
          <w:rFonts w:ascii="Times New Roman" w:hAnsi="Times New Roman" w:cs="Times New Roman"/>
          <w:color w:val="000000"/>
          <w:vertAlign w:val="subscript"/>
        </w:rPr>
        <w:t>2</w:t>
      </w:r>
      <w:r w:rsidRPr="00B65D87">
        <w:rPr>
          <w:rFonts w:ascii="Times New Roman" w:hAnsi="Times New Roman" w:cs="Times New Roman"/>
          <w:color w:val="000000"/>
        </w:rPr>
        <w:t xml:space="preserve"> fold changes between MEF, intermediate reprogramming stages, stem cells (labeled SC; Oct4-GFP+ newly reprogrammed cells, iPS, and mES lines combined), and piPS. Values are significant at an FDR of 5%</w:t>
      </w:r>
      <w:proofErr w:type="gramStart"/>
      <w:r w:rsidRPr="00B65D87">
        <w:rPr>
          <w:rFonts w:ascii="Times New Roman" w:hAnsi="Times New Roman" w:cs="Times New Roman"/>
          <w:color w:val="000000"/>
        </w:rPr>
        <w:t>,</w:t>
      </w:r>
      <w:proofErr w:type="gramEnd"/>
      <w:r w:rsidRPr="00B65D87">
        <w:rPr>
          <w:rFonts w:ascii="Times New Roman" w:hAnsi="Times New Roman" w:cs="Times New Roman"/>
          <w:color w:val="000000"/>
        </w:rPr>
        <w:t xml:space="preserve"> bold values are significant with an FDR of 1%.</w:t>
      </w:r>
      <w:r w:rsidR="008802C8" w:rsidRPr="00B65D87">
        <w:rPr>
          <w:rFonts w:ascii="Times New Roman" w:hAnsi="Times New Roman" w:cs="Times New Roman"/>
          <w:color w:val="000000"/>
        </w:rPr>
        <w:t xml:space="preserve"> [Provided as an Excel file]</w:t>
      </w:r>
    </w:p>
    <w:p w14:paraId="6B35DA37" w14:textId="77777777" w:rsidR="005B5115" w:rsidRPr="00B65D87" w:rsidRDefault="005B5115" w:rsidP="005B5115">
      <w:pPr>
        <w:spacing w:line="480" w:lineRule="auto"/>
        <w:rPr>
          <w:rFonts w:ascii="Times New Roman" w:hAnsi="Times New Roman" w:cs="Times New Roman"/>
          <w:color w:val="000000"/>
        </w:rPr>
      </w:pPr>
    </w:p>
    <w:p w14:paraId="0C015B95" w14:textId="1D6938A3" w:rsidR="005B5115" w:rsidRPr="00B65D87" w:rsidRDefault="005B5115" w:rsidP="005B5115">
      <w:pPr>
        <w:spacing w:line="480" w:lineRule="auto"/>
        <w:rPr>
          <w:rFonts w:ascii="Times New Roman" w:hAnsi="Times New Roman" w:cs="Times New Roman"/>
          <w:color w:val="000000"/>
        </w:rPr>
      </w:pPr>
      <w:r w:rsidRPr="00B65D87">
        <w:rPr>
          <w:rFonts w:ascii="Times New Roman" w:hAnsi="Times New Roman" w:cs="Times New Roman"/>
          <w:color w:val="000000"/>
        </w:rPr>
        <w:t>Table S2. EdgeR log</w:t>
      </w:r>
      <w:r w:rsidRPr="00B65D87">
        <w:rPr>
          <w:rFonts w:ascii="Times New Roman" w:hAnsi="Times New Roman" w:cs="Times New Roman"/>
          <w:color w:val="000000"/>
          <w:vertAlign w:val="subscript"/>
        </w:rPr>
        <w:t>2</w:t>
      </w:r>
      <w:r w:rsidRPr="00B65D87">
        <w:rPr>
          <w:rFonts w:ascii="Times New Roman" w:hAnsi="Times New Roman" w:cs="Times New Roman"/>
          <w:color w:val="000000"/>
        </w:rPr>
        <w:t xml:space="preserve"> fold changes in reprogramming. Values are significant at an FDR of 5%</w:t>
      </w:r>
      <w:proofErr w:type="gramStart"/>
      <w:r w:rsidRPr="00B65D87">
        <w:rPr>
          <w:rFonts w:ascii="Times New Roman" w:hAnsi="Times New Roman" w:cs="Times New Roman"/>
          <w:color w:val="000000"/>
        </w:rPr>
        <w:t>,</w:t>
      </w:r>
      <w:proofErr w:type="gramEnd"/>
      <w:r w:rsidRPr="00B65D87">
        <w:rPr>
          <w:rFonts w:ascii="Times New Roman" w:hAnsi="Times New Roman" w:cs="Times New Roman"/>
          <w:color w:val="000000"/>
        </w:rPr>
        <w:t xml:space="preserve"> bold values are significant with an FDR of 1%. </w:t>
      </w:r>
      <w:proofErr w:type="gramStart"/>
      <w:r w:rsidRPr="00B65D87">
        <w:rPr>
          <w:rFonts w:ascii="Times New Roman" w:hAnsi="Times New Roman" w:cs="Times New Roman"/>
          <w:color w:val="000000"/>
        </w:rPr>
        <w:t>log</w:t>
      </w:r>
      <w:r w:rsidRPr="00B65D87">
        <w:rPr>
          <w:rFonts w:ascii="Times New Roman" w:hAnsi="Times New Roman" w:cs="Times New Roman"/>
          <w:color w:val="000000"/>
          <w:vertAlign w:val="subscript"/>
        </w:rPr>
        <w:t>2</w:t>
      </w:r>
      <w:proofErr w:type="gramEnd"/>
      <w:r w:rsidRPr="00B65D87">
        <w:rPr>
          <w:rFonts w:ascii="Times New Roman" w:hAnsi="Times New Roman" w:cs="Times New Roman"/>
          <w:color w:val="000000"/>
        </w:rPr>
        <w:t xml:space="preserve"> CPM is log</w:t>
      </w:r>
      <w:r w:rsidRPr="00B65D87">
        <w:rPr>
          <w:rFonts w:ascii="Times New Roman" w:hAnsi="Times New Roman" w:cs="Times New Roman"/>
          <w:color w:val="000000"/>
          <w:vertAlign w:val="subscript"/>
        </w:rPr>
        <w:t>2</w:t>
      </w:r>
      <w:r w:rsidRPr="00B65D87">
        <w:rPr>
          <w:rFonts w:ascii="Times New Roman" w:hAnsi="Times New Roman" w:cs="Times New Roman"/>
          <w:color w:val="000000"/>
        </w:rPr>
        <w:t xml:space="preserve"> of counts per million.</w:t>
      </w:r>
      <w:r w:rsidR="008802C8" w:rsidRPr="00B65D87">
        <w:rPr>
          <w:rFonts w:ascii="Times New Roman" w:hAnsi="Times New Roman" w:cs="Times New Roman"/>
          <w:color w:val="000000"/>
        </w:rPr>
        <w:t xml:space="preserve"> [Provided as an Excel file]</w:t>
      </w:r>
    </w:p>
    <w:p w14:paraId="2B231050" w14:textId="77777777" w:rsidR="005B5115" w:rsidRPr="00B65D87" w:rsidRDefault="005B5115" w:rsidP="005B5115">
      <w:pPr>
        <w:spacing w:line="480" w:lineRule="auto"/>
        <w:rPr>
          <w:rFonts w:ascii="Times New Roman" w:hAnsi="Times New Roman" w:cs="Times New Roman"/>
          <w:color w:val="000000"/>
        </w:rPr>
      </w:pPr>
    </w:p>
    <w:p w14:paraId="7B3594D7" w14:textId="2AFC4C7C" w:rsidR="005B5115" w:rsidRPr="00B65D87" w:rsidRDefault="005B5115" w:rsidP="005B5115">
      <w:pPr>
        <w:spacing w:line="480" w:lineRule="auto"/>
        <w:rPr>
          <w:rFonts w:ascii="Times New Roman" w:hAnsi="Times New Roman" w:cs="Times New Roman"/>
          <w:color w:val="000000"/>
        </w:rPr>
      </w:pPr>
      <w:r w:rsidRPr="00B65D87">
        <w:rPr>
          <w:rFonts w:ascii="Times New Roman" w:hAnsi="Times New Roman" w:cs="Times New Roman"/>
          <w:color w:val="000000"/>
        </w:rPr>
        <w:t xml:space="preserve">Table S3. </w:t>
      </w:r>
      <w:proofErr w:type="gramStart"/>
      <w:r w:rsidRPr="00B65D87">
        <w:rPr>
          <w:rFonts w:ascii="Times New Roman" w:hAnsi="Times New Roman" w:cs="Times New Roman"/>
          <w:color w:val="000000"/>
        </w:rPr>
        <w:t>miRNAs</w:t>
      </w:r>
      <w:proofErr w:type="gramEnd"/>
      <w:r w:rsidRPr="00B65D87">
        <w:rPr>
          <w:rFonts w:ascii="Times New Roman" w:hAnsi="Times New Roman" w:cs="Times New Roman"/>
          <w:color w:val="000000"/>
        </w:rPr>
        <w:t xml:space="preserve"> that are known from the literature to be differentially expressed between MEFs and iPSCs or ESCs, and/or to enhance reprogramming. The five miRNAs in italics did not meet the basic abundance requirements for edgeR analysis and were not considered in further analyses, including the network analysis.</w:t>
      </w:r>
      <w:r w:rsidR="008802C8" w:rsidRPr="00B65D87">
        <w:rPr>
          <w:rFonts w:ascii="Times New Roman" w:hAnsi="Times New Roman" w:cs="Times New Roman"/>
          <w:color w:val="000000"/>
        </w:rPr>
        <w:t xml:space="preserve"> [Provided as an Excel file]</w:t>
      </w:r>
    </w:p>
    <w:p w14:paraId="519BFCC2" w14:textId="77777777" w:rsidR="008802C8" w:rsidRDefault="008802C8" w:rsidP="008802C8">
      <w:pPr>
        <w:rPr>
          <w:rFonts w:ascii="Times" w:hAnsi="Times"/>
        </w:rPr>
        <w:sectPr w:rsidR="008802C8">
          <w:pgSz w:w="12240" w:h="15840"/>
          <w:pgMar w:top="1440" w:right="1440" w:bottom="1440" w:left="1440" w:header="720" w:footer="720" w:gutter="0"/>
          <w:lnNumType w:countBy="1" w:restart="continuous"/>
          <w:cols w:space="720"/>
        </w:sectPr>
      </w:pPr>
    </w:p>
    <w:p w14:paraId="1B30B89A" w14:textId="77777777" w:rsidR="00B65D87" w:rsidRPr="00B65D87" w:rsidRDefault="008802C8" w:rsidP="008802C8">
      <w:pPr>
        <w:rPr>
          <w:rFonts w:ascii="Arial" w:hAnsi="Arial" w:cs="Arial"/>
          <w:b/>
        </w:rPr>
      </w:pPr>
      <w:r w:rsidRPr="00B65D87">
        <w:rPr>
          <w:rFonts w:ascii="Arial" w:hAnsi="Arial" w:cs="Arial"/>
          <w:b/>
        </w:rPr>
        <w:t xml:space="preserve">Table S4. Summary statistics for community structure analyses for all datasets. </w:t>
      </w:r>
    </w:p>
    <w:p w14:paraId="683C73AB" w14:textId="3726AA49" w:rsidR="00C57BBE" w:rsidRPr="00B65D87" w:rsidRDefault="008802C8" w:rsidP="008802C8">
      <w:pPr>
        <w:rPr>
          <w:rFonts w:ascii="Times New Roman" w:hAnsi="Times New Roman" w:cs="Times New Roman"/>
        </w:rPr>
      </w:pPr>
      <w:r w:rsidRPr="00B65D87">
        <w:rPr>
          <w:rFonts w:ascii="Times New Roman" w:hAnsi="Times New Roman" w:cs="Times New Roman"/>
        </w:rPr>
        <w:t xml:space="preserve">N=the number of miRNAs in each dataset; </w:t>
      </w:r>
      <w:r w:rsidRPr="00B65D87">
        <w:rPr>
          <w:rFonts w:ascii="Times New Roman" w:hAnsi="Times New Roman" w:cs="Times New Roman"/>
        </w:rPr>
        <w:sym w:font="Symbol" w:char="F067"/>
      </w:r>
      <w:r w:rsidRPr="00B65D87">
        <w:rPr>
          <w:rFonts w:ascii="Times New Roman" w:hAnsi="Times New Roman" w:cs="Times New Roman"/>
        </w:rPr>
        <w:t>= the community resolution parameter; R=average correlation; Q=</w:t>
      </w:r>
      <w:r w:rsidR="00A243EE" w:rsidRPr="00B65D87">
        <w:rPr>
          <w:rFonts w:ascii="Times New Roman" w:hAnsi="Times New Roman" w:cs="Times New Roman"/>
        </w:rPr>
        <w:t xml:space="preserve">average </w:t>
      </w:r>
      <w:r w:rsidRPr="00B65D87">
        <w:rPr>
          <w:rFonts w:ascii="Times New Roman" w:hAnsi="Times New Roman" w:cs="Times New Roman"/>
        </w:rPr>
        <w:t>modularity</w:t>
      </w:r>
      <w:r w:rsidR="00A243EE" w:rsidRPr="00B65D87">
        <w:rPr>
          <w:rFonts w:ascii="Times New Roman" w:hAnsi="Times New Roman" w:cs="Times New Roman"/>
        </w:rPr>
        <w:t xml:space="preserve"> over all iterations or permutations</w:t>
      </w:r>
      <w:r w:rsidRPr="00B65D87">
        <w:rPr>
          <w:rFonts w:ascii="Times New Roman" w:hAnsi="Times New Roman" w:cs="Times New Roman"/>
        </w:rPr>
        <w:t xml:space="preserve">; S=the number of modules detected for a given dataset. </w:t>
      </w:r>
    </w:p>
    <w:p w14:paraId="722E551D" w14:textId="77777777" w:rsidR="008802C8" w:rsidRPr="00B65D87" w:rsidRDefault="008802C8" w:rsidP="008802C8">
      <w:pPr>
        <w:rPr>
          <w:rFonts w:ascii="Times New Roman" w:hAnsi="Times New Roman" w:cs="Times New Roman"/>
        </w:rPr>
      </w:pPr>
    </w:p>
    <w:tbl>
      <w:tblPr>
        <w:tblW w:w="12796" w:type="dxa"/>
        <w:tblInd w:w="92" w:type="dxa"/>
        <w:tblBorders>
          <w:left w:val="single" w:sz="4" w:space="0" w:color="auto"/>
          <w:right w:val="single" w:sz="4" w:space="0" w:color="auto"/>
          <w:insideV w:val="single" w:sz="4" w:space="0" w:color="auto"/>
        </w:tblBorders>
        <w:tblLayout w:type="fixed"/>
        <w:tblLook w:val="0000" w:firstRow="0" w:lastRow="0" w:firstColumn="0" w:lastColumn="0" w:noHBand="0" w:noVBand="0"/>
      </w:tblPr>
      <w:tblGrid>
        <w:gridCol w:w="1006"/>
        <w:gridCol w:w="90"/>
        <w:gridCol w:w="450"/>
        <w:gridCol w:w="6"/>
        <w:gridCol w:w="444"/>
        <w:gridCol w:w="810"/>
        <w:gridCol w:w="900"/>
        <w:gridCol w:w="270"/>
        <w:gridCol w:w="990"/>
        <w:gridCol w:w="810"/>
        <w:gridCol w:w="1170"/>
        <w:gridCol w:w="450"/>
        <w:gridCol w:w="810"/>
        <w:gridCol w:w="630"/>
        <w:gridCol w:w="900"/>
        <w:gridCol w:w="1080"/>
        <w:gridCol w:w="360"/>
        <w:gridCol w:w="810"/>
        <w:gridCol w:w="810"/>
      </w:tblGrid>
      <w:tr w:rsidR="008802C8" w:rsidRPr="00B65D87" w14:paraId="0E3AB95C" w14:textId="77777777">
        <w:trPr>
          <w:trHeight w:val="340"/>
          <w:tblHeader/>
        </w:trPr>
        <w:tc>
          <w:tcPr>
            <w:tcW w:w="1006" w:type="dxa"/>
            <w:tcBorders>
              <w:top w:val="single" w:sz="4" w:space="0" w:color="auto"/>
              <w:bottom w:val="single" w:sz="4" w:space="0" w:color="auto"/>
            </w:tcBorders>
            <w:shd w:val="clear" w:color="auto" w:fill="auto"/>
            <w:noWrap/>
            <w:vAlign w:val="bottom"/>
          </w:tcPr>
          <w:p w14:paraId="76842C3F" w14:textId="77777777" w:rsidR="008802C8" w:rsidRPr="00B65D87" w:rsidRDefault="008802C8" w:rsidP="001729C6">
            <w:pPr>
              <w:rPr>
                <w:rFonts w:ascii="Times New Roman" w:hAnsi="Times New Roman" w:cs="Times New Roman"/>
                <w:sz w:val="16"/>
                <w:szCs w:val="20"/>
              </w:rPr>
            </w:pPr>
          </w:p>
        </w:tc>
        <w:tc>
          <w:tcPr>
            <w:tcW w:w="546" w:type="dxa"/>
            <w:gridSpan w:val="3"/>
            <w:tcBorders>
              <w:top w:val="single" w:sz="4" w:space="0" w:color="auto"/>
              <w:bottom w:val="single" w:sz="4" w:space="0" w:color="auto"/>
            </w:tcBorders>
            <w:shd w:val="clear" w:color="auto" w:fill="auto"/>
            <w:noWrap/>
            <w:vAlign w:val="bottom"/>
          </w:tcPr>
          <w:p w14:paraId="47A270AF" w14:textId="77777777" w:rsidR="008802C8" w:rsidRPr="00B65D87" w:rsidRDefault="008802C8" w:rsidP="001729C6">
            <w:pPr>
              <w:rPr>
                <w:rFonts w:ascii="Times New Roman" w:hAnsi="Times New Roman" w:cs="Times New Roman"/>
                <w:sz w:val="16"/>
                <w:szCs w:val="20"/>
              </w:rPr>
            </w:pPr>
          </w:p>
        </w:tc>
        <w:tc>
          <w:tcPr>
            <w:tcW w:w="444" w:type="dxa"/>
            <w:tcBorders>
              <w:top w:val="single" w:sz="4" w:space="0" w:color="auto"/>
              <w:bottom w:val="single" w:sz="4" w:space="0" w:color="auto"/>
            </w:tcBorders>
            <w:shd w:val="clear" w:color="auto" w:fill="auto"/>
            <w:noWrap/>
            <w:vAlign w:val="bottom"/>
          </w:tcPr>
          <w:p w14:paraId="3DC9D6E5" w14:textId="77777777" w:rsidR="008802C8" w:rsidRPr="00B65D87" w:rsidRDefault="008802C8" w:rsidP="001729C6">
            <w:pPr>
              <w:rPr>
                <w:rFonts w:ascii="Times New Roman" w:hAnsi="Times New Roman" w:cs="Times New Roman"/>
                <w:sz w:val="16"/>
              </w:rPr>
            </w:pPr>
          </w:p>
        </w:tc>
        <w:tc>
          <w:tcPr>
            <w:tcW w:w="810" w:type="dxa"/>
            <w:tcBorders>
              <w:top w:val="single" w:sz="4" w:space="0" w:color="auto"/>
              <w:bottom w:val="single" w:sz="4" w:space="0" w:color="auto"/>
            </w:tcBorders>
            <w:shd w:val="clear" w:color="auto" w:fill="auto"/>
            <w:noWrap/>
            <w:vAlign w:val="bottom"/>
          </w:tcPr>
          <w:p w14:paraId="0345E98F" w14:textId="77777777" w:rsidR="008802C8" w:rsidRPr="00B65D87" w:rsidRDefault="008802C8" w:rsidP="001729C6">
            <w:pPr>
              <w:rPr>
                <w:rFonts w:ascii="Times New Roman" w:hAnsi="Times New Roman" w:cs="Times New Roman"/>
                <w:sz w:val="16"/>
                <w:szCs w:val="20"/>
              </w:rPr>
            </w:pPr>
          </w:p>
        </w:tc>
        <w:tc>
          <w:tcPr>
            <w:tcW w:w="900" w:type="dxa"/>
            <w:tcBorders>
              <w:top w:val="single" w:sz="4" w:space="0" w:color="auto"/>
              <w:bottom w:val="single" w:sz="4" w:space="0" w:color="auto"/>
            </w:tcBorders>
            <w:shd w:val="clear" w:color="auto" w:fill="auto"/>
            <w:noWrap/>
            <w:vAlign w:val="bottom"/>
          </w:tcPr>
          <w:p w14:paraId="2C1DC8AD" w14:textId="77777777" w:rsidR="008802C8" w:rsidRPr="00B65D87" w:rsidRDefault="008802C8" w:rsidP="001729C6">
            <w:pPr>
              <w:rPr>
                <w:rFonts w:ascii="Times New Roman" w:hAnsi="Times New Roman" w:cs="Times New Roman"/>
                <w:sz w:val="16"/>
                <w:szCs w:val="20"/>
              </w:rPr>
            </w:pPr>
          </w:p>
        </w:tc>
        <w:tc>
          <w:tcPr>
            <w:tcW w:w="270" w:type="dxa"/>
            <w:tcBorders>
              <w:top w:val="single" w:sz="4" w:space="0" w:color="auto"/>
              <w:bottom w:val="single" w:sz="4" w:space="0" w:color="auto"/>
            </w:tcBorders>
            <w:shd w:val="clear" w:color="auto" w:fill="auto"/>
            <w:noWrap/>
            <w:vAlign w:val="bottom"/>
          </w:tcPr>
          <w:p w14:paraId="0DA85165" w14:textId="77777777" w:rsidR="008802C8" w:rsidRPr="00B65D87" w:rsidRDefault="008802C8" w:rsidP="001729C6">
            <w:pPr>
              <w:rPr>
                <w:rFonts w:ascii="Times New Roman" w:hAnsi="Times New Roman" w:cs="Times New Roman"/>
                <w:sz w:val="16"/>
                <w:szCs w:val="20"/>
              </w:rPr>
            </w:pPr>
          </w:p>
        </w:tc>
        <w:tc>
          <w:tcPr>
            <w:tcW w:w="990" w:type="dxa"/>
            <w:tcBorders>
              <w:top w:val="single" w:sz="4" w:space="0" w:color="auto"/>
              <w:bottom w:val="single" w:sz="4" w:space="0" w:color="auto"/>
            </w:tcBorders>
            <w:shd w:val="clear" w:color="auto" w:fill="auto"/>
            <w:noWrap/>
            <w:vAlign w:val="bottom"/>
          </w:tcPr>
          <w:p w14:paraId="0D47512F" w14:textId="77777777" w:rsidR="008802C8" w:rsidRPr="00B65D87" w:rsidRDefault="008802C8" w:rsidP="001729C6">
            <w:pPr>
              <w:rPr>
                <w:rFonts w:ascii="Times New Roman" w:hAnsi="Times New Roman" w:cs="Times New Roman"/>
                <w:sz w:val="16"/>
                <w:szCs w:val="20"/>
              </w:rPr>
            </w:pPr>
          </w:p>
        </w:tc>
        <w:tc>
          <w:tcPr>
            <w:tcW w:w="3870" w:type="dxa"/>
            <w:gridSpan w:val="5"/>
            <w:tcBorders>
              <w:top w:val="single" w:sz="4" w:space="0" w:color="auto"/>
              <w:bottom w:val="single" w:sz="4" w:space="0" w:color="auto"/>
            </w:tcBorders>
            <w:shd w:val="clear" w:color="auto" w:fill="auto"/>
            <w:noWrap/>
            <w:vAlign w:val="bottom"/>
          </w:tcPr>
          <w:p w14:paraId="0402221D" w14:textId="77777777" w:rsidR="008802C8" w:rsidRPr="00B65D87" w:rsidRDefault="008802C8" w:rsidP="001729C6">
            <w:pPr>
              <w:jc w:val="center"/>
              <w:rPr>
                <w:rFonts w:ascii="Times New Roman" w:hAnsi="Times New Roman" w:cs="Times New Roman"/>
                <w:sz w:val="16"/>
                <w:szCs w:val="20"/>
              </w:rPr>
            </w:pPr>
            <w:r w:rsidRPr="00B65D87">
              <w:rPr>
                <w:rFonts w:ascii="Times New Roman" w:hAnsi="Times New Roman" w:cs="Times New Roman"/>
                <w:sz w:val="16"/>
                <w:szCs w:val="20"/>
              </w:rPr>
              <w:t>Randomly-permuted across all treatments</w:t>
            </w:r>
            <w:r w:rsidRPr="00B65D87">
              <w:rPr>
                <w:rStyle w:val="FootnoteReference"/>
                <w:rFonts w:ascii="Times New Roman" w:hAnsi="Times New Roman" w:cs="Times New Roman"/>
                <w:sz w:val="16"/>
                <w:szCs w:val="20"/>
              </w:rPr>
              <w:footnoteReference w:id="1"/>
            </w:r>
          </w:p>
        </w:tc>
        <w:tc>
          <w:tcPr>
            <w:tcW w:w="3960" w:type="dxa"/>
            <w:gridSpan w:val="5"/>
            <w:tcBorders>
              <w:top w:val="single" w:sz="4" w:space="0" w:color="auto"/>
              <w:bottom w:val="single" w:sz="4" w:space="0" w:color="auto"/>
            </w:tcBorders>
            <w:shd w:val="clear" w:color="auto" w:fill="auto"/>
            <w:noWrap/>
            <w:vAlign w:val="bottom"/>
          </w:tcPr>
          <w:p w14:paraId="60E36230"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Randomly-permuted across treatments within replicates</w:t>
            </w:r>
            <w:r w:rsidRPr="00B65D87">
              <w:rPr>
                <w:rStyle w:val="FootnoteReference"/>
                <w:rFonts w:ascii="Times New Roman" w:hAnsi="Times New Roman" w:cs="Times New Roman"/>
                <w:sz w:val="16"/>
                <w:szCs w:val="20"/>
              </w:rPr>
              <w:footnoteReference w:id="2"/>
            </w:r>
          </w:p>
        </w:tc>
      </w:tr>
      <w:tr w:rsidR="008802C8" w:rsidRPr="00B65D87" w14:paraId="25D89ADC" w14:textId="77777777">
        <w:trPr>
          <w:trHeight w:val="340"/>
          <w:tblHeader/>
        </w:trPr>
        <w:tc>
          <w:tcPr>
            <w:tcW w:w="1006" w:type="dxa"/>
            <w:tcBorders>
              <w:top w:val="single" w:sz="4" w:space="0" w:color="auto"/>
              <w:bottom w:val="single" w:sz="4" w:space="0" w:color="auto"/>
            </w:tcBorders>
            <w:shd w:val="clear" w:color="auto" w:fill="auto"/>
            <w:noWrap/>
            <w:vAlign w:val="bottom"/>
          </w:tcPr>
          <w:p w14:paraId="7DE5C3CD"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Dataset</w:t>
            </w:r>
          </w:p>
        </w:tc>
        <w:tc>
          <w:tcPr>
            <w:tcW w:w="546" w:type="dxa"/>
            <w:gridSpan w:val="3"/>
            <w:tcBorders>
              <w:top w:val="single" w:sz="4" w:space="0" w:color="auto"/>
              <w:bottom w:val="single" w:sz="4" w:space="0" w:color="auto"/>
            </w:tcBorders>
            <w:shd w:val="clear" w:color="auto" w:fill="auto"/>
            <w:noWrap/>
            <w:vAlign w:val="bottom"/>
          </w:tcPr>
          <w:p w14:paraId="72959751"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N</w:t>
            </w:r>
          </w:p>
        </w:tc>
        <w:tc>
          <w:tcPr>
            <w:tcW w:w="444" w:type="dxa"/>
            <w:tcBorders>
              <w:top w:val="single" w:sz="4" w:space="0" w:color="auto"/>
              <w:bottom w:val="single" w:sz="4" w:space="0" w:color="auto"/>
            </w:tcBorders>
            <w:shd w:val="clear" w:color="auto" w:fill="auto"/>
            <w:noWrap/>
            <w:vAlign w:val="bottom"/>
          </w:tcPr>
          <w:p w14:paraId="6FDAE467" w14:textId="77777777" w:rsidR="008802C8" w:rsidRPr="00B65D87" w:rsidRDefault="008802C8" w:rsidP="001729C6">
            <w:pPr>
              <w:rPr>
                <w:rFonts w:ascii="Times New Roman" w:hAnsi="Times New Roman" w:cs="Times New Roman"/>
                <w:sz w:val="16"/>
              </w:rPr>
            </w:pPr>
            <w:r w:rsidRPr="00B65D87">
              <w:rPr>
                <w:rFonts w:ascii="Times New Roman" w:hAnsi="Times New Roman" w:cs="Times New Roman"/>
                <w:sz w:val="16"/>
              </w:rPr>
              <w:sym w:font="Symbol" w:char="F067"/>
            </w:r>
          </w:p>
        </w:tc>
        <w:tc>
          <w:tcPr>
            <w:tcW w:w="810" w:type="dxa"/>
            <w:tcBorders>
              <w:top w:val="single" w:sz="4" w:space="0" w:color="auto"/>
              <w:bottom w:val="single" w:sz="4" w:space="0" w:color="auto"/>
            </w:tcBorders>
            <w:shd w:val="clear" w:color="auto" w:fill="auto"/>
            <w:noWrap/>
            <w:vAlign w:val="bottom"/>
          </w:tcPr>
          <w:p w14:paraId="3B792580"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 xml:space="preserve"> R</w:t>
            </w:r>
          </w:p>
        </w:tc>
        <w:tc>
          <w:tcPr>
            <w:tcW w:w="900" w:type="dxa"/>
            <w:tcBorders>
              <w:top w:val="single" w:sz="4" w:space="0" w:color="auto"/>
              <w:bottom w:val="single" w:sz="4" w:space="0" w:color="auto"/>
            </w:tcBorders>
            <w:shd w:val="clear" w:color="auto" w:fill="auto"/>
            <w:noWrap/>
            <w:vAlign w:val="bottom"/>
          </w:tcPr>
          <w:p w14:paraId="31A07080"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 xml:space="preserve">Q </w:t>
            </w:r>
          </w:p>
          <w:p w14:paraId="73089F89"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 SD)</w:t>
            </w:r>
          </w:p>
        </w:tc>
        <w:tc>
          <w:tcPr>
            <w:tcW w:w="270" w:type="dxa"/>
            <w:tcBorders>
              <w:top w:val="single" w:sz="4" w:space="0" w:color="auto"/>
              <w:bottom w:val="single" w:sz="4" w:space="0" w:color="auto"/>
            </w:tcBorders>
            <w:shd w:val="clear" w:color="auto" w:fill="auto"/>
            <w:noWrap/>
            <w:vAlign w:val="bottom"/>
          </w:tcPr>
          <w:p w14:paraId="2CDD3E16"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S</w:t>
            </w:r>
          </w:p>
        </w:tc>
        <w:tc>
          <w:tcPr>
            <w:tcW w:w="990" w:type="dxa"/>
            <w:tcBorders>
              <w:top w:val="single" w:sz="4" w:space="0" w:color="auto"/>
              <w:bottom w:val="single" w:sz="4" w:space="0" w:color="auto"/>
            </w:tcBorders>
            <w:shd w:val="clear" w:color="auto" w:fill="auto"/>
            <w:noWrap/>
            <w:vAlign w:val="bottom"/>
          </w:tcPr>
          <w:p w14:paraId="3EA39A73"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 xml:space="preserve">Mean </w:t>
            </w:r>
          </w:p>
          <w:p w14:paraId="2568FA0E" w14:textId="77777777" w:rsidR="008802C8" w:rsidRPr="00B65D87" w:rsidRDefault="008802C8" w:rsidP="001729C6">
            <w:pPr>
              <w:rPr>
                <w:rFonts w:ascii="Times New Roman" w:hAnsi="Times New Roman" w:cs="Times New Roman"/>
                <w:sz w:val="16"/>
                <w:szCs w:val="20"/>
              </w:rPr>
            </w:pPr>
            <w:proofErr w:type="gramStart"/>
            <w:r w:rsidRPr="00B65D87">
              <w:rPr>
                <w:rFonts w:ascii="Times New Roman" w:hAnsi="Times New Roman" w:cs="Times New Roman"/>
                <w:sz w:val="16"/>
                <w:szCs w:val="20"/>
              </w:rPr>
              <w:t>z</w:t>
            </w:r>
            <w:proofErr w:type="gramEnd"/>
            <w:r w:rsidRPr="00B65D87">
              <w:rPr>
                <w:rFonts w:ascii="Times New Roman" w:hAnsi="Times New Roman" w:cs="Times New Roman"/>
                <w:sz w:val="16"/>
                <w:szCs w:val="20"/>
              </w:rPr>
              <w:t xml:space="preserve">-score </w:t>
            </w:r>
            <w:r w:rsidRPr="00B65D87">
              <w:rPr>
                <w:rStyle w:val="FootnoteReference"/>
                <w:rFonts w:ascii="Times New Roman" w:hAnsi="Times New Roman" w:cs="Times New Roman"/>
                <w:sz w:val="16"/>
                <w:szCs w:val="20"/>
              </w:rPr>
              <w:footnoteReference w:id="3"/>
            </w:r>
          </w:p>
          <w:p w14:paraId="474DC17A"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 SD)</w:t>
            </w:r>
          </w:p>
        </w:tc>
        <w:tc>
          <w:tcPr>
            <w:tcW w:w="810" w:type="dxa"/>
            <w:tcBorders>
              <w:top w:val="single" w:sz="4" w:space="0" w:color="auto"/>
              <w:bottom w:val="single" w:sz="4" w:space="0" w:color="auto"/>
            </w:tcBorders>
            <w:shd w:val="clear" w:color="auto" w:fill="auto"/>
            <w:noWrap/>
            <w:vAlign w:val="bottom"/>
          </w:tcPr>
          <w:p w14:paraId="0D044FB9"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S</w:t>
            </w:r>
            <w:r w:rsidRPr="00B65D87">
              <w:rPr>
                <w:rFonts w:ascii="Times New Roman" w:hAnsi="Times New Roman" w:cs="Times New Roman"/>
                <w:sz w:val="16"/>
                <w:szCs w:val="20"/>
                <w:vertAlign w:val="subscript"/>
              </w:rPr>
              <w:t xml:space="preserve"> </w:t>
            </w:r>
            <w:r w:rsidRPr="00B65D87">
              <w:rPr>
                <w:rFonts w:ascii="Times New Roman" w:hAnsi="Times New Roman" w:cs="Times New Roman"/>
                <w:sz w:val="16"/>
                <w:szCs w:val="20"/>
              </w:rPr>
              <w:t xml:space="preserve"> (± SD)</w:t>
            </w:r>
          </w:p>
        </w:tc>
        <w:tc>
          <w:tcPr>
            <w:tcW w:w="1170" w:type="dxa"/>
            <w:tcBorders>
              <w:top w:val="single" w:sz="4" w:space="0" w:color="auto"/>
              <w:bottom w:val="single" w:sz="4" w:space="0" w:color="auto"/>
            </w:tcBorders>
            <w:shd w:val="clear" w:color="auto" w:fill="auto"/>
            <w:noWrap/>
            <w:vAlign w:val="bottom"/>
          </w:tcPr>
          <w:p w14:paraId="79731CFB"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R (± SD)</w:t>
            </w:r>
          </w:p>
        </w:tc>
        <w:tc>
          <w:tcPr>
            <w:tcW w:w="450" w:type="dxa"/>
            <w:tcBorders>
              <w:top w:val="single" w:sz="4" w:space="0" w:color="auto"/>
              <w:bottom w:val="single" w:sz="4" w:space="0" w:color="auto"/>
            </w:tcBorders>
            <w:shd w:val="clear" w:color="auto" w:fill="auto"/>
            <w:noWrap/>
            <w:vAlign w:val="bottom"/>
          </w:tcPr>
          <w:p w14:paraId="502BD2E7" w14:textId="77777777" w:rsidR="008802C8" w:rsidRPr="00B65D87" w:rsidRDefault="008802C8" w:rsidP="001729C6">
            <w:pPr>
              <w:rPr>
                <w:rFonts w:ascii="Times New Roman" w:hAnsi="Times New Roman" w:cs="Times New Roman"/>
                <w:sz w:val="16"/>
                <w:szCs w:val="20"/>
              </w:rPr>
            </w:pPr>
            <w:proofErr w:type="gramStart"/>
            <w:r w:rsidRPr="00B65D87">
              <w:rPr>
                <w:rFonts w:ascii="Times New Roman" w:hAnsi="Times New Roman" w:cs="Times New Roman"/>
                <w:sz w:val="16"/>
                <w:szCs w:val="20"/>
              </w:rPr>
              <w:t>p</w:t>
            </w:r>
            <w:bookmarkStart w:id="1" w:name="_Ref226629901"/>
            <w:proofErr w:type="gramEnd"/>
            <w:r w:rsidRPr="00B65D87">
              <w:rPr>
                <w:rStyle w:val="FootnoteReference"/>
                <w:rFonts w:ascii="Times New Roman" w:hAnsi="Times New Roman" w:cs="Times New Roman"/>
                <w:sz w:val="16"/>
                <w:szCs w:val="20"/>
              </w:rPr>
              <w:footnoteReference w:id="4"/>
            </w:r>
            <w:bookmarkEnd w:id="1"/>
          </w:p>
        </w:tc>
        <w:tc>
          <w:tcPr>
            <w:tcW w:w="810" w:type="dxa"/>
            <w:tcBorders>
              <w:top w:val="single" w:sz="4" w:space="0" w:color="auto"/>
              <w:bottom w:val="single" w:sz="4" w:space="0" w:color="auto"/>
            </w:tcBorders>
            <w:shd w:val="clear" w:color="auto" w:fill="auto"/>
            <w:noWrap/>
            <w:vAlign w:val="bottom"/>
          </w:tcPr>
          <w:p w14:paraId="3C46BC5D"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 xml:space="preserve">Q </w:t>
            </w:r>
          </w:p>
          <w:p w14:paraId="00B50A77"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 SD)</w:t>
            </w:r>
          </w:p>
        </w:tc>
        <w:tc>
          <w:tcPr>
            <w:tcW w:w="630" w:type="dxa"/>
            <w:tcBorders>
              <w:top w:val="single" w:sz="4" w:space="0" w:color="auto"/>
              <w:bottom w:val="single" w:sz="4" w:space="0" w:color="auto"/>
            </w:tcBorders>
            <w:shd w:val="clear" w:color="auto" w:fill="auto"/>
            <w:noWrap/>
            <w:vAlign w:val="bottom"/>
          </w:tcPr>
          <w:p w14:paraId="3C5F2011" w14:textId="77777777" w:rsidR="008802C8" w:rsidRPr="00B65D87" w:rsidRDefault="008802C8" w:rsidP="001729C6">
            <w:pPr>
              <w:rPr>
                <w:rFonts w:ascii="Times New Roman" w:hAnsi="Times New Roman" w:cs="Times New Roman"/>
                <w:sz w:val="16"/>
                <w:szCs w:val="20"/>
              </w:rPr>
            </w:pPr>
            <w:proofErr w:type="gramStart"/>
            <w:r w:rsidRPr="00B65D87">
              <w:rPr>
                <w:rFonts w:ascii="Times New Roman" w:hAnsi="Times New Roman" w:cs="Times New Roman"/>
                <w:sz w:val="16"/>
                <w:szCs w:val="20"/>
              </w:rPr>
              <w:t>p</w:t>
            </w:r>
            <w:proofErr w:type="gramEnd"/>
            <w:r w:rsidR="00775673" w:rsidRPr="00B65D87">
              <w:rPr>
                <w:rStyle w:val="FootnoteReference"/>
                <w:rFonts w:ascii="Times New Roman" w:hAnsi="Times New Roman" w:cs="Times New Roman"/>
                <w:sz w:val="16"/>
              </w:rPr>
              <w:fldChar w:fldCharType="begin"/>
            </w:r>
            <w:r w:rsidRPr="00B65D87">
              <w:rPr>
                <w:rStyle w:val="FootnoteReference"/>
                <w:rFonts w:ascii="Times New Roman" w:hAnsi="Times New Roman" w:cs="Times New Roman"/>
                <w:sz w:val="16"/>
              </w:rPr>
              <w:instrText xml:space="preserve"> NOTEREF _Ref226629901 </w:instrText>
            </w:r>
            <w:r w:rsidR="00775673" w:rsidRPr="00B65D87">
              <w:rPr>
                <w:rStyle w:val="FootnoteReference"/>
                <w:rFonts w:ascii="Times New Roman" w:hAnsi="Times New Roman" w:cs="Times New Roman"/>
                <w:sz w:val="16"/>
              </w:rPr>
              <w:fldChar w:fldCharType="separate"/>
            </w:r>
            <w:r w:rsidRPr="00B65D87">
              <w:rPr>
                <w:rStyle w:val="FootnoteReference"/>
                <w:rFonts w:ascii="Times New Roman" w:hAnsi="Times New Roman" w:cs="Times New Roman"/>
                <w:sz w:val="16"/>
              </w:rPr>
              <w:t>4</w:t>
            </w:r>
            <w:r w:rsidR="00775673" w:rsidRPr="00B65D87">
              <w:rPr>
                <w:rStyle w:val="FootnoteReference"/>
                <w:rFonts w:ascii="Times New Roman" w:hAnsi="Times New Roman" w:cs="Times New Roman"/>
                <w:sz w:val="16"/>
              </w:rPr>
              <w:fldChar w:fldCharType="end"/>
            </w:r>
          </w:p>
        </w:tc>
        <w:tc>
          <w:tcPr>
            <w:tcW w:w="900" w:type="dxa"/>
            <w:tcBorders>
              <w:top w:val="single" w:sz="4" w:space="0" w:color="auto"/>
              <w:bottom w:val="single" w:sz="4" w:space="0" w:color="auto"/>
            </w:tcBorders>
            <w:shd w:val="clear" w:color="auto" w:fill="auto"/>
            <w:noWrap/>
            <w:vAlign w:val="bottom"/>
          </w:tcPr>
          <w:p w14:paraId="285E05CB"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S (± SD)</w:t>
            </w:r>
          </w:p>
        </w:tc>
        <w:tc>
          <w:tcPr>
            <w:tcW w:w="1080" w:type="dxa"/>
            <w:tcBorders>
              <w:top w:val="single" w:sz="4" w:space="0" w:color="auto"/>
              <w:bottom w:val="single" w:sz="4" w:space="0" w:color="auto"/>
            </w:tcBorders>
            <w:shd w:val="clear" w:color="auto" w:fill="auto"/>
            <w:noWrap/>
            <w:vAlign w:val="bottom"/>
          </w:tcPr>
          <w:p w14:paraId="3A1104FA"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R (± SD)</w:t>
            </w:r>
          </w:p>
        </w:tc>
        <w:tc>
          <w:tcPr>
            <w:tcW w:w="360" w:type="dxa"/>
            <w:tcBorders>
              <w:top w:val="single" w:sz="4" w:space="0" w:color="auto"/>
              <w:bottom w:val="single" w:sz="4" w:space="0" w:color="auto"/>
            </w:tcBorders>
            <w:shd w:val="clear" w:color="auto" w:fill="auto"/>
            <w:noWrap/>
            <w:vAlign w:val="bottom"/>
          </w:tcPr>
          <w:p w14:paraId="39F8C88E" w14:textId="77777777" w:rsidR="008802C8" w:rsidRPr="00B65D87" w:rsidRDefault="008802C8" w:rsidP="001729C6">
            <w:pPr>
              <w:rPr>
                <w:rFonts w:ascii="Times New Roman" w:hAnsi="Times New Roman" w:cs="Times New Roman"/>
                <w:sz w:val="16"/>
                <w:szCs w:val="20"/>
              </w:rPr>
            </w:pPr>
            <w:proofErr w:type="gramStart"/>
            <w:r w:rsidRPr="00B65D87">
              <w:rPr>
                <w:rFonts w:ascii="Times New Roman" w:hAnsi="Times New Roman" w:cs="Times New Roman"/>
                <w:sz w:val="16"/>
                <w:szCs w:val="20"/>
              </w:rPr>
              <w:t>p</w:t>
            </w:r>
            <w:proofErr w:type="gramEnd"/>
            <w:r w:rsidR="00775673" w:rsidRPr="00B65D87">
              <w:rPr>
                <w:rStyle w:val="FootnoteReference"/>
                <w:rFonts w:ascii="Times New Roman" w:hAnsi="Times New Roman" w:cs="Times New Roman"/>
                <w:sz w:val="16"/>
              </w:rPr>
              <w:fldChar w:fldCharType="begin"/>
            </w:r>
            <w:r w:rsidRPr="00B65D87">
              <w:rPr>
                <w:rStyle w:val="FootnoteReference"/>
                <w:rFonts w:ascii="Times New Roman" w:hAnsi="Times New Roman" w:cs="Times New Roman"/>
                <w:sz w:val="16"/>
              </w:rPr>
              <w:instrText xml:space="preserve"> NOTEREF _Ref226629901 \f </w:instrText>
            </w:r>
            <w:r w:rsidR="00775673" w:rsidRPr="00B65D87">
              <w:rPr>
                <w:rStyle w:val="FootnoteReference"/>
                <w:rFonts w:ascii="Times New Roman" w:hAnsi="Times New Roman" w:cs="Times New Roman"/>
                <w:sz w:val="16"/>
              </w:rPr>
              <w:fldChar w:fldCharType="separate"/>
            </w:r>
            <w:r w:rsidRPr="00B65D87">
              <w:rPr>
                <w:rStyle w:val="FootnoteReference"/>
                <w:rFonts w:ascii="Times New Roman" w:hAnsi="Times New Roman" w:cs="Times New Roman"/>
              </w:rPr>
              <w:t>4</w:t>
            </w:r>
            <w:r w:rsidR="00775673" w:rsidRPr="00B65D87">
              <w:rPr>
                <w:rStyle w:val="FootnoteReference"/>
                <w:rFonts w:ascii="Times New Roman" w:hAnsi="Times New Roman" w:cs="Times New Roman"/>
                <w:sz w:val="16"/>
              </w:rPr>
              <w:fldChar w:fldCharType="end"/>
            </w:r>
            <w:r w:rsidRPr="00B65D87">
              <w:rPr>
                <w:rFonts w:ascii="Times New Roman" w:hAnsi="Times New Roman" w:cs="Times New Roman"/>
                <w:sz w:val="16"/>
                <w:szCs w:val="20"/>
              </w:rPr>
              <w:t xml:space="preserve"> </w:t>
            </w:r>
          </w:p>
        </w:tc>
        <w:tc>
          <w:tcPr>
            <w:tcW w:w="810" w:type="dxa"/>
            <w:tcBorders>
              <w:top w:val="single" w:sz="4" w:space="0" w:color="auto"/>
              <w:bottom w:val="single" w:sz="4" w:space="0" w:color="auto"/>
            </w:tcBorders>
            <w:shd w:val="clear" w:color="auto" w:fill="auto"/>
            <w:noWrap/>
            <w:vAlign w:val="bottom"/>
          </w:tcPr>
          <w:p w14:paraId="1832D258"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 xml:space="preserve">Q  </w:t>
            </w:r>
          </w:p>
          <w:p w14:paraId="70BC3CE1"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 SD)</w:t>
            </w:r>
          </w:p>
        </w:tc>
        <w:tc>
          <w:tcPr>
            <w:tcW w:w="810" w:type="dxa"/>
            <w:tcBorders>
              <w:top w:val="single" w:sz="4" w:space="0" w:color="auto"/>
              <w:bottom w:val="single" w:sz="4" w:space="0" w:color="auto"/>
            </w:tcBorders>
            <w:shd w:val="clear" w:color="auto" w:fill="auto"/>
            <w:noWrap/>
            <w:vAlign w:val="bottom"/>
          </w:tcPr>
          <w:p w14:paraId="00786573" w14:textId="77777777" w:rsidR="008802C8" w:rsidRPr="00B65D87" w:rsidRDefault="008802C8" w:rsidP="001729C6">
            <w:pPr>
              <w:rPr>
                <w:rFonts w:ascii="Times New Roman" w:hAnsi="Times New Roman" w:cs="Times New Roman"/>
                <w:sz w:val="16"/>
                <w:szCs w:val="20"/>
              </w:rPr>
            </w:pPr>
            <w:proofErr w:type="gramStart"/>
            <w:r w:rsidRPr="00B65D87">
              <w:rPr>
                <w:rFonts w:ascii="Times New Roman" w:hAnsi="Times New Roman" w:cs="Times New Roman"/>
                <w:sz w:val="16"/>
                <w:szCs w:val="20"/>
              </w:rPr>
              <w:t>p</w:t>
            </w:r>
            <w:proofErr w:type="gramEnd"/>
            <w:r w:rsidR="00775673" w:rsidRPr="00B65D87">
              <w:rPr>
                <w:rFonts w:ascii="Times New Roman" w:hAnsi="Times New Roman" w:cs="Times New Roman"/>
                <w:sz w:val="16"/>
                <w:szCs w:val="20"/>
              </w:rPr>
              <w:fldChar w:fldCharType="begin"/>
            </w:r>
            <w:r w:rsidRPr="00B65D87">
              <w:rPr>
                <w:rFonts w:ascii="Times New Roman" w:hAnsi="Times New Roman" w:cs="Times New Roman"/>
                <w:sz w:val="16"/>
                <w:szCs w:val="20"/>
              </w:rPr>
              <w:instrText xml:space="preserve"> NOTEREF _Ref226629901 \f </w:instrText>
            </w:r>
            <w:r w:rsidR="00775673" w:rsidRPr="00B65D87">
              <w:rPr>
                <w:rFonts w:ascii="Times New Roman" w:hAnsi="Times New Roman" w:cs="Times New Roman"/>
                <w:sz w:val="16"/>
                <w:szCs w:val="20"/>
              </w:rPr>
              <w:fldChar w:fldCharType="separate"/>
            </w:r>
            <w:r w:rsidRPr="00B65D87">
              <w:rPr>
                <w:rStyle w:val="FootnoteReference"/>
                <w:rFonts w:ascii="Times New Roman" w:hAnsi="Times New Roman" w:cs="Times New Roman"/>
              </w:rPr>
              <w:t>4</w:t>
            </w:r>
            <w:r w:rsidR="00775673" w:rsidRPr="00B65D87">
              <w:rPr>
                <w:rFonts w:ascii="Times New Roman" w:hAnsi="Times New Roman" w:cs="Times New Roman"/>
                <w:sz w:val="16"/>
                <w:szCs w:val="20"/>
              </w:rPr>
              <w:fldChar w:fldCharType="end"/>
            </w:r>
          </w:p>
        </w:tc>
      </w:tr>
      <w:tr w:rsidR="008802C8" w:rsidRPr="00B65D87" w14:paraId="0520A5B4" w14:textId="77777777">
        <w:trPr>
          <w:trHeight w:val="260"/>
        </w:trPr>
        <w:tc>
          <w:tcPr>
            <w:tcW w:w="1006" w:type="dxa"/>
            <w:tcBorders>
              <w:top w:val="single" w:sz="4" w:space="0" w:color="auto"/>
            </w:tcBorders>
            <w:shd w:val="clear" w:color="auto" w:fill="auto"/>
            <w:noWrap/>
            <w:vAlign w:val="bottom"/>
          </w:tcPr>
          <w:p w14:paraId="01B9B89A"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KR</w:t>
            </w:r>
          </w:p>
        </w:tc>
        <w:tc>
          <w:tcPr>
            <w:tcW w:w="546" w:type="dxa"/>
            <w:gridSpan w:val="3"/>
            <w:tcBorders>
              <w:top w:val="single" w:sz="4" w:space="0" w:color="auto"/>
            </w:tcBorders>
            <w:shd w:val="clear" w:color="auto" w:fill="auto"/>
            <w:noWrap/>
            <w:vAlign w:val="bottom"/>
          </w:tcPr>
          <w:p w14:paraId="4CEBA048"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120</w:t>
            </w:r>
          </w:p>
        </w:tc>
        <w:tc>
          <w:tcPr>
            <w:tcW w:w="444" w:type="dxa"/>
            <w:tcBorders>
              <w:top w:val="single" w:sz="4" w:space="0" w:color="auto"/>
            </w:tcBorders>
            <w:shd w:val="clear" w:color="auto" w:fill="auto"/>
            <w:noWrap/>
            <w:vAlign w:val="bottom"/>
          </w:tcPr>
          <w:p w14:paraId="0670D26D"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w:t>
            </w:r>
          </w:p>
        </w:tc>
        <w:tc>
          <w:tcPr>
            <w:tcW w:w="810" w:type="dxa"/>
            <w:tcBorders>
              <w:top w:val="single" w:sz="4" w:space="0" w:color="auto"/>
            </w:tcBorders>
            <w:shd w:val="clear" w:color="auto" w:fill="auto"/>
            <w:noWrap/>
            <w:vAlign w:val="bottom"/>
          </w:tcPr>
          <w:p w14:paraId="31454D61"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0.032</w:t>
            </w:r>
          </w:p>
        </w:tc>
        <w:tc>
          <w:tcPr>
            <w:tcW w:w="900" w:type="dxa"/>
            <w:tcBorders>
              <w:top w:val="single" w:sz="4" w:space="0" w:color="auto"/>
            </w:tcBorders>
            <w:shd w:val="clear" w:color="auto" w:fill="auto"/>
            <w:noWrap/>
          </w:tcPr>
          <w:p w14:paraId="4AB65B67"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0.364 ±0.006</w:t>
            </w:r>
          </w:p>
        </w:tc>
        <w:tc>
          <w:tcPr>
            <w:tcW w:w="270" w:type="dxa"/>
            <w:tcBorders>
              <w:top w:val="single" w:sz="4" w:space="0" w:color="auto"/>
            </w:tcBorders>
            <w:shd w:val="clear" w:color="auto" w:fill="auto"/>
            <w:noWrap/>
            <w:vAlign w:val="bottom"/>
          </w:tcPr>
          <w:p w14:paraId="50DD5E1A"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3</w:t>
            </w:r>
          </w:p>
        </w:tc>
        <w:tc>
          <w:tcPr>
            <w:tcW w:w="990" w:type="dxa"/>
            <w:tcBorders>
              <w:top w:val="single" w:sz="4" w:space="0" w:color="auto"/>
            </w:tcBorders>
            <w:shd w:val="clear" w:color="auto" w:fill="auto"/>
            <w:noWrap/>
            <w:vAlign w:val="bottom"/>
          </w:tcPr>
          <w:p w14:paraId="576FE38F"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75.4±10.8</w:t>
            </w:r>
          </w:p>
        </w:tc>
        <w:tc>
          <w:tcPr>
            <w:tcW w:w="810" w:type="dxa"/>
            <w:tcBorders>
              <w:top w:val="single" w:sz="4" w:space="0" w:color="auto"/>
            </w:tcBorders>
            <w:shd w:val="clear" w:color="auto" w:fill="auto"/>
            <w:noWrap/>
            <w:vAlign w:val="bottom"/>
          </w:tcPr>
          <w:p w14:paraId="7A79D62A"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5.60</w:t>
            </w:r>
          </w:p>
          <w:p w14:paraId="2F19F4B5"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±0.74</w:t>
            </w:r>
          </w:p>
        </w:tc>
        <w:tc>
          <w:tcPr>
            <w:tcW w:w="1170" w:type="dxa"/>
            <w:tcBorders>
              <w:top w:val="single" w:sz="4" w:space="0" w:color="auto"/>
            </w:tcBorders>
            <w:shd w:val="clear" w:color="auto" w:fill="auto"/>
            <w:noWrap/>
          </w:tcPr>
          <w:p w14:paraId="11CD8984"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-1.79E-05</w:t>
            </w:r>
          </w:p>
          <w:p w14:paraId="1521448E"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±3.10E-03</w:t>
            </w:r>
          </w:p>
        </w:tc>
        <w:tc>
          <w:tcPr>
            <w:tcW w:w="450" w:type="dxa"/>
            <w:tcBorders>
              <w:top w:val="single" w:sz="4" w:space="0" w:color="auto"/>
            </w:tcBorders>
            <w:shd w:val="clear" w:color="auto" w:fill="auto"/>
            <w:noWrap/>
            <w:vAlign w:val="bottom"/>
          </w:tcPr>
          <w:p w14:paraId="384FA685"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top w:val="single" w:sz="4" w:space="0" w:color="auto"/>
            </w:tcBorders>
            <w:shd w:val="clear" w:color="auto" w:fill="auto"/>
            <w:noWrap/>
            <w:vAlign w:val="bottom"/>
          </w:tcPr>
          <w:p w14:paraId="62B4193A"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0.235±0.0092</w:t>
            </w:r>
          </w:p>
        </w:tc>
        <w:tc>
          <w:tcPr>
            <w:tcW w:w="630" w:type="dxa"/>
            <w:tcBorders>
              <w:top w:val="single" w:sz="4" w:space="0" w:color="auto"/>
            </w:tcBorders>
            <w:shd w:val="clear" w:color="auto" w:fill="auto"/>
            <w:noWrap/>
            <w:vAlign w:val="bottom"/>
          </w:tcPr>
          <w:p w14:paraId="3238A8E7"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900" w:type="dxa"/>
            <w:tcBorders>
              <w:top w:val="single" w:sz="4" w:space="0" w:color="auto"/>
            </w:tcBorders>
            <w:shd w:val="clear" w:color="auto" w:fill="auto"/>
            <w:noWrap/>
            <w:vAlign w:val="bottom"/>
          </w:tcPr>
          <w:p w14:paraId="42B46FCC"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3.49±0.60</w:t>
            </w:r>
          </w:p>
        </w:tc>
        <w:tc>
          <w:tcPr>
            <w:tcW w:w="1080" w:type="dxa"/>
            <w:tcBorders>
              <w:top w:val="single" w:sz="4" w:space="0" w:color="auto"/>
            </w:tcBorders>
            <w:shd w:val="clear" w:color="auto" w:fill="auto"/>
            <w:noWrap/>
            <w:vAlign w:val="bottom"/>
          </w:tcPr>
          <w:p w14:paraId="1F31C2B2"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2.00E-03</w:t>
            </w:r>
          </w:p>
          <w:p w14:paraId="5306FB7B"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±2.70E-03</w:t>
            </w:r>
          </w:p>
        </w:tc>
        <w:tc>
          <w:tcPr>
            <w:tcW w:w="360" w:type="dxa"/>
            <w:tcBorders>
              <w:top w:val="single" w:sz="4" w:space="0" w:color="auto"/>
            </w:tcBorders>
            <w:shd w:val="clear" w:color="auto" w:fill="auto"/>
            <w:noWrap/>
            <w:vAlign w:val="bottom"/>
          </w:tcPr>
          <w:p w14:paraId="4DEA8F33"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top w:val="single" w:sz="4" w:space="0" w:color="auto"/>
            </w:tcBorders>
            <w:shd w:val="clear" w:color="auto" w:fill="auto"/>
            <w:noWrap/>
            <w:vAlign w:val="bottom"/>
          </w:tcPr>
          <w:p w14:paraId="3A84787C"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0.318</w:t>
            </w:r>
          </w:p>
          <w:p w14:paraId="070F088A"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±0.007</w:t>
            </w:r>
          </w:p>
        </w:tc>
        <w:tc>
          <w:tcPr>
            <w:tcW w:w="810" w:type="dxa"/>
            <w:tcBorders>
              <w:top w:val="single" w:sz="4" w:space="0" w:color="auto"/>
            </w:tcBorders>
            <w:shd w:val="clear" w:color="auto" w:fill="auto"/>
            <w:noWrap/>
            <w:vAlign w:val="bottom"/>
          </w:tcPr>
          <w:p w14:paraId="66C7414A"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r>
      <w:tr w:rsidR="008802C8" w:rsidRPr="00B65D87" w14:paraId="346053E4" w14:textId="77777777">
        <w:trPr>
          <w:trHeight w:val="260"/>
        </w:trPr>
        <w:tc>
          <w:tcPr>
            <w:tcW w:w="1006" w:type="dxa"/>
            <w:tcBorders>
              <w:bottom w:val="nil"/>
            </w:tcBorders>
            <w:shd w:val="clear" w:color="auto" w:fill="auto"/>
            <w:noWrap/>
            <w:vAlign w:val="bottom"/>
          </w:tcPr>
          <w:p w14:paraId="50819A7E"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FDR1</w:t>
            </w:r>
          </w:p>
        </w:tc>
        <w:tc>
          <w:tcPr>
            <w:tcW w:w="546" w:type="dxa"/>
            <w:gridSpan w:val="3"/>
            <w:tcBorders>
              <w:bottom w:val="nil"/>
            </w:tcBorders>
            <w:shd w:val="clear" w:color="auto" w:fill="auto"/>
            <w:noWrap/>
            <w:vAlign w:val="bottom"/>
          </w:tcPr>
          <w:p w14:paraId="1710C525"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312</w:t>
            </w:r>
          </w:p>
        </w:tc>
        <w:tc>
          <w:tcPr>
            <w:tcW w:w="444" w:type="dxa"/>
            <w:tcBorders>
              <w:bottom w:val="nil"/>
            </w:tcBorders>
            <w:shd w:val="clear" w:color="auto" w:fill="auto"/>
            <w:noWrap/>
            <w:vAlign w:val="bottom"/>
          </w:tcPr>
          <w:p w14:paraId="7967C918"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w:t>
            </w:r>
          </w:p>
        </w:tc>
        <w:tc>
          <w:tcPr>
            <w:tcW w:w="810" w:type="dxa"/>
            <w:tcBorders>
              <w:bottom w:val="nil"/>
            </w:tcBorders>
            <w:shd w:val="clear" w:color="auto" w:fill="auto"/>
            <w:noWrap/>
            <w:vAlign w:val="bottom"/>
          </w:tcPr>
          <w:p w14:paraId="1D9AA7D0"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0.052</w:t>
            </w:r>
          </w:p>
        </w:tc>
        <w:tc>
          <w:tcPr>
            <w:tcW w:w="900" w:type="dxa"/>
            <w:tcBorders>
              <w:bottom w:val="nil"/>
            </w:tcBorders>
            <w:shd w:val="clear" w:color="auto" w:fill="auto"/>
            <w:noWrap/>
          </w:tcPr>
          <w:p w14:paraId="5124A769"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0.338 ±0.004</w:t>
            </w:r>
          </w:p>
        </w:tc>
        <w:tc>
          <w:tcPr>
            <w:tcW w:w="270" w:type="dxa"/>
            <w:tcBorders>
              <w:bottom w:val="nil"/>
            </w:tcBorders>
            <w:shd w:val="clear" w:color="auto" w:fill="auto"/>
            <w:noWrap/>
            <w:vAlign w:val="bottom"/>
          </w:tcPr>
          <w:p w14:paraId="0637409D"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3</w:t>
            </w:r>
          </w:p>
        </w:tc>
        <w:tc>
          <w:tcPr>
            <w:tcW w:w="990" w:type="dxa"/>
            <w:tcBorders>
              <w:bottom w:val="nil"/>
            </w:tcBorders>
            <w:shd w:val="clear" w:color="auto" w:fill="auto"/>
            <w:noWrap/>
            <w:vAlign w:val="bottom"/>
          </w:tcPr>
          <w:p w14:paraId="10B675DE"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100.3±24.6</w:t>
            </w:r>
          </w:p>
        </w:tc>
        <w:tc>
          <w:tcPr>
            <w:tcW w:w="810" w:type="dxa"/>
            <w:tcBorders>
              <w:bottom w:val="nil"/>
            </w:tcBorders>
            <w:shd w:val="clear" w:color="auto" w:fill="auto"/>
            <w:noWrap/>
            <w:vAlign w:val="bottom"/>
          </w:tcPr>
          <w:p w14:paraId="42D48D48"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6.30</w:t>
            </w:r>
          </w:p>
          <w:p w14:paraId="6F3CCF81"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±0.74</w:t>
            </w:r>
          </w:p>
        </w:tc>
        <w:tc>
          <w:tcPr>
            <w:tcW w:w="1170" w:type="dxa"/>
            <w:tcBorders>
              <w:bottom w:val="nil"/>
            </w:tcBorders>
            <w:shd w:val="clear" w:color="auto" w:fill="auto"/>
            <w:noWrap/>
          </w:tcPr>
          <w:p w14:paraId="0AF18B97"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-1.17E-04</w:t>
            </w:r>
          </w:p>
          <w:p w14:paraId="6F84DFEB"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±1.60E-03</w:t>
            </w:r>
          </w:p>
        </w:tc>
        <w:tc>
          <w:tcPr>
            <w:tcW w:w="450" w:type="dxa"/>
            <w:tcBorders>
              <w:bottom w:val="nil"/>
            </w:tcBorders>
            <w:shd w:val="clear" w:color="auto" w:fill="auto"/>
            <w:noWrap/>
            <w:vAlign w:val="bottom"/>
          </w:tcPr>
          <w:p w14:paraId="578F1FD3"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bottom w:val="nil"/>
            </w:tcBorders>
            <w:shd w:val="clear" w:color="auto" w:fill="auto"/>
            <w:noWrap/>
            <w:vAlign w:val="bottom"/>
          </w:tcPr>
          <w:p w14:paraId="28C4B965"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0.2121±0.0068</w:t>
            </w:r>
          </w:p>
        </w:tc>
        <w:tc>
          <w:tcPr>
            <w:tcW w:w="630" w:type="dxa"/>
            <w:tcBorders>
              <w:bottom w:val="nil"/>
            </w:tcBorders>
            <w:shd w:val="clear" w:color="auto" w:fill="auto"/>
            <w:noWrap/>
            <w:vAlign w:val="bottom"/>
          </w:tcPr>
          <w:p w14:paraId="1E092612"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900" w:type="dxa"/>
            <w:tcBorders>
              <w:bottom w:val="nil"/>
            </w:tcBorders>
            <w:shd w:val="clear" w:color="auto" w:fill="auto"/>
            <w:noWrap/>
            <w:vAlign w:val="bottom"/>
          </w:tcPr>
          <w:p w14:paraId="600633DD"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3.10±0.59</w:t>
            </w:r>
          </w:p>
        </w:tc>
        <w:tc>
          <w:tcPr>
            <w:tcW w:w="1080" w:type="dxa"/>
            <w:tcBorders>
              <w:bottom w:val="nil"/>
            </w:tcBorders>
            <w:shd w:val="clear" w:color="auto" w:fill="auto"/>
            <w:noWrap/>
            <w:vAlign w:val="bottom"/>
          </w:tcPr>
          <w:p w14:paraId="69008F62"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2.63E-04</w:t>
            </w:r>
          </w:p>
          <w:p w14:paraId="5589843B"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±1.40E-03</w:t>
            </w:r>
          </w:p>
        </w:tc>
        <w:tc>
          <w:tcPr>
            <w:tcW w:w="360" w:type="dxa"/>
            <w:tcBorders>
              <w:bottom w:val="nil"/>
            </w:tcBorders>
            <w:shd w:val="clear" w:color="auto" w:fill="auto"/>
            <w:noWrap/>
            <w:vAlign w:val="bottom"/>
          </w:tcPr>
          <w:p w14:paraId="17A2BF47"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bottom w:val="nil"/>
            </w:tcBorders>
            <w:shd w:val="clear" w:color="auto" w:fill="auto"/>
            <w:noWrap/>
            <w:vAlign w:val="bottom"/>
          </w:tcPr>
          <w:p w14:paraId="5990B339"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0.284</w:t>
            </w:r>
          </w:p>
          <w:p w14:paraId="1F3886E6"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±0.005</w:t>
            </w:r>
          </w:p>
        </w:tc>
        <w:tc>
          <w:tcPr>
            <w:tcW w:w="810" w:type="dxa"/>
            <w:tcBorders>
              <w:bottom w:val="nil"/>
            </w:tcBorders>
            <w:shd w:val="clear" w:color="auto" w:fill="auto"/>
            <w:noWrap/>
            <w:vAlign w:val="bottom"/>
          </w:tcPr>
          <w:p w14:paraId="569BDC54"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r>
      <w:tr w:rsidR="008802C8" w:rsidRPr="00B65D87" w14:paraId="0B0B5D50" w14:textId="77777777">
        <w:trPr>
          <w:trHeight w:val="260"/>
        </w:trPr>
        <w:tc>
          <w:tcPr>
            <w:tcW w:w="1006" w:type="dxa"/>
            <w:tcBorders>
              <w:bottom w:val="single" w:sz="4" w:space="0" w:color="auto"/>
            </w:tcBorders>
            <w:shd w:val="clear" w:color="auto" w:fill="auto"/>
            <w:noWrap/>
            <w:vAlign w:val="bottom"/>
          </w:tcPr>
          <w:p w14:paraId="6E7F0F57"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FDR5</w:t>
            </w:r>
          </w:p>
        </w:tc>
        <w:tc>
          <w:tcPr>
            <w:tcW w:w="546" w:type="dxa"/>
            <w:gridSpan w:val="3"/>
            <w:tcBorders>
              <w:bottom w:val="single" w:sz="4" w:space="0" w:color="auto"/>
            </w:tcBorders>
            <w:shd w:val="clear" w:color="auto" w:fill="auto"/>
            <w:noWrap/>
            <w:vAlign w:val="bottom"/>
          </w:tcPr>
          <w:p w14:paraId="1B7C81AE"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400</w:t>
            </w:r>
          </w:p>
        </w:tc>
        <w:tc>
          <w:tcPr>
            <w:tcW w:w="444" w:type="dxa"/>
            <w:tcBorders>
              <w:bottom w:val="single" w:sz="4" w:space="0" w:color="auto"/>
            </w:tcBorders>
            <w:shd w:val="clear" w:color="auto" w:fill="auto"/>
            <w:noWrap/>
            <w:vAlign w:val="bottom"/>
          </w:tcPr>
          <w:p w14:paraId="1287BA78"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w:t>
            </w:r>
          </w:p>
        </w:tc>
        <w:tc>
          <w:tcPr>
            <w:tcW w:w="810" w:type="dxa"/>
            <w:tcBorders>
              <w:bottom w:val="single" w:sz="4" w:space="0" w:color="auto"/>
            </w:tcBorders>
            <w:shd w:val="clear" w:color="auto" w:fill="auto"/>
            <w:noWrap/>
            <w:vAlign w:val="bottom"/>
          </w:tcPr>
          <w:p w14:paraId="7C09414A"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0.030</w:t>
            </w:r>
          </w:p>
        </w:tc>
        <w:tc>
          <w:tcPr>
            <w:tcW w:w="900" w:type="dxa"/>
            <w:tcBorders>
              <w:bottom w:val="single" w:sz="4" w:space="0" w:color="auto"/>
            </w:tcBorders>
            <w:shd w:val="clear" w:color="auto" w:fill="auto"/>
            <w:noWrap/>
          </w:tcPr>
          <w:p w14:paraId="0A1AC0D4"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0.337 ±0.003</w:t>
            </w:r>
          </w:p>
        </w:tc>
        <w:tc>
          <w:tcPr>
            <w:tcW w:w="270" w:type="dxa"/>
            <w:tcBorders>
              <w:bottom w:val="single" w:sz="4" w:space="0" w:color="auto"/>
            </w:tcBorders>
            <w:shd w:val="clear" w:color="auto" w:fill="auto"/>
            <w:noWrap/>
            <w:vAlign w:val="bottom"/>
          </w:tcPr>
          <w:p w14:paraId="3F642BC1"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3</w:t>
            </w:r>
          </w:p>
        </w:tc>
        <w:tc>
          <w:tcPr>
            <w:tcW w:w="990" w:type="dxa"/>
            <w:tcBorders>
              <w:bottom w:val="single" w:sz="4" w:space="0" w:color="auto"/>
            </w:tcBorders>
            <w:shd w:val="clear" w:color="auto" w:fill="auto"/>
            <w:noWrap/>
            <w:vAlign w:val="bottom"/>
          </w:tcPr>
          <w:p w14:paraId="00EF616F"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143.1±32.4</w:t>
            </w:r>
          </w:p>
        </w:tc>
        <w:tc>
          <w:tcPr>
            <w:tcW w:w="810" w:type="dxa"/>
            <w:tcBorders>
              <w:bottom w:val="single" w:sz="4" w:space="0" w:color="auto"/>
            </w:tcBorders>
            <w:shd w:val="clear" w:color="auto" w:fill="auto"/>
            <w:noWrap/>
            <w:vAlign w:val="bottom"/>
          </w:tcPr>
          <w:p w14:paraId="7A799C63"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6.53</w:t>
            </w:r>
          </w:p>
          <w:p w14:paraId="26718398"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±0.79</w:t>
            </w:r>
          </w:p>
        </w:tc>
        <w:tc>
          <w:tcPr>
            <w:tcW w:w="1170" w:type="dxa"/>
            <w:tcBorders>
              <w:bottom w:val="single" w:sz="4" w:space="0" w:color="auto"/>
            </w:tcBorders>
            <w:shd w:val="clear" w:color="auto" w:fill="auto"/>
            <w:noWrap/>
          </w:tcPr>
          <w:p w14:paraId="6BD2265F"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-9.77E-06</w:t>
            </w:r>
          </w:p>
          <w:p w14:paraId="781707A4"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±1.10E-03</w:t>
            </w:r>
          </w:p>
        </w:tc>
        <w:tc>
          <w:tcPr>
            <w:tcW w:w="450" w:type="dxa"/>
            <w:tcBorders>
              <w:bottom w:val="single" w:sz="4" w:space="0" w:color="auto"/>
            </w:tcBorders>
            <w:shd w:val="clear" w:color="auto" w:fill="auto"/>
            <w:noWrap/>
            <w:vAlign w:val="bottom"/>
          </w:tcPr>
          <w:p w14:paraId="268D059B"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bottom w:val="single" w:sz="4" w:space="0" w:color="auto"/>
            </w:tcBorders>
            <w:shd w:val="clear" w:color="auto" w:fill="auto"/>
            <w:noWrap/>
            <w:vAlign w:val="bottom"/>
          </w:tcPr>
          <w:p w14:paraId="0B1CDBDC"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0.1986±0.0060</w:t>
            </w:r>
          </w:p>
        </w:tc>
        <w:tc>
          <w:tcPr>
            <w:tcW w:w="630" w:type="dxa"/>
            <w:tcBorders>
              <w:bottom w:val="single" w:sz="4" w:space="0" w:color="auto"/>
            </w:tcBorders>
            <w:shd w:val="clear" w:color="auto" w:fill="auto"/>
            <w:noWrap/>
            <w:vAlign w:val="bottom"/>
          </w:tcPr>
          <w:p w14:paraId="6D2B4483"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900" w:type="dxa"/>
            <w:tcBorders>
              <w:bottom w:val="single" w:sz="4" w:space="0" w:color="auto"/>
            </w:tcBorders>
            <w:shd w:val="clear" w:color="auto" w:fill="auto"/>
            <w:noWrap/>
            <w:vAlign w:val="bottom"/>
          </w:tcPr>
          <w:p w14:paraId="2FF03B45"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3.04±0.48</w:t>
            </w:r>
          </w:p>
        </w:tc>
        <w:tc>
          <w:tcPr>
            <w:tcW w:w="1080" w:type="dxa"/>
            <w:tcBorders>
              <w:bottom w:val="single" w:sz="4" w:space="0" w:color="auto"/>
            </w:tcBorders>
            <w:shd w:val="clear" w:color="auto" w:fill="auto"/>
            <w:noWrap/>
            <w:vAlign w:val="bottom"/>
          </w:tcPr>
          <w:p w14:paraId="2E1E8C47"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-9.71E-05</w:t>
            </w:r>
          </w:p>
          <w:p w14:paraId="64F83AD6"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±9.47E-04</w:t>
            </w:r>
          </w:p>
        </w:tc>
        <w:tc>
          <w:tcPr>
            <w:tcW w:w="360" w:type="dxa"/>
            <w:tcBorders>
              <w:bottom w:val="single" w:sz="4" w:space="0" w:color="auto"/>
            </w:tcBorders>
            <w:shd w:val="clear" w:color="auto" w:fill="auto"/>
            <w:noWrap/>
            <w:vAlign w:val="bottom"/>
          </w:tcPr>
          <w:p w14:paraId="21F602AE"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bottom w:val="single" w:sz="4" w:space="0" w:color="auto"/>
            </w:tcBorders>
            <w:shd w:val="clear" w:color="auto" w:fill="auto"/>
            <w:noWrap/>
            <w:vAlign w:val="bottom"/>
          </w:tcPr>
          <w:p w14:paraId="75D18601"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0.302</w:t>
            </w:r>
          </w:p>
          <w:p w14:paraId="020EC86E"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±0.003</w:t>
            </w:r>
          </w:p>
        </w:tc>
        <w:tc>
          <w:tcPr>
            <w:tcW w:w="810" w:type="dxa"/>
            <w:tcBorders>
              <w:bottom w:val="single" w:sz="4" w:space="0" w:color="auto"/>
            </w:tcBorders>
            <w:shd w:val="clear" w:color="auto" w:fill="auto"/>
            <w:noWrap/>
            <w:vAlign w:val="bottom"/>
          </w:tcPr>
          <w:p w14:paraId="0C2BE560"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r>
      <w:tr w:rsidR="008802C8" w:rsidRPr="00B65D87" w14:paraId="6417C044" w14:textId="77777777">
        <w:trPr>
          <w:trHeight w:val="260"/>
        </w:trPr>
        <w:tc>
          <w:tcPr>
            <w:tcW w:w="3976" w:type="dxa"/>
            <w:gridSpan w:val="8"/>
            <w:tcBorders>
              <w:top w:val="single" w:sz="4" w:space="0" w:color="auto"/>
              <w:bottom w:val="single" w:sz="4" w:space="0" w:color="auto"/>
              <w:right w:val="nil"/>
            </w:tcBorders>
            <w:shd w:val="clear" w:color="auto" w:fill="auto"/>
            <w:noWrap/>
            <w:vAlign w:val="bottom"/>
          </w:tcPr>
          <w:p w14:paraId="4E076A78" w14:textId="77777777" w:rsidR="008802C8" w:rsidRPr="00B65D87" w:rsidRDefault="008802C8" w:rsidP="001729C6">
            <w:pPr>
              <w:rPr>
                <w:rFonts w:ascii="Times New Roman" w:hAnsi="Times New Roman" w:cs="Times New Roman"/>
                <w:sz w:val="16"/>
                <w:szCs w:val="20"/>
              </w:rPr>
            </w:pPr>
            <w:proofErr w:type="gramStart"/>
            <w:r w:rsidRPr="00B65D87">
              <w:rPr>
                <w:rFonts w:ascii="Times New Roman" w:hAnsi="Times New Roman" w:cs="Times New Roman"/>
                <w:sz w:val="16"/>
                <w:szCs w:val="20"/>
              </w:rPr>
              <w:t>miRNAs</w:t>
            </w:r>
            <w:proofErr w:type="gramEnd"/>
            <w:r w:rsidRPr="00B65D87">
              <w:rPr>
                <w:rFonts w:ascii="Times New Roman" w:hAnsi="Times New Roman" w:cs="Times New Roman"/>
                <w:sz w:val="16"/>
                <w:szCs w:val="20"/>
              </w:rPr>
              <w:t xml:space="preserve"> that overlap with KR dataset removed</w:t>
            </w:r>
          </w:p>
        </w:tc>
        <w:tc>
          <w:tcPr>
            <w:tcW w:w="990" w:type="dxa"/>
            <w:tcBorders>
              <w:top w:val="single" w:sz="4" w:space="0" w:color="auto"/>
              <w:left w:val="nil"/>
              <w:bottom w:val="single" w:sz="4" w:space="0" w:color="auto"/>
              <w:right w:val="nil"/>
            </w:tcBorders>
            <w:shd w:val="clear" w:color="auto" w:fill="auto"/>
            <w:noWrap/>
            <w:vAlign w:val="bottom"/>
          </w:tcPr>
          <w:p w14:paraId="0D8C52D2" w14:textId="77777777" w:rsidR="008802C8" w:rsidRPr="00B65D87" w:rsidRDefault="008802C8" w:rsidP="001729C6">
            <w:pPr>
              <w:rPr>
                <w:rFonts w:ascii="Times New Roman" w:hAnsi="Times New Roman" w:cs="Times New Roman"/>
                <w:sz w:val="16"/>
                <w:szCs w:val="20"/>
              </w:rPr>
            </w:pPr>
          </w:p>
        </w:tc>
        <w:tc>
          <w:tcPr>
            <w:tcW w:w="810" w:type="dxa"/>
            <w:tcBorders>
              <w:top w:val="single" w:sz="4" w:space="0" w:color="auto"/>
              <w:left w:val="nil"/>
              <w:bottom w:val="single" w:sz="4" w:space="0" w:color="auto"/>
              <w:right w:val="nil"/>
            </w:tcBorders>
            <w:shd w:val="clear" w:color="auto" w:fill="auto"/>
            <w:noWrap/>
            <w:vAlign w:val="bottom"/>
          </w:tcPr>
          <w:p w14:paraId="5B51EAF9" w14:textId="77777777" w:rsidR="008802C8" w:rsidRPr="00B65D87" w:rsidRDefault="008802C8" w:rsidP="001729C6">
            <w:pPr>
              <w:rPr>
                <w:rFonts w:ascii="Times New Roman" w:hAnsi="Times New Roman" w:cs="Times New Roman"/>
                <w:sz w:val="16"/>
                <w:szCs w:val="20"/>
              </w:rPr>
            </w:pPr>
          </w:p>
        </w:tc>
        <w:tc>
          <w:tcPr>
            <w:tcW w:w="1170" w:type="dxa"/>
            <w:tcBorders>
              <w:top w:val="single" w:sz="4" w:space="0" w:color="auto"/>
              <w:left w:val="nil"/>
              <w:bottom w:val="single" w:sz="4" w:space="0" w:color="auto"/>
              <w:right w:val="nil"/>
            </w:tcBorders>
            <w:shd w:val="clear" w:color="auto" w:fill="auto"/>
            <w:noWrap/>
            <w:vAlign w:val="bottom"/>
          </w:tcPr>
          <w:p w14:paraId="70B0447F" w14:textId="77777777" w:rsidR="008802C8" w:rsidRPr="00B65D87" w:rsidRDefault="008802C8">
            <w:pPr>
              <w:rPr>
                <w:rFonts w:ascii="Times New Roman" w:hAnsi="Times New Roman" w:cs="Times New Roman"/>
                <w:sz w:val="16"/>
                <w:szCs w:val="16"/>
              </w:rPr>
            </w:pPr>
          </w:p>
        </w:tc>
        <w:tc>
          <w:tcPr>
            <w:tcW w:w="450" w:type="dxa"/>
            <w:tcBorders>
              <w:top w:val="single" w:sz="4" w:space="0" w:color="auto"/>
              <w:left w:val="nil"/>
              <w:bottom w:val="single" w:sz="4" w:space="0" w:color="auto"/>
              <w:right w:val="nil"/>
            </w:tcBorders>
            <w:shd w:val="clear" w:color="auto" w:fill="auto"/>
            <w:noWrap/>
            <w:vAlign w:val="bottom"/>
          </w:tcPr>
          <w:p w14:paraId="3540A783" w14:textId="77777777" w:rsidR="008802C8" w:rsidRPr="00B65D87" w:rsidRDefault="008802C8">
            <w:pPr>
              <w:rPr>
                <w:rFonts w:ascii="Times New Roman" w:hAnsi="Times New Roman" w:cs="Times New Roman"/>
                <w:sz w:val="16"/>
                <w:szCs w:val="16"/>
              </w:rPr>
            </w:pPr>
          </w:p>
        </w:tc>
        <w:tc>
          <w:tcPr>
            <w:tcW w:w="810" w:type="dxa"/>
            <w:tcBorders>
              <w:top w:val="single" w:sz="4" w:space="0" w:color="auto"/>
              <w:left w:val="nil"/>
              <w:bottom w:val="single" w:sz="4" w:space="0" w:color="auto"/>
              <w:right w:val="nil"/>
            </w:tcBorders>
            <w:shd w:val="clear" w:color="auto" w:fill="auto"/>
            <w:noWrap/>
            <w:vAlign w:val="bottom"/>
          </w:tcPr>
          <w:p w14:paraId="0C670B4F" w14:textId="77777777" w:rsidR="008802C8" w:rsidRPr="00B65D87" w:rsidRDefault="008802C8">
            <w:pPr>
              <w:rPr>
                <w:rFonts w:ascii="Times New Roman" w:hAnsi="Times New Roman" w:cs="Times New Roman"/>
                <w:sz w:val="16"/>
                <w:szCs w:val="16"/>
              </w:rPr>
            </w:pPr>
          </w:p>
        </w:tc>
        <w:tc>
          <w:tcPr>
            <w:tcW w:w="630" w:type="dxa"/>
            <w:tcBorders>
              <w:top w:val="single" w:sz="4" w:space="0" w:color="auto"/>
              <w:left w:val="nil"/>
              <w:bottom w:val="single" w:sz="4" w:space="0" w:color="auto"/>
              <w:right w:val="nil"/>
            </w:tcBorders>
            <w:shd w:val="clear" w:color="auto" w:fill="auto"/>
            <w:noWrap/>
            <w:vAlign w:val="bottom"/>
          </w:tcPr>
          <w:p w14:paraId="68298A72" w14:textId="77777777" w:rsidR="008802C8" w:rsidRPr="00B65D87" w:rsidRDefault="008802C8">
            <w:pPr>
              <w:rPr>
                <w:rFonts w:ascii="Times New Roman" w:hAnsi="Times New Roman" w:cs="Times New Roman"/>
                <w:sz w:val="16"/>
                <w:szCs w:val="16"/>
              </w:rPr>
            </w:pPr>
          </w:p>
        </w:tc>
        <w:tc>
          <w:tcPr>
            <w:tcW w:w="900" w:type="dxa"/>
            <w:tcBorders>
              <w:top w:val="single" w:sz="4" w:space="0" w:color="auto"/>
              <w:left w:val="nil"/>
              <w:bottom w:val="single" w:sz="4" w:space="0" w:color="auto"/>
              <w:right w:val="nil"/>
            </w:tcBorders>
            <w:shd w:val="clear" w:color="auto" w:fill="auto"/>
            <w:noWrap/>
            <w:vAlign w:val="bottom"/>
          </w:tcPr>
          <w:p w14:paraId="1CB132D3" w14:textId="77777777" w:rsidR="008802C8" w:rsidRPr="00B65D87" w:rsidRDefault="008802C8">
            <w:pPr>
              <w:rPr>
                <w:rFonts w:ascii="Times New Roman" w:hAnsi="Times New Roman" w:cs="Times New Roman"/>
                <w:sz w:val="16"/>
                <w:szCs w:val="16"/>
              </w:rPr>
            </w:pPr>
          </w:p>
        </w:tc>
        <w:tc>
          <w:tcPr>
            <w:tcW w:w="1080" w:type="dxa"/>
            <w:tcBorders>
              <w:top w:val="single" w:sz="4" w:space="0" w:color="auto"/>
              <w:left w:val="nil"/>
              <w:bottom w:val="single" w:sz="4" w:space="0" w:color="auto"/>
              <w:right w:val="nil"/>
            </w:tcBorders>
            <w:shd w:val="clear" w:color="auto" w:fill="auto"/>
            <w:noWrap/>
          </w:tcPr>
          <w:p w14:paraId="54F78259" w14:textId="77777777" w:rsidR="008802C8" w:rsidRPr="00B65D87" w:rsidRDefault="008802C8">
            <w:pPr>
              <w:rPr>
                <w:rFonts w:ascii="Times New Roman" w:hAnsi="Times New Roman" w:cs="Times New Roman"/>
                <w:sz w:val="16"/>
              </w:rPr>
            </w:pPr>
          </w:p>
        </w:tc>
        <w:tc>
          <w:tcPr>
            <w:tcW w:w="360" w:type="dxa"/>
            <w:tcBorders>
              <w:top w:val="single" w:sz="4" w:space="0" w:color="auto"/>
              <w:left w:val="nil"/>
              <w:bottom w:val="single" w:sz="4" w:space="0" w:color="auto"/>
              <w:right w:val="nil"/>
            </w:tcBorders>
            <w:shd w:val="clear" w:color="auto" w:fill="auto"/>
            <w:noWrap/>
            <w:vAlign w:val="bottom"/>
          </w:tcPr>
          <w:p w14:paraId="365064ED" w14:textId="77777777" w:rsidR="008802C8" w:rsidRPr="00B65D87" w:rsidRDefault="008802C8" w:rsidP="001729C6">
            <w:pPr>
              <w:rPr>
                <w:rFonts w:ascii="Times New Roman" w:hAnsi="Times New Roman" w:cs="Times New Roman"/>
                <w:sz w:val="16"/>
                <w:szCs w:val="20"/>
              </w:rPr>
            </w:pPr>
          </w:p>
        </w:tc>
        <w:tc>
          <w:tcPr>
            <w:tcW w:w="810" w:type="dxa"/>
            <w:tcBorders>
              <w:top w:val="single" w:sz="4" w:space="0" w:color="auto"/>
              <w:left w:val="nil"/>
              <w:bottom w:val="single" w:sz="4" w:space="0" w:color="auto"/>
              <w:right w:val="nil"/>
            </w:tcBorders>
            <w:shd w:val="clear" w:color="auto" w:fill="auto"/>
            <w:noWrap/>
            <w:vAlign w:val="bottom"/>
          </w:tcPr>
          <w:p w14:paraId="453CB4B6" w14:textId="77777777" w:rsidR="008802C8" w:rsidRPr="00B65D87" w:rsidRDefault="008802C8">
            <w:pPr>
              <w:rPr>
                <w:rFonts w:ascii="Times New Roman" w:hAnsi="Times New Roman" w:cs="Times New Roman"/>
                <w:sz w:val="16"/>
                <w:szCs w:val="16"/>
              </w:rPr>
            </w:pPr>
          </w:p>
        </w:tc>
        <w:tc>
          <w:tcPr>
            <w:tcW w:w="810" w:type="dxa"/>
            <w:tcBorders>
              <w:top w:val="single" w:sz="4" w:space="0" w:color="auto"/>
              <w:left w:val="nil"/>
              <w:bottom w:val="single" w:sz="4" w:space="0" w:color="auto"/>
            </w:tcBorders>
            <w:shd w:val="clear" w:color="auto" w:fill="auto"/>
            <w:noWrap/>
            <w:vAlign w:val="bottom"/>
          </w:tcPr>
          <w:p w14:paraId="44ED7113" w14:textId="77777777" w:rsidR="008802C8" w:rsidRPr="00B65D87" w:rsidRDefault="008802C8" w:rsidP="001729C6">
            <w:pPr>
              <w:rPr>
                <w:rFonts w:ascii="Times New Roman" w:hAnsi="Times New Roman" w:cs="Times New Roman"/>
                <w:sz w:val="16"/>
                <w:szCs w:val="20"/>
              </w:rPr>
            </w:pPr>
          </w:p>
        </w:tc>
      </w:tr>
      <w:tr w:rsidR="008802C8" w:rsidRPr="00B65D87" w14:paraId="2B47B4FA" w14:textId="77777777">
        <w:trPr>
          <w:trHeight w:val="260"/>
        </w:trPr>
        <w:tc>
          <w:tcPr>
            <w:tcW w:w="1006" w:type="dxa"/>
            <w:tcBorders>
              <w:top w:val="single" w:sz="4" w:space="0" w:color="auto"/>
            </w:tcBorders>
            <w:shd w:val="clear" w:color="auto" w:fill="auto"/>
            <w:noWrap/>
            <w:vAlign w:val="bottom"/>
          </w:tcPr>
          <w:p w14:paraId="7E37CCC9"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FDR1</w:t>
            </w:r>
          </w:p>
        </w:tc>
        <w:tc>
          <w:tcPr>
            <w:tcW w:w="546" w:type="dxa"/>
            <w:gridSpan w:val="3"/>
            <w:tcBorders>
              <w:top w:val="single" w:sz="4" w:space="0" w:color="auto"/>
            </w:tcBorders>
            <w:shd w:val="clear" w:color="auto" w:fill="auto"/>
            <w:noWrap/>
            <w:vAlign w:val="bottom"/>
          </w:tcPr>
          <w:p w14:paraId="3DB8444A"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136</w:t>
            </w:r>
          </w:p>
        </w:tc>
        <w:tc>
          <w:tcPr>
            <w:tcW w:w="444" w:type="dxa"/>
            <w:tcBorders>
              <w:top w:val="single" w:sz="4" w:space="0" w:color="auto"/>
            </w:tcBorders>
            <w:shd w:val="clear" w:color="auto" w:fill="auto"/>
            <w:noWrap/>
            <w:vAlign w:val="bottom"/>
          </w:tcPr>
          <w:p w14:paraId="61209BBB"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w:t>
            </w:r>
          </w:p>
        </w:tc>
        <w:tc>
          <w:tcPr>
            <w:tcW w:w="810" w:type="dxa"/>
            <w:tcBorders>
              <w:top w:val="single" w:sz="4" w:space="0" w:color="auto"/>
            </w:tcBorders>
            <w:shd w:val="clear" w:color="auto" w:fill="auto"/>
            <w:noWrap/>
            <w:vAlign w:val="bottom"/>
          </w:tcPr>
          <w:p w14:paraId="3B032E66"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0.050</w:t>
            </w:r>
          </w:p>
        </w:tc>
        <w:tc>
          <w:tcPr>
            <w:tcW w:w="900" w:type="dxa"/>
            <w:tcBorders>
              <w:top w:val="single" w:sz="4" w:space="0" w:color="auto"/>
            </w:tcBorders>
            <w:shd w:val="clear" w:color="auto" w:fill="auto"/>
            <w:noWrap/>
          </w:tcPr>
          <w:p w14:paraId="0417D441"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0.325 ±0.005</w:t>
            </w:r>
          </w:p>
        </w:tc>
        <w:tc>
          <w:tcPr>
            <w:tcW w:w="270" w:type="dxa"/>
            <w:tcBorders>
              <w:top w:val="single" w:sz="4" w:space="0" w:color="auto"/>
            </w:tcBorders>
            <w:shd w:val="clear" w:color="auto" w:fill="auto"/>
            <w:noWrap/>
            <w:vAlign w:val="bottom"/>
          </w:tcPr>
          <w:p w14:paraId="213662E2"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3</w:t>
            </w:r>
          </w:p>
        </w:tc>
        <w:tc>
          <w:tcPr>
            <w:tcW w:w="990" w:type="dxa"/>
            <w:tcBorders>
              <w:top w:val="single" w:sz="4" w:space="0" w:color="auto"/>
            </w:tcBorders>
            <w:shd w:val="clear" w:color="auto" w:fill="auto"/>
            <w:noWrap/>
            <w:vAlign w:val="bottom"/>
          </w:tcPr>
          <w:p w14:paraId="3E7C4474"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56.5±18.4</w:t>
            </w:r>
          </w:p>
        </w:tc>
        <w:tc>
          <w:tcPr>
            <w:tcW w:w="810" w:type="dxa"/>
            <w:tcBorders>
              <w:top w:val="single" w:sz="4" w:space="0" w:color="auto"/>
            </w:tcBorders>
            <w:shd w:val="clear" w:color="auto" w:fill="auto"/>
            <w:noWrap/>
            <w:vAlign w:val="bottom"/>
          </w:tcPr>
          <w:p w14:paraId="405AF380"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5.80</w:t>
            </w:r>
          </w:p>
          <w:p w14:paraId="7C3C5BC6"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±0.73</w:t>
            </w:r>
          </w:p>
        </w:tc>
        <w:tc>
          <w:tcPr>
            <w:tcW w:w="1170" w:type="dxa"/>
            <w:tcBorders>
              <w:top w:val="single" w:sz="4" w:space="0" w:color="auto"/>
            </w:tcBorders>
            <w:shd w:val="clear" w:color="auto" w:fill="auto"/>
            <w:noWrap/>
          </w:tcPr>
          <w:p w14:paraId="3299B8CF"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1.88E-05</w:t>
            </w:r>
          </w:p>
          <w:p w14:paraId="4E53BD08"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±2.80E-03</w:t>
            </w:r>
          </w:p>
        </w:tc>
        <w:tc>
          <w:tcPr>
            <w:tcW w:w="450" w:type="dxa"/>
            <w:tcBorders>
              <w:top w:val="single" w:sz="4" w:space="0" w:color="auto"/>
            </w:tcBorders>
            <w:shd w:val="clear" w:color="auto" w:fill="auto"/>
            <w:noWrap/>
            <w:vAlign w:val="bottom"/>
          </w:tcPr>
          <w:p w14:paraId="7D87C1F5"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top w:val="single" w:sz="4" w:space="0" w:color="auto"/>
            </w:tcBorders>
            <w:shd w:val="clear" w:color="auto" w:fill="auto"/>
            <w:noWrap/>
            <w:vAlign w:val="bottom"/>
          </w:tcPr>
          <w:p w14:paraId="5C28BCFA"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0.2316±0.0085</w:t>
            </w:r>
          </w:p>
        </w:tc>
        <w:tc>
          <w:tcPr>
            <w:tcW w:w="630" w:type="dxa"/>
            <w:tcBorders>
              <w:top w:val="single" w:sz="4" w:space="0" w:color="auto"/>
            </w:tcBorders>
            <w:shd w:val="clear" w:color="auto" w:fill="auto"/>
            <w:noWrap/>
            <w:vAlign w:val="bottom"/>
          </w:tcPr>
          <w:p w14:paraId="21E6AF18"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900" w:type="dxa"/>
            <w:tcBorders>
              <w:top w:val="single" w:sz="4" w:space="0" w:color="auto"/>
            </w:tcBorders>
            <w:shd w:val="clear" w:color="auto" w:fill="auto"/>
            <w:noWrap/>
            <w:vAlign w:val="bottom"/>
          </w:tcPr>
          <w:p w14:paraId="29D7F141"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3.18±0.58</w:t>
            </w:r>
          </w:p>
        </w:tc>
        <w:tc>
          <w:tcPr>
            <w:tcW w:w="1080" w:type="dxa"/>
            <w:tcBorders>
              <w:top w:val="single" w:sz="4" w:space="0" w:color="auto"/>
            </w:tcBorders>
            <w:shd w:val="clear" w:color="auto" w:fill="auto"/>
            <w:noWrap/>
          </w:tcPr>
          <w:p w14:paraId="5C4F13AB"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-8.85E-04</w:t>
            </w:r>
          </w:p>
          <w:p w14:paraId="60B264C8"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±2.40E-03</w:t>
            </w:r>
          </w:p>
        </w:tc>
        <w:tc>
          <w:tcPr>
            <w:tcW w:w="360" w:type="dxa"/>
            <w:tcBorders>
              <w:top w:val="single" w:sz="4" w:space="0" w:color="auto"/>
            </w:tcBorders>
            <w:shd w:val="clear" w:color="auto" w:fill="auto"/>
            <w:noWrap/>
            <w:vAlign w:val="bottom"/>
          </w:tcPr>
          <w:p w14:paraId="36D12872"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top w:val="single" w:sz="4" w:space="0" w:color="auto"/>
            </w:tcBorders>
            <w:shd w:val="clear" w:color="auto" w:fill="auto"/>
            <w:noWrap/>
            <w:vAlign w:val="bottom"/>
          </w:tcPr>
          <w:p w14:paraId="11096473"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0.295</w:t>
            </w:r>
          </w:p>
          <w:p w14:paraId="305F4ABF"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±0.007</w:t>
            </w:r>
          </w:p>
        </w:tc>
        <w:tc>
          <w:tcPr>
            <w:tcW w:w="810" w:type="dxa"/>
            <w:tcBorders>
              <w:top w:val="single" w:sz="4" w:space="0" w:color="auto"/>
            </w:tcBorders>
            <w:shd w:val="clear" w:color="auto" w:fill="auto"/>
            <w:noWrap/>
            <w:vAlign w:val="bottom"/>
          </w:tcPr>
          <w:p w14:paraId="52C3595A"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r>
      <w:tr w:rsidR="008802C8" w:rsidRPr="00B65D87" w14:paraId="0CC904EE" w14:textId="77777777">
        <w:trPr>
          <w:trHeight w:val="260"/>
        </w:trPr>
        <w:tc>
          <w:tcPr>
            <w:tcW w:w="1006" w:type="dxa"/>
            <w:tcBorders>
              <w:bottom w:val="single" w:sz="4" w:space="0" w:color="auto"/>
            </w:tcBorders>
            <w:shd w:val="clear" w:color="auto" w:fill="auto"/>
            <w:noWrap/>
            <w:vAlign w:val="bottom"/>
          </w:tcPr>
          <w:p w14:paraId="78F6A825"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FDR5</w:t>
            </w:r>
          </w:p>
        </w:tc>
        <w:tc>
          <w:tcPr>
            <w:tcW w:w="546" w:type="dxa"/>
            <w:gridSpan w:val="3"/>
            <w:tcBorders>
              <w:bottom w:val="single" w:sz="4" w:space="0" w:color="auto"/>
            </w:tcBorders>
            <w:shd w:val="clear" w:color="auto" w:fill="auto"/>
            <w:noWrap/>
            <w:vAlign w:val="bottom"/>
          </w:tcPr>
          <w:p w14:paraId="299D7EAA"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223</w:t>
            </w:r>
          </w:p>
        </w:tc>
        <w:tc>
          <w:tcPr>
            <w:tcW w:w="444" w:type="dxa"/>
            <w:tcBorders>
              <w:bottom w:val="single" w:sz="4" w:space="0" w:color="auto"/>
            </w:tcBorders>
            <w:shd w:val="clear" w:color="auto" w:fill="auto"/>
            <w:noWrap/>
            <w:vAlign w:val="bottom"/>
          </w:tcPr>
          <w:p w14:paraId="1A1116E7"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w:t>
            </w:r>
          </w:p>
        </w:tc>
        <w:tc>
          <w:tcPr>
            <w:tcW w:w="810" w:type="dxa"/>
            <w:tcBorders>
              <w:bottom w:val="single" w:sz="4" w:space="0" w:color="auto"/>
            </w:tcBorders>
            <w:shd w:val="clear" w:color="auto" w:fill="auto"/>
            <w:noWrap/>
            <w:vAlign w:val="bottom"/>
          </w:tcPr>
          <w:p w14:paraId="1CA858E9"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0.025</w:t>
            </w:r>
          </w:p>
        </w:tc>
        <w:tc>
          <w:tcPr>
            <w:tcW w:w="900" w:type="dxa"/>
            <w:tcBorders>
              <w:bottom w:val="single" w:sz="4" w:space="0" w:color="auto"/>
            </w:tcBorders>
            <w:shd w:val="clear" w:color="auto" w:fill="auto"/>
            <w:noWrap/>
          </w:tcPr>
          <w:p w14:paraId="0167B6F1"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0.327 ±0.004</w:t>
            </w:r>
          </w:p>
        </w:tc>
        <w:tc>
          <w:tcPr>
            <w:tcW w:w="270" w:type="dxa"/>
            <w:tcBorders>
              <w:bottom w:val="single" w:sz="4" w:space="0" w:color="auto"/>
            </w:tcBorders>
            <w:shd w:val="clear" w:color="auto" w:fill="auto"/>
            <w:noWrap/>
            <w:vAlign w:val="bottom"/>
          </w:tcPr>
          <w:p w14:paraId="02E1FC4B"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4</w:t>
            </w:r>
          </w:p>
        </w:tc>
        <w:tc>
          <w:tcPr>
            <w:tcW w:w="990" w:type="dxa"/>
            <w:tcBorders>
              <w:bottom w:val="single" w:sz="4" w:space="0" w:color="auto"/>
            </w:tcBorders>
            <w:shd w:val="clear" w:color="auto" w:fill="auto"/>
            <w:noWrap/>
            <w:vAlign w:val="bottom"/>
          </w:tcPr>
          <w:p w14:paraId="32987A54"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87.7±34.7</w:t>
            </w:r>
          </w:p>
        </w:tc>
        <w:tc>
          <w:tcPr>
            <w:tcW w:w="810" w:type="dxa"/>
            <w:tcBorders>
              <w:bottom w:val="single" w:sz="4" w:space="0" w:color="auto"/>
            </w:tcBorders>
            <w:shd w:val="clear" w:color="auto" w:fill="auto"/>
            <w:noWrap/>
            <w:vAlign w:val="bottom"/>
          </w:tcPr>
          <w:p w14:paraId="1E99A685"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6.21</w:t>
            </w:r>
          </w:p>
          <w:p w14:paraId="0795F7C7"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±0.72</w:t>
            </w:r>
          </w:p>
        </w:tc>
        <w:tc>
          <w:tcPr>
            <w:tcW w:w="1170" w:type="dxa"/>
            <w:tcBorders>
              <w:bottom w:val="single" w:sz="4" w:space="0" w:color="auto"/>
            </w:tcBorders>
            <w:shd w:val="clear" w:color="auto" w:fill="auto"/>
            <w:noWrap/>
          </w:tcPr>
          <w:p w14:paraId="1F4F32A6"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4.10E-05</w:t>
            </w:r>
          </w:p>
          <w:p w14:paraId="3C56BF9E"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±1.70E-03</w:t>
            </w:r>
          </w:p>
        </w:tc>
        <w:tc>
          <w:tcPr>
            <w:tcW w:w="450" w:type="dxa"/>
            <w:tcBorders>
              <w:bottom w:val="single" w:sz="4" w:space="0" w:color="auto"/>
            </w:tcBorders>
            <w:shd w:val="clear" w:color="auto" w:fill="auto"/>
            <w:noWrap/>
            <w:vAlign w:val="bottom"/>
          </w:tcPr>
          <w:p w14:paraId="6701E028"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bottom w:val="single" w:sz="4" w:space="0" w:color="auto"/>
            </w:tcBorders>
            <w:shd w:val="clear" w:color="auto" w:fill="auto"/>
            <w:noWrap/>
            <w:vAlign w:val="bottom"/>
          </w:tcPr>
          <w:p w14:paraId="4E015943"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0.2104±0.0068</w:t>
            </w:r>
          </w:p>
        </w:tc>
        <w:tc>
          <w:tcPr>
            <w:tcW w:w="630" w:type="dxa"/>
            <w:tcBorders>
              <w:bottom w:val="single" w:sz="4" w:space="0" w:color="auto"/>
            </w:tcBorders>
            <w:shd w:val="clear" w:color="auto" w:fill="auto"/>
            <w:noWrap/>
            <w:vAlign w:val="bottom"/>
          </w:tcPr>
          <w:p w14:paraId="24CA4D69"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900" w:type="dxa"/>
            <w:tcBorders>
              <w:bottom w:val="single" w:sz="4" w:space="0" w:color="auto"/>
            </w:tcBorders>
            <w:shd w:val="clear" w:color="auto" w:fill="auto"/>
            <w:noWrap/>
            <w:vAlign w:val="bottom"/>
          </w:tcPr>
          <w:p w14:paraId="00088878"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2.79±0.59</w:t>
            </w:r>
          </w:p>
        </w:tc>
        <w:tc>
          <w:tcPr>
            <w:tcW w:w="1080" w:type="dxa"/>
            <w:tcBorders>
              <w:bottom w:val="single" w:sz="4" w:space="0" w:color="auto"/>
            </w:tcBorders>
            <w:shd w:val="clear" w:color="auto" w:fill="auto"/>
            <w:noWrap/>
          </w:tcPr>
          <w:p w14:paraId="62681678"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-3.73E-04</w:t>
            </w:r>
          </w:p>
          <w:p w14:paraId="4E32E03F"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±1.40E-03</w:t>
            </w:r>
          </w:p>
        </w:tc>
        <w:tc>
          <w:tcPr>
            <w:tcW w:w="360" w:type="dxa"/>
            <w:tcBorders>
              <w:bottom w:val="single" w:sz="4" w:space="0" w:color="auto"/>
            </w:tcBorders>
            <w:shd w:val="clear" w:color="auto" w:fill="auto"/>
            <w:noWrap/>
            <w:vAlign w:val="bottom"/>
          </w:tcPr>
          <w:p w14:paraId="10D1B286"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bottom w:val="single" w:sz="4" w:space="0" w:color="auto"/>
            </w:tcBorders>
            <w:shd w:val="clear" w:color="auto" w:fill="auto"/>
            <w:noWrap/>
            <w:vAlign w:val="bottom"/>
          </w:tcPr>
          <w:p w14:paraId="57BA65CB"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0.309</w:t>
            </w:r>
          </w:p>
          <w:p w14:paraId="24DFEF8B"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±0.005</w:t>
            </w:r>
          </w:p>
        </w:tc>
        <w:tc>
          <w:tcPr>
            <w:tcW w:w="810" w:type="dxa"/>
            <w:tcBorders>
              <w:bottom w:val="single" w:sz="4" w:space="0" w:color="auto"/>
            </w:tcBorders>
            <w:shd w:val="clear" w:color="auto" w:fill="auto"/>
            <w:noWrap/>
            <w:vAlign w:val="bottom"/>
          </w:tcPr>
          <w:p w14:paraId="3DF57652"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r>
      <w:tr w:rsidR="008802C8" w:rsidRPr="00B65D87" w14:paraId="2F489812" w14:textId="77777777">
        <w:trPr>
          <w:trHeight w:val="260"/>
        </w:trPr>
        <w:tc>
          <w:tcPr>
            <w:tcW w:w="2806" w:type="dxa"/>
            <w:gridSpan w:val="6"/>
            <w:tcBorders>
              <w:top w:val="single" w:sz="4" w:space="0" w:color="auto"/>
              <w:bottom w:val="single" w:sz="4" w:space="0" w:color="auto"/>
              <w:right w:val="nil"/>
            </w:tcBorders>
            <w:shd w:val="clear" w:color="auto" w:fill="auto"/>
            <w:noWrap/>
            <w:vAlign w:val="bottom"/>
          </w:tcPr>
          <w:p w14:paraId="16CEC979"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Reprogramming samples only</w:t>
            </w:r>
          </w:p>
        </w:tc>
        <w:tc>
          <w:tcPr>
            <w:tcW w:w="900" w:type="dxa"/>
            <w:tcBorders>
              <w:top w:val="single" w:sz="4" w:space="0" w:color="auto"/>
              <w:left w:val="nil"/>
              <w:bottom w:val="single" w:sz="4" w:space="0" w:color="auto"/>
              <w:right w:val="nil"/>
            </w:tcBorders>
            <w:shd w:val="clear" w:color="auto" w:fill="auto"/>
            <w:noWrap/>
            <w:vAlign w:val="bottom"/>
          </w:tcPr>
          <w:p w14:paraId="1613E47A" w14:textId="77777777" w:rsidR="008802C8" w:rsidRPr="00B65D87" w:rsidRDefault="008802C8" w:rsidP="001729C6">
            <w:pPr>
              <w:rPr>
                <w:rFonts w:ascii="Times New Roman" w:hAnsi="Times New Roman" w:cs="Times New Roman"/>
                <w:sz w:val="16"/>
                <w:szCs w:val="20"/>
              </w:rPr>
            </w:pPr>
          </w:p>
        </w:tc>
        <w:tc>
          <w:tcPr>
            <w:tcW w:w="270" w:type="dxa"/>
            <w:tcBorders>
              <w:top w:val="single" w:sz="4" w:space="0" w:color="auto"/>
              <w:left w:val="nil"/>
              <w:bottom w:val="single" w:sz="4" w:space="0" w:color="auto"/>
              <w:right w:val="nil"/>
            </w:tcBorders>
            <w:shd w:val="clear" w:color="auto" w:fill="auto"/>
            <w:noWrap/>
            <w:vAlign w:val="bottom"/>
          </w:tcPr>
          <w:p w14:paraId="1430D4AB" w14:textId="77777777" w:rsidR="008802C8" w:rsidRPr="00B65D87" w:rsidRDefault="008802C8" w:rsidP="001729C6">
            <w:pPr>
              <w:rPr>
                <w:rFonts w:ascii="Times New Roman" w:hAnsi="Times New Roman" w:cs="Times New Roman"/>
                <w:sz w:val="16"/>
                <w:szCs w:val="20"/>
              </w:rPr>
            </w:pPr>
          </w:p>
        </w:tc>
        <w:tc>
          <w:tcPr>
            <w:tcW w:w="990" w:type="dxa"/>
            <w:tcBorders>
              <w:top w:val="single" w:sz="4" w:space="0" w:color="auto"/>
              <w:left w:val="nil"/>
              <w:bottom w:val="single" w:sz="4" w:space="0" w:color="auto"/>
              <w:right w:val="nil"/>
            </w:tcBorders>
            <w:shd w:val="clear" w:color="auto" w:fill="auto"/>
            <w:noWrap/>
            <w:vAlign w:val="bottom"/>
          </w:tcPr>
          <w:p w14:paraId="305B6E60" w14:textId="77777777" w:rsidR="008802C8" w:rsidRPr="00B65D87" w:rsidRDefault="008802C8">
            <w:pPr>
              <w:rPr>
                <w:rFonts w:ascii="Times New Roman" w:hAnsi="Times New Roman" w:cs="Times New Roman"/>
                <w:sz w:val="16"/>
                <w:szCs w:val="16"/>
              </w:rPr>
            </w:pPr>
          </w:p>
        </w:tc>
        <w:tc>
          <w:tcPr>
            <w:tcW w:w="810" w:type="dxa"/>
            <w:tcBorders>
              <w:top w:val="single" w:sz="4" w:space="0" w:color="auto"/>
              <w:left w:val="nil"/>
              <w:bottom w:val="single" w:sz="4" w:space="0" w:color="auto"/>
              <w:right w:val="nil"/>
            </w:tcBorders>
            <w:shd w:val="clear" w:color="auto" w:fill="auto"/>
            <w:noWrap/>
            <w:vAlign w:val="bottom"/>
          </w:tcPr>
          <w:p w14:paraId="3EA632F0" w14:textId="77777777" w:rsidR="008802C8" w:rsidRPr="00B65D87" w:rsidRDefault="008802C8">
            <w:pPr>
              <w:rPr>
                <w:rFonts w:ascii="Times New Roman" w:hAnsi="Times New Roman" w:cs="Times New Roman"/>
                <w:sz w:val="16"/>
                <w:szCs w:val="16"/>
              </w:rPr>
            </w:pPr>
          </w:p>
        </w:tc>
        <w:tc>
          <w:tcPr>
            <w:tcW w:w="1170" w:type="dxa"/>
            <w:tcBorders>
              <w:top w:val="single" w:sz="4" w:space="0" w:color="auto"/>
              <w:left w:val="nil"/>
              <w:bottom w:val="single" w:sz="4" w:space="0" w:color="auto"/>
              <w:right w:val="nil"/>
            </w:tcBorders>
            <w:shd w:val="clear" w:color="auto" w:fill="auto"/>
            <w:noWrap/>
            <w:vAlign w:val="bottom"/>
          </w:tcPr>
          <w:p w14:paraId="08FD07C5" w14:textId="77777777" w:rsidR="008802C8" w:rsidRPr="00B65D87" w:rsidRDefault="008802C8">
            <w:pPr>
              <w:rPr>
                <w:rFonts w:ascii="Times New Roman" w:hAnsi="Times New Roman" w:cs="Times New Roman"/>
                <w:sz w:val="16"/>
                <w:szCs w:val="16"/>
              </w:rPr>
            </w:pPr>
          </w:p>
        </w:tc>
        <w:tc>
          <w:tcPr>
            <w:tcW w:w="450" w:type="dxa"/>
            <w:tcBorders>
              <w:top w:val="single" w:sz="4" w:space="0" w:color="auto"/>
              <w:left w:val="nil"/>
              <w:bottom w:val="single" w:sz="4" w:space="0" w:color="auto"/>
              <w:right w:val="nil"/>
            </w:tcBorders>
            <w:shd w:val="clear" w:color="auto" w:fill="auto"/>
            <w:noWrap/>
            <w:vAlign w:val="bottom"/>
          </w:tcPr>
          <w:p w14:paraId="6E1FB73A" w14:textId="77777777" w:rsidR="008802C8" w:rsidRPr="00B65D87" w:rsidRDefault="008802C8">
            <w:pPr>
              <w:rPr>
                <w:rFonts w:ascii="Times New Roman" w:hAnsi="Times New Roman" w:cs="Times New Roman"/>
                <w:sz w:val="16"/>
                <w:szCs w:val="16"/>
              </w:rPr>
            </w:pPr>
          </w:p>
        </w:tc>
        <w:tc>
          <w:tcPr>
            <w:tcW w:w="810" w:type="dxa"/>
            <w:tcBorders>
              <w:top w:val="single" w:sz="4" w:space="0" w:color="auto"/>
              <w:left w:val="nil"/>
              <w:bottom w:val="single" w:sz="4" w:space="0" w:color="auto"/>
              <w:right w:val="nil"/>
            </w:tcBorders>
            <w:shd w:val="clear" w:color="auto" w:fill="auto"/>
            <w:noWrap/>
            <w:vAlign w:val="bottom"/>
          </w:tcPr>
          <w:p w14:paraId="51C521C8" w14:textId="77777777" w:rsidR="008802C8" w:rsidRPr="00B65D87" w:rsidRDefault="008802C8">
            <w:pPr>
              <w:rPr>
                <w:rFonts w:ascii="Times New Roman" w:hAnsi="Times New Roman" w:cs="Times New Roman"/>
                <w:sz w:val="16"/>
                <w:szCs w:val="16"/>
              </w:rPr>
            </w:pPr>
          </w:p>
        </w:tc>
        <w:tc>
          <w:tcPr>
            <w:tcW w:w="630" w:type="dxa"/>
            <w:tcBorders>
              <w:top w:val="single" w:sz="4" w:space="0" w:color="auto"/>
              <w:left w:val="nil"/>
              <w:bottom w:val="single" w:sz="4" w:space="0" w:color="auto"/>
              <w:right w:val="nil"/>
            </w:tcBorders>
            <w:shd w:val="clear" w:color="auto" w:fill="auto"/>
            <w:noWrap/>
          </w:tcPr>
          <w:p w14:paraId="12ADDD49" w14:textId="77777777" w:rsidR="008802C8" w:rsidRPr="00B65D87" w:rsidRDefault="008802C8">
            <w:pPr>
              <w:rPr>
                <w:rFonts w:ascii="Times New Roman" w:hAnsi="Times New Roman" w:cs="Times New Roman"/>
              </w:rPr>
            </w:pPr>
          </w:p>
        </w:tc>
        <w:tc>
          <w:tcPr>
            <w:tcW w:w="900" w:type="dxa"/>
            <w:tcBorders>
              <w:top w:val="single" w:sz="4" w:space="0" w:color="auto"/>
              <w:left w:val="nil"/>
              <w:bottom w:val="single" w:sz="4" w:space="0" w:color="auto"/>
              <w:right w:val="nil"/>
            </w:tcBorders>
            <w:shd w:val="clear" w:color="auto" w:fill="auto"/>
            <w:noWrap/>
            <w:vAlign w:val="bottom"/>
          </w:tcPr>
          <w:p w14:paraId="330EF504" w14:textId="77777777" w:rsidR="008802C8" w:rsidRPr="00B65D87" w:rsidRDefault="008802C8" w:rsidP="001729C6">
            <w:pPr>
              <w:rPr>
                <w:rFonts w:ascii="Times New Roman" w:hAnsi="Times New Roman" w:cs="Times New Roman"/>
                <w:sz w:val="16"/>
                <w:szCs w:val="20"/>
              </w:rPr>
            </w:pPr>
          </w:p>
        </w:tc>
        <w:tc>
          <w:tcPr>
            <w:tcW w:w="1080" w:type="dxa"/>
            <w:tcBorders>
              <w:top w:val="single" w:sz="4" w:space="0" w:color="auto"/>
              <w:left w:val="nil"/>
              <w:bottom w:val="single" w:sz="4" w:space="0" w:color="auto"/>
              <w:right w:val="nil"/>
            </w:tcBorders>
            <w:shd w:val="clear" w:color="auto" w:fill="auto"/>
            <w:noWrap/>
            <w:vAlign w:val="bottom"/>
          </w:tcPr>
          <w:p w14:paraId="5FDA5678" w14:textId="77777777" w:rsidR="008802C8" w:rsidRPr="00B65D87" w:rsidRDefault="008802C8">
            <w:pPr>
              <w:rPr>
                <w:rFonts w:ascii="Times New Roman" w:hAnsi="Times New Roman" w:cs="Times New Roman"/>
                <w:sz w:val="16"/>
                <w:szCs w:val="16"/>
              </w:rPr>
            </w:pPr>
          </w:p>
        </w:tc>
        <w:tc>
          <w:tcPr>
            <w:tcW w:w="360" w:type="dxa"/>
            <w:tcBorders>
              <w:top w:val="single" w:sz="4" w:space="0" w:color="auto"/>
              <w:left w:val="nil"/>
              <w:bottom w:val="single" w:sz="4" w:space="0" w:color="auto"/>
              <w:right w:val="nil"/>
            </w:tcBorders>
            <w:shd w:val="clear" w:color="auto" w:fill="auto"/>
            <w:noWrap/>
            <w:vAlign w:val="bottom"/>
          </w:tcPr>
          <w:p w14:paraId="56342663" w14:textId="77777777" w:rsidR="008802C8" w:rsidRPr="00B65D87" w:rsidRDefault="008802C8" w:rsidP="001729C6">
            <w:pPr>
              <w:rPr>
                <w:rFonts w:ascii="Times New Roman" w:hAnsi="Times New Roman" w:cs="Times New Roman"/>
                <w:sz w:val="16"/>
                <w:szCs w:val="20"/>
              </w:rPr>
            </w:pPr>
          </w:p>
        </w:tc>
        <w:tc>
          <w:tcPr>
            <w:tcW w:w="810" w:type="dxa"/>
            <w:tcBorders>
              <w:top w:val="single" w:sz="4" w:space="0" w:color="auto"/>
              <w:left w:val="nil"/>
              <w:bottom w:val="single" w:sz="4" w:space="0" w:color="auto"/>
              <w:right w:val="nil"/>
            </w:tcBorders>
            <w:shd w:val="clear" w:color="auto" w:fill="auto"/>
            <w:noWrap/>
            <w:vAlign w:val="bottom"/>
          </w:tcPr>
          <w:p w14:paraId="29B19A47" w14:textId="77777777" w:rsidR="008802C8" w:rsidRPr="00B65D87" w:rsidRDefault="008802C8">
            <w:pPr>
              <w:rPr>
                <w:rFonts w:ascii="Times New Roman" w:hAnsi="Times New Roman" w:cs="Times New Roman"/>
                <w:sz w:val="16"/>
                <w:szCs w:val="16"/>
              </w:rPr>
            </w:pPr>
          </w:p>
        </w:tc>
        <w:tc>
          <w:tcPr>
            <w:tcW w:w="810" w:type="dxa"/>
            <w:tcBorders>
              <w:top w:val="single" w:sz="4" w:space="0" w:color="auto"/>
              <w:left w:val="nil"/>
              <w:bottom w:val="single" w:sz="4" w:space="0" w:color="auto"/>
            </w:tcBorders>
            <w:shd w:val="clear" w:color="auto" w:fill="auto"/>
            <w:noWrap/>
          </w:tcPr>
          <w:p w14:paraId="1D78685E" w14:textId="77777777" w:rsidR="008802C8" w:rsidRPr="00B65D87" w:rsidRDefault="008802C8">
            <w:pPr>
              <w:rPr>
                <w:rFonts w:ascii="Times New Roman" w:hAnsi="Times New Roman" w:cs="Times New Roman"/>
              </w:rPr>
            </w:pPr>
          </w:p>
        </w:tc>
      </w:tr>
      <w:tr w:rsidR="008802C8" w:rsidRPr="00B65D87" w14:paraId="26DD911C" w14:textId="77777777">
        <w:trPr>
          <w:trHeight w:val="260"/>
        </w:trPr>
        <w:tc>
          <w:tcPr>
            <w:tcW w:w="1006" w:type="dxa"/>
            <w:tcBorders>
              <w:top w:val="single" w:sz="4" w:space="0" w:color="auto"/>
            </w:tcBorders>
            <w:shd w:val="clear" w:color="auto" w:fill="auto"/>
            <w:noWrap/>
            <w:vAlign w:val="bottom"/>
          </w:tcPr>
          <w:p w14:paraId="0EFEADAE"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KR</w:t>
            </w:r>
          </w:p>
        </w:tc>
        <w:tc>
          <w:tcPr>
            <w:tcW w:w="540" w:type="dxa"/>
            <w:gridSpan w:val="2"/>
            <w:tcBorders>
              <w:top w:val="single" w:sz="4" w:space="0" w:color="auto"/>
            </w:tcBorders>
            <w:shd w:val="clear" w:color="auto" w:fill="auto"/>
            <w:noWrap/>
            <w:vAlign w:val="bottom"/>
          </w:tcPr>
          <w:p w14:paraId="5B599618"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120</w:t>
            </w:r>
          </w:p>
        </w:tc>
        <w:tc>
          <w:tcPr>
            <w:tcW w:w="450" w:type="dxa"/>
            <w:gridSpan w:val="2"/>
            <w:tcBorders>
              <w:top w:val="single" w:sz="4" w:space="0" w:color="auto"/>
            </w:tcBorders>
            <w:shd w:val="clear" w:color="auto" w:fill="auto"/>
            <w:noWrap/>
            <w:vAlign w:val="bottom"/>
          </w:tcPr>
          <w:p w14:paraId="16E0052A"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w:t>
            </w:r>
          </w:p>
        </w:tc>
        <w:tc>
          <w:tcPr>
            <w:tcW w:w="810" w:type="dxa"/>
            <w:tcBorders>
              <w:top w:val="single" w:sz="4" w:space="0" w:color="auto"/>
            </w:tcBorders>
            <w:shd w:val="clear" w:color="auto" w:fill="auto"/>
            <w:noWrap/>
            <w:vAlign w:val="bottom"/>
          </w:tcPr>
          <w:p w14:paraId="2B32EC0F"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0.036</w:t>
            </w:r>
          </w:p>
        </w:tc>
        <w:tc>
          <w:tcPr>
            <w:tcW w:w="900" w:type="dxa"/>
            <w:tcBorders>
              <w:top w:val="single" w:sz="4" w:space="0" w:color="auto"/>
            </w:tcBorders>
            <w:shd w:val="clear" w:color="auto" w:fill="auto"/>
            <w:noWrap/>
          </w:tcPr>
          <w:p w14:paraId="5B96C015"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0.401 ±0.005</w:t>
            </w:r>
          </w:p>
        </w:tc>
        <w:tc>
          <w:tcPr>
            <w:tcW w:w="270" w:type="dxa"/>
            <w:tcBorders>
              <w:top w:val="single" w:sz="4" w:space="0" w:color="auto"/>
            </w:tcBorders>
            <w:shd w:val="clear" w:color="auto" w:fill="auto"/>
            <w:noWrap/>
            <w:vAlign w:val="bottom"/>
          </w:tcPr>
          <w:p w14:paraId="4153CE27"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3</w:t>
            </w:r>
          </w:p>
        </w:tc>
        <w:tc>
          <w:tcPr>
            <w:tcW w:w="990" w:type="dxa"/>
            <w:tcBorders>
              <w:top w:val="single" w:sz="4" w:space="0" w:color="auto"/>
            </w:tcBorders>
            <w:shd w:val="clear" w:color="auto" w:fill="auto"/>
            <w:noWrap/>
            <w:vAlign w:val="bottom"/>
          </w:tcPr>
          <w:p w14:paraId="471896EB"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77.5±9.4</w:t>
            </w:r>
          </w:p>
        </w:tc>
        <w:tc>
          <w:tcPr>
            <w:tcW w:w="810" w:type="dxa"/>
            <w:tcBorders>
              <w:top w:val="single" w:sz="4" w:space="0" w:color="auto"/>
            </w:tcBorders>
            <w:shd w:val="clear" w:color="auto" w:fill="auto"/>
            <w:noWrap/>
            <w:vAlign w:val="bottom"/>
          </w:tcPr>
          <w:p w14:paraId="15628CAA"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4.87</w:t>
            </w:r>
          </w:p>
          <w:p w14:paraId="00BB20B1"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±0.62</w:t>
            </w:r>
          </w:p>
        </w:tc>
        <w:tc>
          <w:tcPr>
            <w:tcW w:w="1170" w:type="dxa"/>
            <w:tcBorders>
              <w:top w:val="single" w:sz="4" w:space="0" w:color="auto"/>
            </w:tcBorders>
            <w:shd w:val="clear" w:color="auto" w:fill="auto"/>
            <w:noWrap/>
          </w:tcPr>
          <w:p w14:paraId="25E1CBFE"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2.73E-04</w:t>
            </w:r>
          </w:p>
          <w:p w14:paraId="625B90C3"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±4.60E-03</w:t>
            </w:r>
          </w:p>
        </w:tc>
        <w:tc>
          <w:tcPr>
            <w:tcW w:w="450" w:type="dxa"/>
            <w:tcBorders>
              <w:top w:val="single" w:sz="4" w:space="0" w:color="auto"/>
            </w:tcBorders>
            <w:shd w:val="clear" w:color="auto" w:fill="auto"/>
            <w:noWrap/>
            <w:vAlign w:val="bottom"/>
          </w:tcPr>
          <w:p w14:paraId="6DCD64BD"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top w:val="single" w:sz="4" w:space="0" w:color="auto"/>
            </w:tcBorders>
            <w:shd w:val="clear" w:color="auto" w:fill="auto"/>
            <w:noWrap/>
            <w:vAlign w:val="bottom"/>
          </w:tcPr>
          <w:p w14:paraId="7B9E8B5C"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0.2838±0.0108</w:t>
            </w:r>
          </w:p>
        </w:tc>
        <w:tc>
          <w:tcPr>
            <w:tcW w:w="630" w:type="dxa"/>
            <w:tcBorders>
              <w:top w:val="single" w:sz="4" w:space="0" w:color="auto"/>
            </w:tcBorders>
            <w:shd w:val="clear" w:color="auto" w:fill="auto"/>
            <w:noWrap/>
            <w:vAlign w:val="bottom"/>
          </w:tcPr>
          <w:p w14:paraId="0C554D6C"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900" w:type="dxa"/>
            <w:tcBorders>
              <w:top w:val="single" w:sz="4" w:space="0" w:color="auto"/>
            </w:tcBorders>
            <w:shd w:val="clear" w:color="auto" w:fill="auto"/>
            <w:noWrap/>
            <w:vAlign w:val="bottom"/>
          </w:tcPr>
          <w:p w14:paraId="3F87EB98"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4.06±0.53</w:t>
            </w:r>
          </w:p>
        </w:tc>
        <w:tc>
          <w:tcPr>
            <w:tcW w:w="1080" w:type="dxa"/>
            <w:tcBorders>
              <w:top w:val="single" w:sz="4" w:space="0" w:color="auto"/>
            </w:tcBorders>
            <w:shd w:val="clear" w:color="auto" w:fill="auto"/>
            <w:noWrap/>
          </w:tcPr>
          <w:p w14:paraId="5C660B5F"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-1.50E-03</w:t>
            </w:r>
          </w:p>
          <w:p w14:paraId="51CF1D98"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±3.60E-03</w:t>
            </w:r>
          </w:p>
        </w:tc>
        <w:tc>
          <w:tcPr>
            <w:tcW w:w="360" w:type="dxa"/>
            <w:tcBorders>
              <w:top w:val="single" w:sz="4" w:space="0" w:color="auto"/>
            </w:tcBorders>
            <w:shd w:val="clear" w:color="auto" w:fill="auto"/>
            <w:noWrap/>
            <w:vAlign w:val="bottom"/>
          </w:tcPr>
          <w:p w14:paraId="11AF2125"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top w:val="single" w:sz="4" w:space="0" w:color="auto"/>
            </w:tcBorders>
            <w:shd w:val="clear" w:color="auto" w:fill="auto"/>
            <w:noWrap/>
            <w:vAlign w:val="bottom"/>
          </w:tcPr>
          <w:p w14:paraId="06974284"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0.327</w:t>
            </w:r>
          </w:p>
          <w:p w14:paraId="73DF6CA9"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±0.008</w:t>
            </w:r>
          </w:p>
        </w:tc>
        <w:tc>
          <w:tcPr>
            <w:tcW w:w="810" w:type="dxa"/>
            <w:tcBorders>
              <w:top w:val="single" w:sz="4" w:space="0" w:color="auto"/>
            </w:tcBorders>
            <w:shd w:val="clear" w:color="auto" w:fill="auto"/>
            <w:noWrap/>
            <w:vAlign w:val="bottom"/>
          </w:tcPr>
          <w:p w14:paraId="5D587DC3"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r>
      <w:tr w:rsidR="008802C8" w:rsidRPr="00B65D87" w14:paraId="59337472" w14:textId="77777777">
        <w:trPr>
          <w:trHeight w:val="260"/>
        </w:trPr>
        <w:tc>
          <w:tcPr>
            <w:tcW w:w="1006" w:type="dxa"/>
            <w:shd w:val="clear" w:color="auto" w:fill="auto"/>
            <w:noWrap/>
            <w:vAlign w:val="bottom"/>
          </w:tcPr>
          <w:p w14:paraId="1D14AEE6"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 xml:space="preserve">FDR1 </w:t>
            </w:r>
          </w:p>
        </w:tc>
        <w:tc>
          <w:tcPr>
            <w:tcW w:w="540" w:type="dxa"/>
            <w:gridSpan w:val="2"/>
            <w:shd w:val="clear" w:color="auto" w:fill="auto"/>
            <w:noWrap/>
            <w:vAlign w:val="bottom"/>
          </w:tcPr>
          <w:p w14:paraId="3D866B39"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221</w:t>
            </w:r>
          </w:p>
        </w:tc>
        <w:tc>
          <w:tcPr>
            <w:tcW w:w="450" w:type="dxa"/>
            <w:gridSpan w:val="2"/>
            <w:shd w:val="clear" w:color="auto" w:fill="auto"/>
            <w:noWrap/>
            <w:vAlign w:val="bottom"/>
          </w:tcPr>
          <w:p w14:paraId="68CC2FFD"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w:t>
            </w:r>
          </w:p>
        </w:tc>
        <w:tc>
          <w:tcPr>
            <w:tcW w:w="810" w:type="dxa"/>
            <w:shd w:val="clear" w:color="auto" w:fill="auto"/>
            <w:noWrap/>
            <w:vAlign w:val="bottom"/>
          </w:tcPr>
          <w:p w14:paraId="7C59E548"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0.043</w:t>
            </w:r>
          </w:p>
        </w:tc>
        <w:tc>
          <w:tcPr>
            <w:tcW w:w="900" w:type="dxa"/>
            <w:shd w:val="clear" w:color="auto" w:fill="auto"/>
            <w:noWrap/>
          </w:tcPr>
          <w:p w14:paraId="1FBDFC56"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 xml:space="preserve">0.402 </w:t>
            </w:r>
          </w:p>
          <w:p w14:paraId="56862869"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±3.18E-06</w:t>
            </w:r>
          </w:p>
        </w:tc>
        <w:tc>
          <w:tcPr>
            <w:tcW w:w="270" w:type="dxa"/>
            <w:shd w:val="clear" w:color="auto" w:fill="auto"/>
            <w:noWrap/>
            <w:vAlign w:val="bottom"/>
          </w:tcPr>
          <w:p w14:paraId="73C934AF"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3</w:t>
            </w:r>
          </w:p>
        </w:tc>
        <w:tc>
          <w:tcPr>
            <w:tcW w:w="990" w:type="dxa"/>
            <w:shd w:val="clear" w:color="auto" w:fill="auto"/>
            <w:noWrap/>
            <w:vAlign w:val="bottom"/>
          </w:tcPr>
          <w:p w14:paraId="08F71709"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116.2±2.1</w:t>
            </w:r>
          </w:p>
        </w:tc>
        <w:tc>
          <w:tcPr>
            <w:tcW w:w="810" w:type="dxa"/>
            <w:shd w:val="clear" w:color="auto" w:fill="auto"/>
            <w:noWrap/>
            <w:vAlign w:val="bottom"/>
          </w:tcPr>
          <w:p w14:paraId="0A3B78AF"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5.40</w:t>
            </w:r>
          </w:p>
          <w:p w14:paraId="26917ED5"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±0.61</w:t>
            </w:r>
          </w:p>
        </w:tc>
        <w:tc>
          <w:tcPr>
            <w:tcW w:w="1170" w:type="dxa"/>
            <w:shd w:val="clear" w:color="auto" w:fill="auto"/>
            <w:noWrap/>
          </w:tcPr>
          <w:p w14:paraId="36BB8021"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6.19E-05</w:t>
            </w:r>
          </w:p>
          <w:p w14:paraId="522F4828"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±2.50E-03</w:t>
            </w:r>
          </w:p>
        </w:tc>
        <w:tc>
          <w:tcPr>
            <w:tcW w:w="450" w:type="dxa"/>
            <w:shd w:val="clear" w:color="auto" w:fill="auto"/>
            <w:noWrap/>
            <w:vAlign w:val="bottom"/>
          </w:tcPr>
          <w:p w14:paraId="7AEFFC05"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shd w:val="clear" w:color="auto" w:fill="auto"/>
            <w:noWrap/>
            <w:vAlign w:val="bottom"/>
          </w:tcPr>
          <w:p w14:paraId="63A455AF"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0.2726±0.0078</w:t>
            </w:r>
          </w:p>
        </w:tc>
        <w:tc>
          <w:tcPr>
            <w:tcW w:w="630" w:type="dxa"/>
            <w:shd w:val="clear" w:color="auto" w:fill="auto"/>
            <w:noWrap/>
            <w:vAlign w:val="bottom"/>
          </w:tcPr>
          <w:p w14:paraId="3277FCCE"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900" w:type="dxa"/>
            <w:shd w:val="clear" w:color="auto" w:fill="auto"/>
            <w:noWrap/>
            <w:vAlign w:val="bottom"/>
          </w:tcPr>
          <w:p w14:paraId="402A49B2"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4.81±0.62</w:t>
            </w:r>
          </w:p>
        </w:tc>
        <w:tc>
          <w:tcPr>
            <w:tcW w:w="1080" w:type="dxa"/>
            <w:shd w:val="clear" w:color="auto" w:fill="auto"/>
            <w:noWrap/>
          </w:tcPr>
          <w:p w14:paraId="315A09DB"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-8.14E-04</w:t>
            </w:r>
          </w:p>
          <w:p w14:paraId="6638E861"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±2.10E-03</w:t>
            </w:r>
          </w:p>
        </w:tc>
        <w:tc>
          <w:tcPr>
            <w:tcW w:w="360" w:type="dxa"/>
            <w:shd w:val="clear" w:color="auto" w:fill="auto"/>
            <w:noWrap/>
            <w:vAlign w:val="bottom"/>
          </w:tcPr>
          <w:p w14:paraId="3037B891"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shd w:val="clear" w:color="auto" w:fill="auto"/>
            <w:noWrap/>
            <w:vAlign w:val="bottom"/>
          </w:tcPr>
          <w:p w14:paraId="64B058A8"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0.281</w:t>
            </w:r>
          </w:p>
          <w:p w14:paraId="5C4617E5"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±0.008</w:t>
            </w:r>
          </w:p>
        </w:tc>
        <w:tc>
          <w:tcPr>
            <w:tcW w:w="810" w:type="dxa"/>
            <w:shd w:val="clear" w:color="auto" w:fill="auto"/>
            <w:noWrap/>
            <w:vAlign w:val="bottom"/>
          </w:tcPr>
          <w:p w14:paraId="080F977E"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r>
      <w:tr w:rsidR="008802C8" w:rsidRPr="00B65D87" w14:paraId="7D35C4E8" w14:textId="77777777" w:rsidTr="00A308A5">
        <w:trPr>
          <w:trHeight w:val="260"/>
        </w:trPr>
        <w:tc>
          <w:tcPr>
            <w:tcW w:w="1006" w:type="dxa"/>
            <w:tcBorders>
              <w:bottom w:val="single" w:sz="4" w:space="0" w:color="auto"/>
            </w:tcBorders>
            <w:shd w:val="clear" w:color="auto" w:fill="auto"/>
            <w:noWrap/>
            <w:vAlign w:val="bottom"/>
          </w:tcPr>
          <w:p w14:paraId="260711AE"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FDR5</w:t>
            </w:r>
          </w:p>
        </w:tc>
        <w:tc>
          <w:tcPr>
            <w:tcW w:w="540" w:type="dxa"/>
            <w:gridSpan w:val="2"/>
            <w:tcBorders>
              <w:bottom w:val="single" w:sz="4" w:space="0" w:color="auto"/>
            </w:tcBorders>
            <w:shd w:val="clear" w:color="auto" w:fill="auto"/>
            <w:noWrap/>
            <w:vAlign w:val="bottom"/>
          </w:tcPr>
          <w:p w14:paraId="783E18FF"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325</w:t>
            </w:r>
          </w:p>
        </w:tc>
        <w:tc>
          <w:tcPr>
            <w:tcW w:w="450" w:type="dxa"/>
            <w:gridSpan w:val="2"/>
            <w:tcBorders>
              <w:bottom w:val="single" w:sz="4" w:space="0" w:color="auto"/>
            </w:tcBorders>
            <w:shd w:val="clear" w:color="auto" w:fill="auto"/>
            <w:noWrap/>
            <w:vAlign w:val="bottom"/>
          </w:tcPr>
          <w:p w14:paraId="0151F836"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w:t>
            </w:r>
          </w:p>
        </w:tc>
        <w:tc>
          <w:tcPr>
            <w:tcW w:w="810" w:type="dxa"/>
            <w:tcBorders>
              <w:bottom w:val="single" w:sz="4" w:space="0" w:color="auto"/>
            </w:tcBorders>
            <w:shd w:val="clear" w:color="auto" w:fill="auto"/>
            <w:noWrap/>
            <w:vAlign w:val="bottom"/>
          </w:tcPr>
          <w:p w14:paraId="40ABCF9D"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0.027</w:t>
            </w:r>
          </w:p>
        </w:tc>
        <w:tc>
          <w:tcPr>
            <w:tcW w:w="900" w:type="dxa"/>
            <w:tcBorders>
              <w:bottom w:val="single" w:sz="4" w:space="0" w:color="auto"/>
            </w:tcBorders>
            <w:shd w:val="clear" w:color="auto" w:fill="auto"/>
            <w:noWrap/>
          </w:tcPr>
          <w:p w14:paraId="1A488305"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0.387</w:t>
            </w:r>
          </w:p>
          <w:p w14:paraId="6AD7129B"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±0.002</w:t>
            </w:r>
          </w:p>
        </w:tc>
        <w:tc>
          <w:tcPr>
            <w:tcW w:w="270" w:type="dxa"/>
            <w:tcBorders>
              <w:bottom w:val="single" w:sz="4" w:space="0" w:color="auto"/>
            </w:tcBorders>
            <w:shd w:val="clear" w:color="auto" w:fill="auto"/>
            <w:noWrap/>
            <w:vAlign w:val="bottom"/>
          </w:tcPr>
          <w:p w14:paraId="57F1C290"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3</w:t>
            </w:r>
          </w:p>
        </w:tc>
        <w:tc>
          <w:tcPr>
            <w:tcW w:w="990" w:type="dxa"/>
            <w:tcBorders>
              <w:bottom w:val="single" w:sz="4" w:space="0" w:color="auto"/>
            </w:tcBorders>
            <w:shd w:val="clear" w:color="auto" w:fill="auto"/>
            <w:noWrap/>
            <w:vAlign w:val="bottom"/>
          </w:tcPr>
          <w:p w14:paraId="70C1EAB2"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216.7±9.8</w:t>
            </w:r>
          </w:p>
        </w:tc>
        <w:tc>
          <w:tcPr>
            <w:tcW w:w="810" w:type="dxa"/>
            <w:tcBorders>
              <w:bottom w:val="single" w:sz="4" w:space="0" w:color="auto"/>
            </w:tcBorders>
            <w:shd w:val="clear" w:color="auto" w:fill="auto"/>
            <w:noWrap/>
            <w:vAlign w:val="bottom"/>
          </w:tcPr>
          <w:p w14:paraId="5A55AD71"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5.49</w:t>
            </w:r>
          </w:p>
          <w:p w14:paraId="23EBAEC8"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±0.59</w:t>
            </w:r>
          </w:p>
        </w:tc>
        <w:tc>
          <w:tcPr>
            <w:tcW w:w="1170" w:type="dxa"/>
            <w:tcBorders>
              <w:bottom w:val="single" w:sz="4" w:space="0" w:color="auto"/>
            </w:tcBorders>
            <w:shd w:val="clear" w:color="auto" w:fill="auto"/>
            <w:noWrap/>
          </w:tcPr>
          <w:p w14:paraId="239CE342"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3.34E-05</w:t>
            </w:r>
          </w:p>
          <w:p w14:paraId="54C72215"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±1.70E-03</w:t>
            </w:r>
          </w:p>
        </w:tc>
        <w:tc>
          <w:tcPr>
            <w:tcW w:w="450" w:type="dxa"/>
            <w:tcBorders>
              <w:bottom w:val="single" w:sz="4" w:space="0" w:color="auto"/>
            </w:tcBorders>
            <w:shd w:val="clear" w:color="auto" w:fill="auto"/>
            <w:noWrap/>
            <w:vAlign w:val="bottom"/>
          </w:tcPr>
          <w:p w14:paraId="767367ED"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bottom w:val="single" w:sz="4" w:space="0" w:color="auto"/>
            </w:tcBorders>
            <w:shd w:val="clear" w:color="auto" w:fill="auto"/>
            <w:noWrap/>
            <w:vAlign w:val="bottom"/>
          </w:tcPr>
          <w:p w14:paraId="4466E94E"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0.2615±0.0065</w:t>
            </w:r>
          </w:p>
        </w:tc>
        <w:tc>
          <w:tcPr>
            <w:tcW w:w="630" w:type="dxa"/>
            <w:tcBorders>
              <w:bottom w:val="single" w:sz="4" w:space="0" w:color="auto"/>
            </w:tcBorders>
            <w:shd w:val="clear" w:color="auto" w:fill="auto"/>
            <w:noWrap/>
            <w:vAlign w:val="bottom"/>
          </w:tcPr>
          <w:p w14:paraId="3B113911"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900" w:type="dxa"/>
            <w:tcBorders>
              <w:bottom w:val="single" w:sz="4" w:space="0" w:color="auto"/>
            </w:tcBorders>
            <w:shd w:val="clear" w:color="auto" w:fill="auto"/>
            <w:noWrap/>
            <w:vAlign w:val="bottom"/>
          </w:tcPr>
          <w:p w14:paraId="1EC711F3"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3.89±0.58</w:t>
            </w:r>
          </w:p>
        </w:tc>
        <w:tc>
          <w:tcPr>
            <w:tcW w:w="1080" w:type="dxa"/>
            <w:tcBorders>
              <w:bottom w:val="single" w:sz="4" w:space="0" w:color="auto"/>
            </w:tcBorders>
            <w:shd w:val="clear" w:color="auto" w:fill="auto"/>
            <w:noWrap/>
          </w:tcPr>
          <w:p w14:paraId="560869C6"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-6.12E-04</w:t>
            </w:r>
          </w:p>
          <w:p w14:paraId="1BCEAA3F"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±1.40E-03</w:t>
            </w:r>
          </w:p>
        </w:tc>
        <w:tc>
          <w:tcPr>
            <w:tcW w:w="360" w:type="dxa"/>
            <w:tcBorders>
              <w:bottom w:val="single" w:sz="4" w:space="0" w:color="auto"/>
            </w:tcBorders>
            <w:shd w:val="clear" w:color="auto" w:fill="auto"/>
            <w:noWrap/>
            <w:vAlign w:val="bottom"/>
          </w:tcPr>
          <w:p w14:paraId="6265FA24"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bottom w:val="single" w:sz="4" w:space="0" w:color="auto"/>
            </w:tcBorders>
            <w:shd w:val="clear" w:color="auto" w:fill="auto"/>
            <w:noWrap/>
            <w:vAlign w:val="bottom"/>
          </w:tcPr>
          <w:p w14:paraId="7D3A2D50"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0.283</w:t>
            </w:r>
          </w:p>
          <w:p w14:paraId="3BE94807"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±0.007</w:t>
            </w:r>
          </w:p>
        </w:tc>
        <w:tc>
          <w:tcPr>
            <w:tcW w:w="810" w:type="dxa"/>
            <w:tcBorders>
              <w:bottom w:val="single" w:sz="4" w:space="0" w:color="auto"/>
            </w:tcBorders>
            <w:shd w:val="clear" w:color="auto" w:fill="auto"/>
            <w:noWrap/>
            <w:vAlign w:val="bottom"/>
          </w:tcPr>
          <w:p w14:paraId="7F7D1905"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r>
      <w:tr w:rsidR="008802C8" w:rsidRPr="00B65D87" w14:paraId="7AE7604F" w14:textId="77777777" w:rsidTr="00A308A5">
        <w:trPr>
          <w:trHeight w:val="260"/>
        </w:trPr>
        <w:tc>
          <w:tcPr>
            <w:tcW w:w="1546" w:type="dxa"/>
            <w:gridSpan w:val="3"/>
            <w:tcBorders>
              <w:top w:val="single" w:sz="4" w:space="0" w:color="auto"/>
              <w:left w:val="single" w:sz="4" w:space="0" w:color="auto"/>
              <w:bottom w:val="single" w:sz="4" w:space="0" w:color="auto"/>
              <w:right w:val="nil"/>
            </w:tcBorders>
            <w:shd w:val="clear" w:color="auto" w:fill="auto"/>
            <w:noWrap/>
            <w:vAlign w:val="bottom"/>
          </w:tcPr>
          <w:p w14:paraId="12CFEE4C"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Gamma=2.5</w:t>
            </w:r>
          </w:p>
        </w:tc>
        <w:tc>
          <w:tcPr>
            <w:tcW w:w="450" w:type="dxa"/>
            <w:gridSpan w:val="2"/>
            <w:tcBorders>
              <w:top w:val="single" w:sz="4" w:space="0" w:color="auto"/>
              <w:left w:val="nil"/>
              <w:bottom w:val="single" w:sz="4" w:space="0" w:color="auto"/>
              <w:right w:val="nil"/>
            </w:tcBorders>
            <w:shd w:val="clear" w:color="auto" w:fill="auto"/>
            <w:noWrap/>
            <w:vAlign w:val="bottom"/>
          </w:tcPr>
          <w:p w14:paraId="4DF59062" w14:textId="77777777" w:rsidR="008802C8" w:rsidRPr="00B65D87" w:rsidRDefault="008802C8" w:rsidP="001729C6">
            <w:pPr>
              <w:rPr>
                <w:rFonts w:ascii="Times New Roman" w:hAnsi="Times New Roman" w:cs="Times New Roman"/>
                <w:sz w:val="16"/>
                <w:szCs w:val="20"/>
              </w:rPr>
            </w:pPr>
          </w:p>
        </w:tc>
        <w:tc>
          <w:tcPr>
            <w:tcW w:w="810" w:type="dxa"/>
            <w:tcBorders>
              <w:top w:val="single" w:sz="4" w:space="0" w:color="auto"/>
              <w:left w:val="nil"/>
              <w:bottom w:val="single" w:sz="4" w:space="0" w:color="auto"/>
              <w:right w:val="nil"/>
            </w:tcBorders>
            <w:shd w:val="clear" w:color="auto" w:fill="auto"/>
            <w:noWrap/>
            <w:vAlign w:val="bottom"/>
          </w:tcPr>
          <w:p w14:paraId="60B0D0F9" w14:textId="77777777" w:rsidR="008802C8" w:rsidRPr="00B65D87" w:rsidRDefault="008802C8" w:rsidP="001729C6">
            <w:pPr>
              <w:rPr>
                <w:rFonts w:ascii="Times New Roman" w:hAnsi="Times New Roman" w:cs="Times New Roman"/>
                <w:sz w:val="16"/>
                <w:szCs w:val="20"/>
              </w:rPr>
            </w:pPr>
          </w:p>
        </w:tc>
        <w:tc>
          <w:tcPr>
            <w:tcW w:w="900" w:type="dxa"/>
            <w:tcBorders>
              <w:top w:val="single" w:sz="4" w:space="0" w:color="auto"/>
              <w:left w:val="nil"/>
              <w:bottom w:val="single" w:sz="4" w:space="0" w:color="auto"/>
              <w:right w:val="nil"/>
            </w:tcBorders>
            <w:shd w:val="clear" w:color="auto" w:fill="auto"/>
            <w:noWrap/>
            <w:vAlign w:val="bottom"/>
          </w:tcPr>
          <w:p w14:paraId="7A4DC455" w14:textId="77777777" w:rsidR="008802C8" w:rsidRPr="00B65D87" w:rsidRDefault="008802C8">
            <w:pPr>
              <w:rPr>
                <w:rFonts w:ascii="Times New Roman" w:hAnsi="Times New Roman" w:cs="Times New Roman"/>
                <w:sz w:val="16"/>
                <w:szCs w:val="16"/>
              </w:rPr>
            </w:pPr>
          </w:p>
        </w:tc>
        <w:tc>
          <w:tcPr>
            <w:tcW w:w="270" w:type="dxa"/>
            <w:tcBorders>
              <w:top w:val="single" w:sz="4" w:space="0" w:color="auto"/>
              <w:left w:val="nil"/>
              <w:bottom w:val="single" w:sz="4" w:space="0" w:color="auto"/>
              <w:right w:val="nil"/>
            </w:tcBorders>
            <w:shd w:val="clear" w:color="auto" w:fill="auto"/>
            <w:noWrap/>
          </w:tcPr>
          <w:p w14:paraId="1471F5F4" w14:textId="77777777" w:rsidR="008802C8" w:rsidRPr="00B65D87" w:rsidRDefault="008802C8">
            <w:pPr>
              <w:rPr>
                <w:rFonts w:ascii="Times New Roman" w:hAnsi="Times New Roman" w:cs="Times New Roman"/>
              </w:rPr>
            </w:pPr>
          </w:p>
        </w:tc>
        <w:tc>
          <w:tcPr>
            <w:tcW w:w="990" w:type="dxa"/>
            <w:tcBorders>
              <w:top w:val="single" w:sz="4" w:space="0" w:color="auto"/>
              <w:left w:val="nil"/>
              <w:bottom w:val="single" w:sz="4" w:space="0" w:color="auto"/>
              <w:right w:val="nil"/>
            </w:tcBorders>
            <w:shd w:val="clear" w:color="auto" w:fill="auto"/>
            <w:noWrap/>
            <w:vAlign w:val="bottom"/>
          </w:tcPr>
          <w:p w14:paraId="72F55BE4" w14:textId="77777777" w:rsidR="008802C8" w:rsidRPr="00B65D87" w:rsidRDefault="008802C8">
            <w:pPr>
              <w:rPr>
                <w:rFonts w:ascii="Times New Roman" w:hAnsi="Times New Roman" w:cs="Times New Roman"/>
                <w:sz w:val="16"/>
                <w:szCs w:val="16"/>
              </w:rPr>
            </w:pPr>
          </w:p>
        </w:tc>
        <w:tc>
          <w:tcPr>
            <w:tcW w:w="810" w:type="dxa"/>
            <w:tcBorders>
              <w:top w:val="single" w:sz="4" w:space="0" w:color="auto"/>
              <w:left w:val="nil"/>
              <w:bottom w:val="single" w:sz="4" w:space="0" w:color="auto"/>
              <w:right w:val="nil"/>
            </w:tcBorders>
            <w:shd w:val="clear" w:color="auto" w:fill="auto"/>
            <w:noWrap/>
            <w:vAlign w:val="bottom"/>
          </w:tcPr>
          <w:p w14:paraId="49D33A41" w14:textId="77777777" w:rsidR="008802C8" w:rsidRPr="00B65D87" w:rsidRDefault="008802C8">
            <w:pPr>
              <w:rPr>
                <w:rFonts w:ascii="Times New Roman" w:hAnsi="Times New Roman" w:cs="Times New Roman"/>
                <w:sz w:val="16"/>
                <w:szCs w:val="16"/>
              </w:rPr>
            </w:pPr>
          </w:p>
        </w:tc>
        <w:tc>
          <w:tcPr>
            <w:tcW w:w="1170" w:type="dxa"/>
            <w:tcBorders>
              <w:top w:val="single" w:sz="4" w:space="0" w:color="auto"/>
              <w:left w:val="nil"/>
              <w:bottom w:val="single" w:sz="4" w:space="0" w:color="auto"/>
              <w:right w:val="nil"/>
            </w:tcBorders>
            <w:shd w:val="clear" w:color="auto" w:fill="auto"/>
            <w:noWrap/>
            <w:vAlign w:val="bottom"/>
          </w:tcPr>
          <w:p w14:paraId="476EB657" w14:textId="77777777" w:rsidR="008802C8" w:rsidRPr="00B65D87" w:rsidRDefault="008802C8">
            <w:pPr>
              <w:rPr>
                <w:rFonts w:ascii="Times New Roman" w:hAnsi="Times New Roman" w:cs="Times New Roman"/>
                <w:sz w:val="16"/>
                <w:szCs w:val="16"/>
              </w:rPr>
            </w:pPr>
          </w:p>
        </w:tc>
        <w:tc>
          <w:tcPr>
            <w:tcW w:w="450" w:type="dxa"/>
            <w:tcBorders>
              <w:top w:val="single" w:sz="4" w:space="0" w:color="auto"/>
              <w:left w:val="nil"/>
              <w:bottom w:val="single" w:sz="4" w:space="0" w:color="auto"/>
              <w:right w:val="nil"/>
            </w:tcBorders>
            <w:shd w:val="clear" w:color="auto" w:fill="auto"/>
            <w:noWrap/>
          </w:tcPr>
          <w:p w14:paraId="7D560291" w14:textId="77777777" w:rsidR="008802C8" w:rsidRPr="00B65D87" w:rsidRDefault="008802C8">
            <w:pPr>
              <w:rPr>
                <w:rFonts w:ascii="Times New Roman" w:hAnsi="Times New Roman" w:cs="Times New Roman"/>
              </w:rPr>
            </w:pPr>
          </w:p>
        </w:tc>
        <w:tc>
          <w:tcPr>
            <w:tcW w:w="810" w:type="dxa"/>
            <w:tcBorders>
              <w:top w:val="single" w:sz="4" w:space="0" w:color="auto"/>
              <w:left w:val="nil"/>
              <w:bottom w:val="single" w:sz="4" w:space="0" w:color="auto"/>
              <w:right w:val="nil"/>
            </w:tcBorders>
            <w:shd w:val="clear" w:color="auto" w:fill="auto"/>
            <w:noWrap/>
            <w:vAlign w:val="bottom"/>
          </w:tcPr>
          <w:p w14:paraId="67AD6225" w14:textId="77777777" w:rsidR="008802C8" w:rsidRPr="00B65D87" w:rsidRDefault="008802C8" w:rsidP="001729C6">
            <w:pPr>
              <w:rPr>
                <w:rFonts w:ascii="Times New Roman" w:hAnsi="Times New Roman" w:cs="Times New Roman"/>
                <w:sz w:val="16"/>
                <w:szCs w:val="20"/>
              </w:rPr>
            </w:pPr>
          </w:p>
        </w:tc>
        <w:tc>
          <w:tcPr>
            <w:tcW w:w="630" w:type="dxa"/>
            <w:tcBorders>
              <w:top w:val="single" w:sz="4" w:space="0" w:color="auto"/>
              <w:left w:val="nil"/>
              <w:bottom w:val="single" w:sz="4" w:space="0" w:color="auto"/>
              <w:right w:val="nil"/>
            </w:tcBorders>
            <w:shd w:val="clear" w:color="auto" w:fill="auto"/>
            <w:noWrap/>
            <w:vAlign w:val="bottom"/>
          </w:tcPr>
          <w:p w14:paraId="019B0DD2" w14:textId="77777777" w:rsidR="008802C8" w:rsidRPr="00B65D87" w:rsidRDefault="008802C8">
            <w:pPr>
              <w:rPr>
                <w:rFonts w:ascii="Times New Roman" w:hAnsi="Times New Roman" w:cs="Times New Roman"/>
                <w:sz w:val="16"/>
                <w:szCs w:val="16"/>
              </w:rPr>
            </w:pPr>
          </w:p>
        </w:tc>
        <w:tc>
          <w:tcPr>
            <w:tcW w:w="900" w:type="dxa"/>
            <w:tcBorders>
              <w:top w:val="single" w:sz="4" w:space="0" w:color="auto"/>
              <w:left w:val="nil"/>
              <w:bottom w:val="single" w:sz="4" w:space="0" w:color="auto"/>
              <w:right w:val="nil"/>
            </w:tcBorders>
            <w:shd w:val="clear" w:color="auto" w:fill="auto"/>
            <w:noWrap/>
            <w:vAlign w:val="bottom"/>
          </w:tcPr>
          <w:p w14:paraId="346DE5BD" w14:textId="77777777" w:rsidR="008802C8" w:rsidRPr="00B65D87" w:rsidRDefault="008802C8" w:rsidP="001729C6">
            <w:pPr>
              <w:rPr>
                <w:rFonts w:ascii="Times New Roman" w:hAnsi="Times New Roman" w:cs="Times New Roman"/>
                <w:sz w:val="16"/>
                <w:szCs w:val="20"/>
              </w:rPr>
            </w:pPr>
          </w:p>
        </w:tc>
        <w:tc>
          <w:tcPr>
            <w:tcW w:w="1080" w:type="dxa"/>
            <w:tcBorders>
              <w:top w:val="single" w:sz="4" w:space="0" w:color="auto"/>
              <w:left w:val="nil"/>
              <w:bottom w:val="single" w:sz="4" w:space="0" w:color="auto"/>
              <w:right w:val="nil"/>
            </w:tcBorders>
            <w:shd w:val="clear" w:color="auto" w:fill="auto"/>
            <w:noWrap/>
            <w:vAlign w:val="bottom"/>
          </w:tcPr>
          <w:p w14:paraId="77136331" w14:textId="77777777" w:rsidR="008802C8" w:rsidRPr="00B65D87" w:rsidRDefault="008802C8">
            <w:pPr>
              <w:rPr>
                <w:rFonts w:ascii="Times New Roman" w:hAnsi="Times New Roman" w:cs="Times New Roman"/>
                <w:sz w:val="16"/>
                <w:szCs w:val="16"/>
              </w:rPr>
            </w:pPr>
          </w:p>
        </w:tc>
        <w:tc>
          <w:tcPr>
            <w:tcW w:w="360" w:type="dxa"/>
            <w:tcBorders>
              <w:top w:val="single" w:sz="4" w:space="0" w:color="auto"/>
              <w:left w:val="nil"/>
              <w:bottom w:val="single" w:sz="4" w:space="0" w:color="auto"/>
              <w:right w:val="nil"/>
            </w:tcBorders>
            <w:shd w:val="clear" w:color="auto" w:fill="auto"/>
            <w:noWrap/>
            <w:vAlign w:val="bottom"/>
          </w:tcPr>
          <w:p w14:paraId="3DD14AD8" w14:textId="77777777" w:rsidR="008802C8" w:rsidRPr="00B65D87" w:rsidRDefault="008802C8" w:rsidP="001729C6">
            <w:pPr>
              <w:rPr>
                <w:rFonts w:ascii="Times New Roman" w:hAnsi="Times New Roman" w:cs="Times New Roman"/>
                <w:sz w:val="16"/>
                <w:szCs w:val="20"/>
              </w:rPr>
            </w:pPr>
          </w:p>
        </w:tc>
        <w:tc>
          <w:tcPr>
            <w:tcW w:w="810" w:type="dxa"/>
            <w:tcBorders>
              <w:top w:val="single" w:sz="4" w:space="0" w:color="auto"/>
              <w:left w:val="nil"/>
              <w:bottom w:val="single" w:sz="4" w:space="0" w:color="auto"/>
              <w:right w:val="nil"/>
            </w:tcBorders>
            <w:shd w:val="clear" w:color="auto" w:fill="auto"/>
            <w:noWrap/>
            <w:vAlign w:val="bottom"/>
          </w:tcPr>
          <w:p w14:paraId="21312241" w14:textId="77777777" w:rsidR="008802C8" w:rsidRPr="00B65D87" w:rsidRDefault="008802C8" w:rsidP="001729C6">
            <w:pPr>
              <w:rPr>
                <w:rFonts w:ascii="Times New Roman" w:hAnsi="Times New Roman" w:cs="Times New Roman"/>
                <w:sz w:val="16"/>
                <w:szCs w:val="20"/>
              </w:rPr>
            </w:pPr>
          </w:p>
        </w:tc>
        <w:tc>
          <w:tcPr>
            <w:tcW w:w="810" w:type="dxa"/>
            <w:tcBorders>
              <w:top w:val="single" w:sz="4" w:space="0" w:color="auto"/>
              <w:left w:val="nil"/>
              <w:bottom w:val="single" w:sz="4" w:space="0" w:color="auto"/>
            </w:tcBorders>
            <w:shd w:val="clear" w:color="auto" w:fill="auto"/>
            <w:noWrap/>
            <w:vAlign w:val="bottom"/>
          </w:tcPr>
          <w:p w14:paraId="74FBCCA9" w14:textId="77777777" w:rsidR="008802C8" w:rsidRPr="00B65D87" w:rsidRDefault="008802C8" w:rsidP="001729C6">
            <w:pPr>
              <w:rPr>
                <w:rFonts w:ascii="Times New Roman" w:hAnsi="Times New Roman" w:cs="Times New Roman"/>
                <w:sz w:val="16"/>
                <w:szCs w:val="20"/>
              </w:rPr>
            </w:pPr>
          </w:p>
        </w:tc>
      </w:tr>
      <w:tr w:rsidR="008802C8" w:rsidRPr="00B65D87" w14:paraId="753B1897" w14:textId="77777777">
        <w:trPr>
          <w:trHeight w:val="260"/>
        </w:trPr>
        <w:tc>
          <w:tcPr>
            <w:tcW w:w="1006" w:type="dxa"/>
            <w:tcBorders>
              <w:top w:val="single" w:sz="4" w:space="0" w:color="auto"/>
            </w:tcBorders>
            <w:shd w:val="clear" w:color="auto" w:fill="auto"/>
            <w:noWrap/>
            <w:vAlign w:val="bottom"/>
          </w:tcPr>
          <w:p w14:paraId="1966ACB7"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KR</w:t>
            </w:r>
          </w:p>
        </w:tc>
        <w:tc>
          <w:tcPr>
            <w:tcW w:w="540" w:type="dxa"/>
            <w:gridSpan w:val="2"/>
            <w:tcBorders>
              <w:top w:val="single" w:sz="4" w:space="0" w:color="auto"/>
            </w:tcBorders>
            <w:shd w:val="clear" w:color="auto" w:fill="auto"/>
            <w:noWrap/>
            <w:vAlign w:val="bottom"/>
          </w:tcPr>
          <w:p w14:paraId="12FC9F42"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120</w:t>
            </w:r>
          </w:p>
        </w:tc>
        <w:tc>
          <w:tcPr>
            <w:tcW w:w="450" w:type="dxa"/>
            <w:gridSpan w:val="2"/>
            <w:tcBorders>
              <w:top w:val="single" w:sz="4" w:space="0" w:color="auto"/>
            </w:tcBorders>
            <w:shd w:val="clear" w:color="auto" w:fill="auto"/>
            <w:noWrap/>
            <w:vAlign w:val="bottom"/>
          </w:tcPr>
          <w:p w14:paraId="007651FD"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2.5</w:t>
            </w:r>
          </w:p>
        </w:tc>
        <w:tc>
          <w:tcPr>
            <w:tcW w:w="810" w:type="dxa"/>
            <w:tcBorders>
              <w:top w:val="single" w:sz="4" w:space="0" w:color="auto"/>
            </w:tcBorders>
            <w:shd w:val="clear" w:color="auto" w:fill="auto"/>
            <w:noWrap/>
            <w:vAlign w:val="bottom"/>
          </w:tcPr>
          <w:p w14:paraId="5634146D"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0.032</w:t>
            </w:r>
          </w:p>
        </w:tc>
        <w:tc>
          <w:tcPr>
            <w:tcW w:w="900" w:type="dxa"/>
            <w:tcBorders>
              <w:top w:val="single" w:sz="4" w:space="0" w:color="auto"/>
            </w:tcBorders>
            <w:shd w:val="clear" w:color="auto" w:fill="auto"/>
            <w:noWrap/>
          </w:tcPr>
          <w:p w14:paraId="2700784F"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0.317</w:t>
            </w:r>
          </w:p>
          <w:p w14:paraId="5814446B"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±0.003</w:t>
            </w:r>
          </w:p>
        </w:tc>
        <w:tc>
          <w:tcPr>
            <w:tcW w:w="270" w:type="dxa"/>
            <w:tcBorders>
              <w:top w:val="single" w:sz="4" w:space="0" w:color="auto"/>
            </w:tcBorders>
            <w:shd w:val="clear" w:color="auto" w:fill="auto"/>
            <w:noWrap/>
            <w:vAlign w:val="bottom"/>
          </w:tcPr>
          <w:p w14:paraId="1C918EEC"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4</w:t>
            </w:r>
          </w:p>
        </w:tc>
        <w:tc>
          <w:tcPr>
            <w:tcW w:w="990" w:type="dxa"/>
            <w:tcBorders>
              <w:top w:val="single" w:sz="4" w:space="0" w:color="auto"/>
            </w:tcBorders>
            <w:shd w:val="clear" w:color="auto" w:fill="auto"/>
            <w:noWrap/>
            <w:vAlign w:val="bottom"/>
          </w:tcPr>
          <w:p w14:paraId="1724A33E"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66.2±15.6</w:t>
            </w:r>
          </w:p>
        </w:tc>
        <w:tc>
          <w:tcPr>
            <w:tcW w:w="810" w:type="dxa"/>
            <w:tcBorders>
              <w:top w:val="single" w:sz="4" w:space="0" w:color="auto"/>
            </w:tcBorders>
            <w:shd w:val="clear" w:color="auto" w:fill="auto"/>
            <w:noWrap/>
            <w:vAlign w:val="bottom"/>
          </w:tcPr>
          <w:p w14:paraId="73973B24"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6.12</w:t>
            </w:r>
          </w:p>
          <w:p w14:paraId="0BC4C812"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±0.79</w:t>
            </w:r>
          </w:p>
        </w:tc>
        <w:tc>
          <w:tcPr>
            <w:tcW w:w="1170" w:type="dxa"/>
            <w:tcBorders>
              <w:top w:val="single" w:sz="4" w:space="0" w:color="auto"/>
            </w:tcBorders>
            <w:shd w:val="clear" w:color="auto" w:fill="auto"/>
            <w:noWrap/>
          </w:tcPr>
          <w:p w14:paraId="173C14E9"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9.21E-05</w:t>
            </w:r>
          </w:p>
          <w:p w14:paraId="76FAF539"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±3.00E-03</w:t>
            </w:r>
          </w:p>
        </w:tc>
        <w:tc>
          <w:tcPr>
            <w:tcW w:w="450" w:type="dxa"/>
            <w:tcBorders>
              <w:top w:val="single" w:sz="4" w:space="0" w:color="auto"/>
            </w:tcBorders>
            <w:shd w:val="clear" w:color="auto" w:fill="auto"/>
            <w:noWrap/>
            <w:vAlign w:val="bottom"/>
          </w:tcPr>
          <w:p w14:paraId="149E8FF5"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top w:val="single" w:sz="4" w:space="0" w:color="auto"/>
            </w:tcBorders>
            <w:shd w:val="clear" w:color="auto" w:fill="auto"/>
            <w:noWrap/>
            <w:vAlign w:val="bottom"/>
          </w:tcPr>
          <w:p w14:paraId="22057469"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0.226±0.0092</w:t>
            </w:r>
          </w:p>
        </w:tc>
        <w:tc>
          <w:tcPr>
            <w:tcW w:w="630" w:type="dxa"/>
            <w:tcBorders>
              <w:top w:val="single" w:sz="4" w:space="0" w:color="auto"/>
            </w:tcBorders>
            <w:shd w:val="clear" w:color="auto" w:fill="auto"/>
            <w:noWrap/>
            <w:vAlign w:val="bottom"/>
          </w:tcPr>
          <w:p w14:paraId="464FA1C8"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900" w:type="dxa"/>
            <w:tcBorders>
              <w:top w:val="single" w:sz="4" w:space="0" w:color="auto"/>
            </w:tcBorders>
            <w:shd w:val="clear" w:color="auto" w:fill="auto"/>
            <w:noWrap/>
            <w:vAlign w:val="bottom"/>
          </w:tcPr>
          <w:p w14:paraId="77FE53FD"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5.12±0.70</w:t>
            </w:r>
          </w:p>
        </w:tc>
        <w:tc>
          <w:tcPr>
            <w:tcW w:w="1080" w:type="dxa"/>
            <w:tcBorders>
              <w:top w:val="single" w:sz="4" w:space="0" w:color="auto"/>
            </w:tcBorders>
            <w:shd w:val="clear" w:color="auto" w:fill="auto"/>
            <w:noWrap/>
          </w:tcPr>
          <w:p w14:paraId="72E9050C"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2.10E-03</w:t>
            </w:r>
          </w:p>
          <w:p w14:paraId="70738C2D"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±2.70E-03</w:t>
            </w:r>
          </w:p>
        </w:tc>
        <w:tc>
          <w:tcPr>
            <w:tcW w:w="360" w:type="dxa"/>
            <w:tcBorders>
              <w:top w:val="single" w:sz="4" w:space="0" w:color="auto"/>
            </w:tcBorders>
            <w:shd w:val="clear" w:color="auto" w:fill="auto"/>
            <w:noWrap/>
            <w:vAlign w:val="bottom"/>
          </w:tcPr>
          <w:p w14:paraId="1BD58D11"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top w:val="single" w:sz="4" w:space="0" w:color="auto"/>
            </w:tcBorders>
            <w:shd w:val="clear" w:color="auto" w:fill="auto"/>
            <w:noWrap/>
            <w:vAlign w:val="bottom"/>
          </w:tcPr>
          <w:p w14:paraId="6A917C3F"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0.314</w:t>
            </w:r>
          </w:p>
          <w:p w14:paraId="6A586A21"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±0.007</w:t>
            </w:r>
          </w:p>
        </w:tc>
        <w:tc>
          <w:tcPr>
            <w:tcW w:w="810" w:type="dxa"/>
            <w:tcBorders>
              <w:top w:val="single" w:sz="4" w:space="0" w:color="auto"/>
            </w:tcBorders>
            <w:shd w:val="clear" w:color="auto" w:fill="auto"/>
            <w:noWrap/>
            <w:vAlign w:val="bottom"/>
          </w:tcPr>
          <w:p w14:paraId="5CEC6DBF"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color w:val="000000"/>
                <w:sz w:val="16"/>
              </w:rPr>
              <w:t>2.28E-32</w:t>
            </w:r>
          </w:p>
        </w:tc>
      </w:tr>
      <w:tr w:rsidR="008802C8" w:rsidRPr="00B65D87" w14:paraId="79ED7E06" w14:textId="77777777">
        <w:trPr>
          <w:trHeight w:val="260"/>
        </w:trPr>
        <w:tc>
          <w:tcPr>
            <w:tcW w:w="1006" w:type="dxa"/>
            <w:shd w:val="clear" w:color="auto" w:fill="auto"/>
            <w:noWrap/>
            <w:vAlign w:val="bottom"/>
          </w:tcPr>
          <w:p w14:paraId="772B61BF"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FDR1</w:t>
            </w:r>
          </w:p>
        </w:tc>
        <w:tc>
          <w:tcPr>
            <w:tcW w:w="540" w:type="dxa"/>
            <w:gridSpan w:val="2"/>
            <w:shd w:val="clear" w:color="auto" w:fill="auto"/>
            <w:noWrap/>
            <w:vAlign w:val="bottom"/>
          </w:tcPr>
          <w:p w14:paraId="5651D731"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221</w:t>
            </w:r>
          </w:p>
        </w:tc>
        <w:tc>
          <w:tcPr>
            <w:tcW w:w="450" w:type="dxa"/>
            <w:gridSpan w:val="2"/>
            <w:shd w:val="clear" w:color="auto" w:fill="auto"/>
            <w:noWrap/>
            <w:vAlign w:val="bottom"/>
          </w:tcPr>
          <w:p w14:paraId="1CB967EB"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2.5</w:t>
            </w:r>
          </w:p>
        </w:tc>
        <w:tc>
          <w:tcPr>
            <w:tcW w:w="810" w:type="dxa"/>
            <w:shd w:val="clear" w:color="auto" w:fill="auto"/>
            <w:noWrap/>
            <w:vAlign w:val="bottom"/>
          </w:tcPr>
          <w:p w14:paraId="0FD4522E"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0.052</w:t>
            </w:r>
          </w:p>
        </w:tc>
        <w:tc>
          <w:tcPr>
            <w:tcW w:w="900" w:type="dxa"/>
            <w:shd w:val="clear" w:color="auto" w:fill="auto"/>
            <w:noWrap/>
          </w:tcPr>
          <w:p w14:paraId="5F615DD7"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0.306</w:t>
            </w:r>
          </w:p>
          <w:p w14:paraId="3559E49C"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±0.002</w:t>
            </w:r>
          </w:p>
        </w:tc>
        <w:tc>
          <w:tcPr>
            <w:tcW w:w="270" w:type="dxa"/>
            <w:shd w:val="clear" w:color="auto" w:fill="auto"/>
            <w:noWrap/>
            <w:vAlign w:val="bottom"/>
          </w:tcPr>
          <w:p w14:paraId="54A416E7"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9</w:t>
            </w:r>
          </w:p>
        </w:tc>
        <w:tc>
          <w:tcPr>
            <w:tcW w:w="990" w:type="dxa"/>
            <w:shd w:val="clear" w:color="auto" w:fill="auto"/>
            <w:noWrap/>
            <w:vAlign w:val="bottom"/>
          </w:tcPr>
          <w:p w14:paraId="360F7AC7"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62.2±5.1</w:t>
            </w:r>
          </w:p>
        </w:tc>
        <w:tc>
          <w:tcPr>
            <w:tcW w:w="810" w:type="dxa"/>
            <w:shd w:val="clear" w:color="auto" w:fill="auto"/>
            <w:noWrap/>
            <w:vAlign w:val="bottom"/>
          </w:tcPr>
          <w:p w14:paraId="0AE5FC7D"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6.54</w:t>
            </w:r>
          </w:p>
          <w:p w14:paraId="3413F2DF"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±0.76</w:t>
            </w:r>
          </w:p>
        </w:tc>
        <w:tc>
          <w:tcPr>
            <w:tcW w:w="1170" w:type="dxa"/>
            <w:shd w:val="clear" w:color="auto" w:fill="auto"/>
            <w:noWrap/>
          </w:tcPr>
          <w:p w14:paraId="7C5915F9"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-5.10E-05</w:t>
            </w:r>
          </w:p>
          <w:p w14:paraId="00ACDDCF"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±1.60E-03</w:t>
            </w:r>
          </w:p>
        </w:tc>
        <w:tc>
          <w:tcPr>
            <w:tcW w:w="450" w:type="dxa"/>
            <w:shd w:val="clear" w:color="auto" w:fill="auto"/>
            <w:noWrap/>
            <w:vAlign w:val="bottom"/>
          </w:tcPr>
          <w:p w14:paraId="02C5F47E"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shd w:val="clear" w:color="auto" w:fill="auto"/>
            <w:noWrap/>
            <w:vAlign w:val="bottom"/>
          </w:tcPr>
          <w:p w14:paraId="7F413247"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0.2085±0.0070</w:t>
            </w:r>
          </w:p>
        </w:tc>
        <w:tc>
          <w:tcPr>
            <w:tcW w:w="630" w:type="dxa"/>
            <w:shd w:val="clear" w:color="auto" w:fill="auto"/>
            <w:noWrap/>
            <w:vAlign w:val="bottom"/>
          </w:tcPr>
          <w:p w14:paraId="0332D574"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900" w:type="dxa"/>
            <w:shd w:val="clear" w:color="auto" w:fill="auto"/>
            <w:noWrap/>
            <w:vAlign w:val="bottom"/>
          </w:tcPr>
          <w:p w14:paraId="50336D79"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4.34±0.69</w:t>
            </w:r>
          </w:p>
        </w:tc>
        <w:tc>
          <w:tcPr>
            <w:tcW w:w="1080" w:type="dxa"/>
            <w:shd w:val="clear" w:color="auto" w:fill="auto"/>
            <w:noWrap/>
          </w:tcPr>
          <w:p w14:paraId="5FFBACD9"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1.27E-04</w:t>
            </w:r>
          </w:p>
          <w:p w14:paraId="5522F545"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±1.40E-03</w:t>
            </w:r>
          </w:p>
        </w:tc>
        <w:tc>
          <w:tcPr>
            <w:tcW w:w="360" w:type="dxa"/>
            <w:shd w:val="clear" w:color="auto" w:fill="auto"/>
            <w:noWrap/>
            <w:vAlign w:val="bottom"/>
          </w:tcPr>
          <w:p w14:paraId="39283C3F"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shd w:val="clear" w:color="auto" w:fill="auto"/>
            <w:noWrap/>
            <w:vAlign w:val="bottom"/>
          </w:tcPr>
          <w:p w14:paraId="579C111B"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0.280</w:t>
            </w:r>
          </w:p>
          <w:p w14:paraId="194918F2"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±0.006</w:t>
            </w:r>
          </w:p>
        </w:tc>
        <w:tc>
          <w:tcPr>
            <w:tcW w:w="810" w:type="dxa"/>
            <w:shd w:val="clear" w:color="auto" w:fill="auto"/>
            <w:noWrap/>
            <w:vAlign w:val="bottom"/>
          </w:tcPr>
          <w:p w14:paraId="244EB11D"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r>
      <w:tr w:rsidR="008802C8" w:rsidRPr="00B65D87" w14:paraId="0A78708F" w14:textId="77777777">
        <w:trPr>
          <w:trHeight w:val="351"/>
        </w:trPr>
        <w:tc>
          <w:tcPr>
            <w:tcW w:w="1006" w:type="dxa"/>
            <w:shd w:val="clear" w:color="auto" w:fill="auto"/>
            <w:noWrap/>
            <w:vAlign w:val="bottom"/>
          </w:tcPr>
          <w:p w14:paraId="270899E0"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FDR5</w:t>
            </w:r>
          </w:p>
        </w:tc>
        <w:tc>
          <w:tcPr>
            <w:tcW w:w="540" w:type="dxa"/>
            <w:gridSpan w:val="2"/>
            <w:shd w:val="clear" w:color="auto" w:fill="auto"/>
            <w:noWrap/>
            <w:vAlign w:val="bottom"/>
          </w:tcPr>
          <w:p w14:paraId="1003FD38"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325</w:t>
            </w:r>
          </w:p>
        </w:tc>
        <w:tc>
          <w:tcPr>
            <w:tcW w:w="450" w:type="dxa"/>
            <w:gridSpan w:val="2"/>
            <w:shd w:val="clear" w:color="auto" w:fill="auto"/>
            <w:noWrap/>
            <w:vAlign w:val="bottom"/>
          </w:tcPr>
          <w:p w14:paraId="041614D4"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2.5</w:t>
            </w:r>
          </w:p>
        </w:tc>
        <w:tc>
          <w:tcPr>
            <w:tcW w:w="810" w:type="dxa"/>
            <w:shd w:val="clear" w:color="auto" w:fill="auto"/>
            <w:noWrap/>
            <w:vAlign w:val="bottom"/>
          </w:tcPr>
          <w:p w14:paraId="5E29C76E"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0.030</w:t>
            </w:r>
          </w:p>
        </w:tc>
        <w:tc>
          <w:tcPr>
            <w:tcW w:w="900" w:type="dxa"/>
            <w:shd w:val="clear" w:color="auto" w:fill="auto"/>
            <w:noWrap/>
          </w:tcPr>
          <w:p w14:paraId="03D4AC91"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0.312</w:t>
            </w:r>
          </w:p>
          <w:p w14:paraId="10ECF5D8"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±0.002</w:t>
            </w:r>
          </w:p>
        </w:tc>
        <w:tc>
          <w:tcPr>
            <w:tcW w:w="270" w:type="dxa"/>
            <w:shd w:val="clear" w:color="auto" w:fill="auto"/>
            <w:noWrap/>
            <w:vAlign w:val="bottom"/>
          </w:tcPr>
          <w:p w14:paraId="6DA017AA"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4</w:t>
            </w:r>
          </w:p>
        </w:tc>
        <w:tc>
          <w:tcPr>
            <w:tcW w:w="990" w:type="dxa"/>
            <w:shd w:val="clear" w:color="auto" w:fill="auto"/>
            <w:noWrap/>
            <w:vAlign w:val="bottom"/>
          </w:tcPr>
          <w:p w14:paraId="31B8B771"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90.0±9.8</w:t>
            </w:r>
          </w:p>
        </w:tc>
        <w:tc>
          <w:tcPr>
            <w:tcW w:w="810" w:type="dxa"/>
            <w:shd w:val="clear" w:color="auto" w:fill="auto"/>
            <w:noWrap/>
            <w:vAlign w:val="bottom"/>
          </w:tcPr>
          <w:p w14:paraId="16622612"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6.72</w:t>
            </w:r>
          </w:p>
          <w:p w14:paraId="4E5B46F9"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±0.81</w:t>
            </w:r>
          </w:p>
        </w:tc>
        <w:tc>
          <w:tcPr>
            <w:tcW w:w="1170" w:type="dxa"/>
            <w:shd w:val="clear" w:color="auto" w:fill="auto"/>
            <w:noWrap/>
          </w:tcPr>
          <w:p w14:paraId="1EBE8E68"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-3.14E-05</w:t>
            </w:r>
          </w:p>
          <w:p w14:paraId="0F69FE5B"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±1.10E-03</w:t>
            </w:r>
          </w:p>
        </w:tc>
        <w:tc>
          <w:tcPr>
            <w:tcW w:w="450" w:type="dxa"/>
            <w:shd w:val="clear" w:color="auto" w:fill="auto"/>
            <w:noWrap/>
            <w:vAlign w:val="bottom"/>
          </w:tcPr>
          <w:p w14:paraId="704FA2FA"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shd w:val="clear" w:color="auto" w:fill="auto"/>
            <w:noWrap/>
            <w:vAlign w:val="bottom"/>
          </w:tcPr>
          <w:p w14:paraId="3A2C3A52"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0.1963±0.0060</w:t>
            </w:r>
          </w:p>
        </w:tc>
        <w:tc>
          <w:tcPr>
            <w:tcW w:w="630" w:type="dxa"/>
            <w:shd w:val="clear" w:color="auto" w:fill="auto"/>
            <w:noWrap/>
            <w:vAlign w:val="bottom"/>
          </w:tcPr>
          <w:p w14:paraId="4DC62C09"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900" w:type="dxa"/>
            <w:shd w:val="clear" w:color="auto" w:fill="auto"/>
            <w:noWrap/>
            <w:vAlign w:val="bottom"/>
          </w:tcPr>
          <w:p w14:paraId="469443B7"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4.17±0.65</w:t>
            </w:r>
          </w:p>
        </w:tc>
        <w:tc>
          <w:tcPr>
            <w:tcW w:w="1080" w:type="dxa"/>
            <w:shd w:val="clear" w:color="auto" w:fill="auto"/>
          </w:tcPr>
          <w:p w14:paraId="40F69348"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-1.13E-04</w:t>
            </w:r>
          </w:p>
          <w:p w14:paraId="4E7CF5CA"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±9.36E-04</w:t>
            </w:r>
          </w:p>
        </w:tc>
        <w:tc>
          <w:tcPr>
            <w:tcW w:w="360" w:type="dxa"/>
            <w:shd w:val="clear" w:color="auto" w:fill="auto"/>
            <w:noWrap/>
            <w:vAlign w:val="bottom"/>
          </w:tcPr>
          <w:p w14:paraId="2AEE2EE9"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shd w:val="clear" w:color="auto" w:fill="auto"/>
            <w:noWrap/>
            <w:vAlign w:val="bottom"/>
          </w:tcPr>
          <w:p w14:paraId="0E8A6309"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0.296</w:t>
            </w:r>
          </w:p>
          <w:p w14:paraId="6E060132"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±0.004</w:t>
            </w:r>
          </w:p>
        </w:tc>
        <w:tc>
          <w:tcPr>
            <w:tcW w:w="810" w:type="dxa"/>
            <w:shd w:val="clear" w:color="auto" w:fill="auto"/>
            <w:noWrap/>
            <w:vAlign w:val="bottom"/>
          </w:tcPr>
          <w:p w14:paraId="7768CC74"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r>
      <w:tr w:rsidR="008802C8" w:rsidRPr="00B65D87" w14:paraId="69BB7A13" w14:textId="77777777">
        <w:trPr>
          <w:trHeight w:val="260"/>
        </w:trPr>
        <w:tc>
          <w:tcPr>
            <w:tcW w:w="1006" w:type="dxa"/>
            <w:tcBorders>
              <w:bottom w:val="single" w:sz="4" w:space="0" w:color="auto"/>
            </w:tcBorders>
            <w:shd w:val="clear" w:color="auto" w:fill="auto"/>
            <w:noWrap/>
            <w:vAlign w:val="bottom"/>
          </w:tcPr>
          <w:p w14:paraId="4982DF83" w14:textId="77777777" w:rsidR="008802C8" w:rsidRPr="00B65D87" w:rsidRDefault="008802C8" w:rsidP="001729C6">
            <w:pPr>
              <w:rPr>
                <w:rFonts w:ascii="Times New Roman" w:hAnsi="Times New Roman" w:cs="Times New Roman"/>
                <w:sz w:val="16"/>
                <w:szCs w:val="20"/>
              </w:rPr>
            </w:pPr>
          </w:p>
        </w:tc>
        <w:tc>
          <w:tcPr>
            <w:tcW w:w="540" w:type="dxa"/>
            <w:gridSpan w:val="2"/>
            <w:tcBorders>
              <w:bottom w:val="single" w:sz="4" w:space="0" w:color="auto"/>
            </w:tcBorders>
            <w:shd w:val="clear" w:color="auto" w:fill="auto"/>
            <w:noWrap/>
            <w:vAlign w:val="bottom"/>
          </w:tcPr>
          <w:p w14:paraId="3CC57BF5" w14:textId="77777777" w:rsidR="008802C8" w:rsidRPr="00B65D87" w:rsidRDefault="008802C8" w:rsidP="001729C6">
            <w:pPr>
              <w:rPr>
                <w:rFonts w:ascii="Times New Roman" w:hAnsi="Times New Roman" w:cs="Times New Roman"/>
                <w:sz w:val="16"/>
                <w:szCs w:val="20"/>
              </w:rPr>
            </w:pPr>
          </w:p>
        </w:tc>
        <w:tc>
          <w:tcPr>
            <w:tcW w:w="450" w:type="dxa"/>
            <w:gridSpan w:val="2"/>
            <w:tcBorders>
              <w:bottom w:val="single" w:sz="4" w:space="0" w:color="auto"/>
            </w:tcBorders>
            <w:shd w:val="clear" w:color="auto" w:fill="auto"/>
            <w:noWrap/>
            <w:vAlign w:val="bottom"/>
          </w:tcPr>
          <w:p w14:paraId="7F3137E6" w14:textId="77777777" w:rsidR="008802C8" w:rsidRPr="00B65D87" w:rsidRDefault="008802C8" w:rsidP="001729C6">
            <w:pPr>
              <w:rPr>
                <w:rFonts w:ascii="Times New Roman" w:hAnsi="Times New Roman" w:cs="Times New Roman"/>
                <w:sz w:val="16"/>
                <w:szCs w:val="20"/>
              </w:rPr>
            </w:pPr>
          </w:p>
        </w:tc>
        <w:tc>
          <w:tcPr>
            <w:tcW w:w="810" w:type="dxa"/>
            <w:tcBorders>
              <w:bottom w:val="single" w:sz="4" w:space="0" w:color="auto"/>
            </w:tcBorders>
            <w:shd w:val="clear" w:color="auto" w:fill="auto"/>
            <w:noWrap/>
            <w:vAlign w:val="bottom"/>
          </w:tcPr>
          <w:p w14:paraId="1E3A60DA" w14:textId="77777777" w:rsidR="008802C8" w:rsidRPr="00B65D87" w:rsidRDefault="008802C8">
            <w:pPr>
              <w:rPr>
                <w:rFonts w:ascii="Times New Roman" w:hAnsi="Times New Roman" w:cs="Times New Roman"/>
                <w:sz w:val="16"/>
                <w:szCs w:val="16"/>
              </w:rPr>
            </w:pPr>
          </w:p>
        </w:tc>
        <w:tc>
          <w:tcPr>
            <w:tcW w:w="900" w:type="dxa"/>
            <w:tcBorders>
              <w:bottom w:val="single" w:sz="4" w:space="0" w:color="auto"/>
            </w:tcBorders>
            <w:shd w:val="clear" w:color="auto" w:fill="auto"/>
            <w:noWrap/>
          </w:tcPr>
          <w:p w14:paraId="40A24D0F" w14:textId="77777777" w:rsidR="008802C8" w:rsidRPr="00B65D87" w:rsidRDefault="008802C8">
            <w:pPr>
              <w:rPr>
                <w:rFonts w:ascii="Times New Roman" w:hAnsi="Times New Roman" w:cs="Times New Roman"/>
                <w:sz w:val="16"/>
              </w:rPr>
            </w:pPr>
          </w:p>
        </w:tc>
        <w:tc>
          <w:tcPr>
            <w:tcW w:w="270" w:type="dxa"/>
            <w:tcBorders>
              <w:bottom w:val="single" w:sz="4" w:space="0" w:color="auto"/>
            </w:tcBorders>
            <w:shd w:val="clear" w:color="auto" w:fill="auto"/>
            <w:noWrap/>
            <w:vAlign w:val="bottom"/>
          </w:tcPr>
          <w:p w14:paraId="2D730554" w14:textId="77777777" w:rsidR="008802C8" w:rsidRPr="00B65D87" w:rsidRDefault="008802C8">
            <w:pPr>
              <w:rPr>
                <w:rFonts w:ascii="Times New Roman" w:hAnsi="Times New Roman" w:cs="Times New Roman"/>
                <w:sz w:val="16"/>
                <w:szCs w:val="16"/>
              </w:rPr>
            </w:pPr>
          </w:p>
        </w:tc>
        <w:tc>
          <w:tcPr>
            <w:tcW w:w="990" w:type="dxa"/>
            <w:tcBorders>
              <w:bottom w:val="single" w:sz="4" w:space="0" w:color="auto"/>
            </w:tcBorders>
            <w:shd w:val="clear" w:color="auto" w:fill="auto"/>
            <w:noWrap/>
            <w:vAlign w:val="bottom"/>
          </w:tcPr>
          <w:p w14:paraId="30A028EE" w14:textId="77777777" w:rsidR="008802C8" w:rsidRPr="00B65D87" w:rsidRDefault="008802C8">
            <w:pPr>
              <w:rPr>
                <w:rFonts w:ascii="Times New Roman" w:hAnsi="Times New Roman" w:cs="Times New Roman"/>
                <w:sz w:val="16"/>
                <w:szCs w:val="16"/>
              </w:rPr>
            </w:pPr>
          </w:p>
        </w:tc>
        <w:tc>
          <w:tcPr>
            <w:tcW w:w="810" w:type="dxa"/>
            <w:tcBorders>
              <w:bottom w:val="single" w:sz="4" w:space="0" w:color="auto"/>
            </w:tcBorders>
            <w:shd w:val="clear" w:color="auto" w:fill="auto"/>
            <w:noWrap/>
            <w:vAlign w:val="bottom"/>
          </w:tcPr>
          <w:p w14:paraId="0B4EFBE5" w14:textId="77777777" w:rsidR="008802C8" w:rsidRPr="00B65D87" w:rsidRDefault="008802C8">
            <w:pPr>
              <w:rPr>
                <w:rFonts w:ascii="Times New Roman" w:hAnsi="Times New Roman" w:cs="Times New Roman"/>
                <w:sz w:val="16"/>
                <w:szCs w:val="16"/>
              </w:rPr>
            </w:pPr>
          </w:p>
        </w:tc>
        <w:tc>
          <w:tcPr>
            <w:tcW w:w="1170" w:type="dxa"/>
            <w:tcBorders>
              <w:bottom w:val="single" w:sz="4" w:space="0" w:color="auto"/>
            </w:tcBorders>
            <w:shd w:val="clear" w:color="auto" w:fill="auto"/>
            <w:noWrap/>
          </w:tcPr>
          <w:p w14:paraId="702233F7" w14:textId="77777777" w:rsidR="008802C8" w:rsidRPr="00B65D87" w:rsidRDefault="008802C8">
            <w:pPr>
              <w:rPr>
                <w:rFonts w:ascii="Times New Roman" w:hAnsi="Times New Roman" w:cs="Times New Roman"/>
                <w:sz w:val="16"/>
              </w:rPr>
            </w:pPr>
          </w:p>
        </w:tc>
        <w:tc>
          <w:tcPr>
            <w:tcW w:w="450" w:type="dxa"/>
            <w:tcBorders>
              <w:bottom w:val="single" w:sz="4" w:space="0" w:color="auto"/>
            </w:tcBorders>
            <w:shd w:val="clear" w:color="auto" w:fill="auto"/>
            <w:noWrap/>
            <w:vAlign w:val="bottom"/>
          </w:tcPr>
          <w:p w14:paraId="6B307846" w14:textId="77777777" w:rsidR="008802C8" w:rsidRPr="00B65D87" w:rsidRDefault="008802C8" w:rsidP="001729C6">
            <w:pPr>
              <w:rPr>
                <w:rFonts w:ascii="Times New Roman" w:hAnsi="Times New Roman" w:cs="Times New Roman"/>
                <w:sz w:val="16"/>
                <w:szCs w:val="20"/>
              </w:rPr>
            </w:pPr>
          </w:p>
        </w:tc>
        <w:tc>
          <w:tcPr>
            <w:tcW w:w="810" w:type="dxa"/>
            <w:tcBorders>
              <w:bottom w:val="single" w:sz="4" w:space="0" w:color="auto"/>
            </w:tcBorders>
            <w:shd w:val="clear" w:color="auto" w:fill="auto"/>
            <w:noWrap/>
            <w:vAlign w:val="bottom"/>
          </w:tcPr>
          <w:p w14:paraId="3D8304D9" w14:textId="77777777" w:rsidR="008802C8" w:rsidRPr="00B65D87" w:rsidRDefault="008802C8">
            <w:pPr>
              <w:rPr>
                <w:rFonts w:ascii="Times New Roman" w:hAnsi="Times New Roman" w:cs="Times New Roman"/>
                <w:sz w:val="16"/>
                <w:szCs w:val="16"/>
              </w:rPr>
            </w:pPr>
          </w:p>
        </w:tc>
        <w:tc>
          <w:tcPr>
            <w:tcW w:w="630" w:type="dxa"/>
            <w:tcBorders>
              <w:bottom w:val="single" w:sz="4" w:space="0" w:color="auto"/>
            </w:tcBorders>
            <w:shd w:val="clear" w:color="auto" w:fill="auto"/>
            <w:noWrap/>
            <w:vAlign w:val="bottom"/>
          </w:tcPr>
          <w:p w14:paraId="665DD691" w14:textId="77777777" w:rsidR="008802C8" w:rsidRPr="00B65D87" w:rsidRDefault="008802C8" w:rsidP="001729C6">
            <w:pPr>
              <w:rPr>
                <w:rFonts w:ascii="Times New Roman" w:hAnsi="Times New Roman" w:cs="Times New Roman"/>
                <w:sz w:val="16"/>
                <w:szCs w:val="20"/>
              </w:rPr>
            </w:pPr>
          </w:p>
        </w:tc>
        <w:tc>
          <w:tcPr>
            <w:tcW w:w="900" w:type="dxa"/>
            <w:tcBorders>
              <w:bottom w:val="single" w:sz="4" w:space="0" w:color="auto"/>
            </w:tcBorders>
            <w:shd w:val="clear" w:color="auto" w:fill="auto"/>
            <w:noWrap/>
            <w:vAlign w:val="bottom"/>
          </w:tcPr>
          <w:p w14:paraId="38FD5B6F" w14:textId="77777777" w:rsidR="008802C8" w:rsidRPr="00B65D87" w:rsidRDefault="008802C8">
            <w:pPr>
              <w:rPr>
                <w:rFonts w:ascii="Times New Roman" w:hAnsi="Times New Roman" w:cs="Times New Roman"/>
                <w:sz w:val="16"/>
                <w:szCs w:val="16"/>
              </w:rPr>
            </w:pPr>
          </w:p>
        </w:tc>
        <w:tc>
          <w:tcPr>
            <w:tcW w:w="1080" w:type="dxa"/>
            <w:tcBorders>
              <w:bottom w:val="single" w:sz="4" w:space="0" w:color="auto"/>
            </w:tcBorders>
            <w:shd w:val="clear" w:color="auto" w:fill="auto"/>
            <w:noWrap/>
          </w:tcPr>
          <w:p w14:paraId="6AA9743C" w14:textId="77777777" w:rsidR="008802C8" w:rsidRPr="00B65D87" w:rsidRDefault="008802C8">
            <w:pPr>
              <w:rPr>
                <w:rFonts w:ascii="Times New Roman" w:hAnsi="Times New Roman" w:cs="Times New Roman"/>
                <w:sz w:val="16"/>
              </w:rPr>
            </w:pPr>
          </w:p>
        </w:tc>
        <w:tc>
          <w:tcPr>
            <w:tcW w:w="360" w:type="dxa"/>
            <w:tcBorders>
              <w:bottom w:val="single" w:sz="4" w:space="0" w:color="auto"/>
            </w:tcBorders>
            <w:shd w:val="clear" w:color="auto" w:fill="auto"/>
            <w:noWrap/>
            <w:vAlign w:val="bottom"/>
          </w:tcPr>
          <w:p w14:paraId="01DD0382" w14:textId="77777777" w:rsidR="008802C8" w:rsidRPr="00B65D87" w:rsidRDefault="008802C8" w:rsidP="001729C6">
            <w:pPr>
              <w:rPr>
                <w:rFonts w:ascii="Times New Roman" w:hAnsi="Times New Roman" w:cs="Times New Roman"/>
                <w:sz w:val="16"/>
                <w:szCs w:val="20"/>
              </w:rPr>
            </w:pPr>
          </w:p>
        </w:tc>
        <w:tc>
          <w:tcPr>
            <w:tcW w:w="810" w:type="dxa"/>
            <w:tcBorders>
              <w:bottom w:val="single" w:sz="4" w:space="0" w:color="auto"/>
            </w:tcBorders>
            <w:shd w:val="clear" w:color="auto" w:fill="auto"/>
            <w:noWrap/>
            <w:vAlign w:val="bottom"/>
          </w:tcPr>
          <w:p w14:paraId="16DC404F" w14:textId="77777777" w:rsidR="008802C8" w:rsidRPr="00B65D87" w:rsidRDefault="008802C8">
            <w:pPr>
              <w:rPr>
                <w:rFonts w:ascii="Times New Roman" w:hAnsi="Times New Roman" w:cs="Times New Roman"/>
                <w:sz w:val="16"/>
                <w:szCs w:val="16"/>
              </w:rPr>
            </w:pPr>
          </w:p>
        </w:tc>
        <w:tc>
          <w:tcPr>
            <w:tcW w:w="810" w:type="dxa"/>
            <w:tcBorders>
              <w:bottom w:val="single" w:sz="4" w:space="0" w:color="auto"/>
            </w:tcBorders>
            <w:shd w:val="clear" w:color="auto" w:fill="auto"/>
            <w:noWrap/>
            <w:vAlign w:val="bottom"/>
          </w:tcPr>
          <w:p w14:paraId="1A9BE561" w14:textId="77777777" w:rsidR="008802C8" w:rsidRPr="00B65D87" w:rsidRDefault="008802C8" w:rsidP="001729C6">
            <w:pPr>
              <w:rPr>
                <w:rFonts w:ascii="Times New Roman" w:hAnsi="Times New Roman" w:cs="Times New Roman"/>
                <w:sz w:val="16"/>
                <w:szCs w:val="20"/>
              </w:rPr>
            </w:pPr>
          </w:p>
        </w:tc>
      </w:tr>
      <w:tr w:rsidR="008802C8" w:rsidRPr="00B65D87" w14:paraId="1A972FE8" w14:textId="77777777">
        <w:trPr>
          <w:trHeight w:val="260"/>
        </w:trPr>
        <w:tc>
          <w:tcPr>
            <w:tcW w:w="1996" w:type="dxa"/>
            <w:gridSpan w:val="5"/>
            <w:tcBorders>
              <w:top w:val="single" w:sz="4" w:space="0" w:color="auto"/>
              <w:bottom w:val="single" w:sz="4" w:space="0" w:color="auto"/>
              <w:right w:val="nil"/>
            </w:tcBorders>
            <w:shd w:val="clear" w:color="auto" w:fill="auto"/>
            <w:noWrap/>
            <w:vAlign w:val="bottom"/>
          </w:tcPr>
          <w:p w14:paraId="584721D0"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Module 1 submodules</w:t>
            </w:r>
          </w:p>
        </w:tc>
        <w:tc>
          <w:tcPr>
            <w:tcW w:w="810" w:type="dxa"/>
            <w:tcBorders>
              <w:top w:val="single" w:sz="4" w:space="0" w:color="auto"/>
              <w:left w:val="nil"/>
              <w:bottom w:val="single" w:sz="4" w:space="0" w:color="auto"/>
              <w:right w:val="nil"/>
            </w:tcBorders>
            <w:shd w:val="clear" w:color="auto" w:fill="auto"/>
            <w:noWrap/>
            <w:vAlign w:val="bottom"/>
          </w:tcPr>
          <w:p w14:paraId="3BE90C84" w14:textId="77777777" w:rsidR="008802C8" w:rsidRPr="00B65D87" w:rsidRDefault="008802C8" w:rsidP="001729C6">
            <w:pPr>
              <w:rPr>
                <w:rFonts w:ascii="Times New Roman" w:hAnsi="Times New Roman" w:cs="Times New Roman"/>
                <w:sz w:val="16"/>
                <w:szCs w:val="20"/>
              </w:rPr>
            </w:pPr>
          </w:p>
        </w:tc>
        <w:tc>
          <w:tcPr>
            <w:tcW w:w="900" w:type="dxa"/>
            <w:tcBorders>
              <w:top w:val="single" w:sz="4" w:space="0" w:color="auto"/>
              <w:left w:val="nil"/>
              <w:bottom w:val="single" w:sz="4" w:space="0" w:color="auto"/>
              <w:right w:val="nil"/>
            </w:tcBorders>
            <w:shd w:val="clear" w:color="auto" w:fill="auto"/>
            <w:noWrap/>
            <w:vAlign w:val="bottom"/>
          </w:tcPr>
          <w:p w14:paraId="769209A1" w14:textId="77777777" w:rsidR="008802C8" w:rsidRPr="00B65D87" w:rsidRDefault="008802C8" w:rsidP="001729C6">
            <w:pPr>
              <w:rPr>
                <w:rFonts w:ascii="Times New Roman" w:hAnsi="Times New Roman" w:cs="Times New Roman"/>
                <w:sz w:val="16"/>
                <w:szCs w:val="20"/>
              </w:rPr>
            </w:pPr>
          </w:p>
        </w:tc>
        <w:tc>
          <w:tcPr>
            <w:tcW w:w="270" w:type="dxa"/>
            <w:tcBorders>
              <w:top w:val="single" w:sz="4" w:space="0" w:color="auto"/>
              <w:left w:val="nil"/>
              <w:bottom w:val="single" w:sz="4" w:space="0" w:color="auto"/>
              <w:right w:val="nil"/>
            </w:tcBorders>
            <w:shd w:val="clear" w:color="auto" w:fill="auto"/>
            <w:noWrap/>
            <w:vAlign w:val="bottom"/>
          </w:tcPr>
          <w:p w14:paraId="5B8851FC" w14:textId="77777777" w:rsidR="008802C8" w:rsidRPr="00B65D87" w:rsidRDefault="008802C8">
            <w:pPr>
              <w:rPr>
                <w:rFonts w:ascii="Times New Roman" w:hAnsi="Times New Roman" w:cs="Times New Roman"/>
                <w:sz w:val="16"/>
                <w:szCs w:val="16"/>
              </w:rPr>
            </w:pPr>
          </w:p>
        </w:tc>
        <w:tc>
          <w:tcPr>
            <w:tcW w:w="990" w:type="dxa"/>
            <w:tcBorders>
              <w:top w:val="single" w:sz="4" w:space="0" w:color="auto"/>
              <w:left w:val="nil"/>
              <w:bottom w:val="single" w:sz="4" w:space="0" w:color="auto"/>
              <w:right w:val="nil"/>
            </w:tcBorders>
            <w:shd w:val="clear" w:color="auto" w:fill="auto"/>
            <w:noWrap/>
          </w:tcPr>
          <w:p w14:paraId="17BE0AFD" w14:textId="77777777" w:rsidR="008802C8" w:rsidRPr="00B65D87" w:rsidRDefault="008802C8">
            <w:pPr>
              <w:rPr>
                <w:rFonts w:ascii="Times New Roman" w:hAnsi="Times New Roman" w:cs="Times New Roman"/>
              </w:rPr>
            </w:pPr>
          </w:p>
        </w:tc>
        <w:tc>
          <w:tcPr>
            <w:tcW w:w="810" w:type="dxa"/>
            <w:tcBorders>
              <w:top w:val="single" w:sz="4" w:space="0" w:color="auto"/>
              <w:left w:val="nil"/>
              <w:bottom w:val="single" w:sz="4" w:space="0" w:color="auto"/>
              <w:right w:val="nil"/>
            </w:tcBorders>
            <w:shd w:val="clear" w:color="auto" w:fill="auto"/>
            <w:noWrap/>
            <w:vAlign w:val="bottom"/>
          </w:tcPr>
          <w:p w14:paraId="70B84899" w14:textId="77777777" w:rsidR="008802C8" w:rsidRPr="00B65D87" w:rsidRDefault="008802C8">
            <w:pPr>
              <w:rPr>
                <w:rFonts w:ascii="Times New Roman" w:hAnsi="Times New Roman" w:cs="Times New Roman"/>
                <w:sz w:val="16"/>
                <w:szCs w:val="16"/>
              </w:rPr>
            </w:pPr>
          </w:p>
        </w:tc>
        <w:tc>
          <w:tcPr>
            <w:tcW w:w="1170" w:type="dxa"/>
            <w:tcBorders>
              <w:top w:val="single" w:sz="4" w:space="0" w:color="auto"/>
              <w:left w:val="nil"/>
              <w:bottom w:val="single" w:sz="4" w:space="0" w:color="auto"/>
              <w:right w:val="nil"/>
            </w:tcBorders>
            <w:shd w:val="clear" w:color="auto" w:fill="auto"/>
            <w:noWrap/>
            <w:vAlign w:val="bottom"/>
          </w:tcPr>
          <w:p w14:paraId="68C61ABA" w14:textId="77777777" w:rsidR="008802C8" w:rsidRPr="00B65D87" w:rsidRDefault="008802C8">
            <w:pPr>
              <w:rPr>
                <w:rFonts w:ascii="Times New Roman" w:hAnsi="Times New Roman" w:cs="Times New Roman"/>
                <w:sz w:val="16"/>
                <w:szCs w:val="16"/>
              </w:rPr>
            </w:pPr>
          </w:p>
        </w:tc>
        <w:tc>
          <w:tcPr>
            <w:tcW w:w="450" w:type="dxa"/>
            <w:tcBorders>
              <w:top w:val="single" w:sz="4" w:space="0" w:color="auto"/>
              <w:left w:val="nil"/>
              <w:bottom w:val="single" w:sz="4" w:space="0" w:color="auto"/>
              <w:right w:val="nil"/>
            </w:tcBorders>
            <w:shd w:val="clear" w:color="auto" w:fill="auto"/>
            <w:noWrap/>
            <w:vAlign w:val="bottom"/>
          </w:tcPr>
          <w:p w14:paraId="12FC493C" w14:textId="77777777" w:rsidR="008802C8" w:rsidRPr="00B65D87" w:rsidRDefault="008802C8">
            <w:pPr>
              <w:rPr>
                <w:rFonts w:ascii="Times New Roman" w:hAnsi="Times New Roman" w:cs="Times New Roman"/>
                <w:sz w:val="16"/>
                <w:szCs w:val="16"/>
              </w:rPr>
            </w:pPr>
          </w:p>
        </w:tc>
        <w:tc>
          <w:tcPr>
            <w:tcW w:w="810" w:type="dxa"/>
            <w:tcBorders>
              <w:top w:val="single" w:sz="4" w:space="0" w:color="auto"/>
              <w:left w:val="nil"/>
              <w:bottom w:val="single" w:sz="4" w:space="0" w:color="auto"/>
              <w:right w:val="nil"/>
            </w:tcBorders>
            <w:shd w:val="clear" w:color="auto" w:fill="auto"/>
            <w:noWrap/>
          </w:tcPr>
          <w:p w14:paraId="73923958" w14:textId="77777777" w:rsidR="008802C8" w:rsidRPr="00B65D87" w:rsidRDefault="008802C8">
            <w:pPr>
              <w:rPr>
                <w:rFonts w:ascii="Times New Roman" w:hAnsi="Times New Roman" w:cs="Times New Roman"/>
              </w:rPr>
            </w:pPr>
          </w:p>
        </w:tc>
        <w:tc>
          <w:tcPr>
            <w:tcW w:w="630" w:type="dxa"/>
            <w:tcBorders>
              <w:top w:val="single" w:sz="4" w:space="0" w:color="auto"/>
              <w:left w:val="nil"/>
              <w:bottom w:val="single" w:sz="4" w:space="0" w:color="auto"/>
              <w:right w:val="nil"/>
            </w:tcBorders>
            <w:shd w:val="clear" w:color="auto" w:fill="auto"/>
            <w:noWrap/>
            <w:vAlign w:val="bottom"/>
          </w:tcPr>
          <w:p w14:paraId="4BAEC7CC" w14:textId="77777777" w:rsidR="008802C8" w:rsidRPr="00B65D87" w:rsidRDefault="008802C8" w:rsidP="001729C6">
            <w:pPr>
              <w:rPr>
                <w:rFonts w:ascii="Times New Roman" w:hAnsi="Times New Roman" w:cs="Times New Roman"/>
                <w:sz w:val="16"/>
                <w:szCs w:val="20"/>
              </w:rPr>
            </w:pPr>
          </w:p>
        </w:tc>
        <w:tc>
          <w:tcPr>
            <w:tcW w:w="900" w:type="dxa"/>
            <w:tcBorders>
              <w:top w:val="single" w:sz="4" w:space="0" w:color="auto"/>
              <w:left w:val="nil"/>
              <w:bottom w:val="single" w:sz="4" w:space="0" w:color="auto"/>
              <w:right w:val="nil"/>
            </w:tcBorders>
            <w:shd w:val="clear" w:color="auto" w:fill="auto"/>
            <w:noWrap/>
            <w:vAlign w:val="bottom"/>
          </w:tcPr>
          <w:p w14:paraId="0B33CD6E" w14:textId="77777777" w:rsidR="008802C8" w:rsidRPr="00B65D87" w:rsidRDefault="008802C8">
            <w:pPr>
              <w:rPr>
                <w:rFonts w:ascii="Times New Roman" w:hAnsi="Times New Roman" w:cs="Times New Roman"/>
                <w:sz w:val="16"/>
                <w:szCs w:val="16"/>
              </w:rPr>
            </w:pPr>
          </w:p>
        </w:tc>
        <w:tc>
          <w:tcPr>
            <w:tcW w:w="1080" w:type="dxa"/>
            <w:tcBorders>
              <w:top w:val="single" w:sz="4" w:space="0" w:color="auto"/>
              <w:left w:val="nil"/>
              <w:bottom w:val="single" w:sz="4" w:space="0" w:color="auto"/>
              <w:right w:val="nil"/>
            </w:tcBorders>
            <w:shd w:val="clear" w:color="auto" w:fill="auto"/>
            <w:noWrap/>
            <w:vAlign w:val="bottom"/>
          </w:tcPr>
          <w:p w14:paraId="5D5CB326" w14:textId="77777777" w:rsidR="008802C8" w:rsidRPr="00B65D87" w:rsidRDefault="008802C8" w:rsidP="001729C6">
            <w:pPr>
              <w:rPr>
                <w:rFonts w:ascii="Times New Roman" w:hAnsi="Times New Roman" w:cs="Times New Roman"/>
                <w:sz w:val="16"/>
                <w:szCs w:val="20"/>
              </w:rPr>
            </w:pPr>
          </w:p>
        </w:tc>
        <w:tc>
          <w:tcPr>
            <w:tcW w:w="360" w:type="dxa"/>
            <w:tcBorders>
              <w:top w:val="single" w:sz="4" w:space="0" w:color="auto"/>
              <w:left w:val="nil"/>
              <w:bottom w:val="single" w:sz="4" w:space="0" w:color="auto"/>
              <w:right w:val="nil"/>
            </w:tcBorders>
            <w:shd w:val="clear" w:color="auto" w:fill="auto"/>
            <w:noWrap/>
            <w:vAlign w:val="bottom"/>
          </w:tcPr>
          <w:p w14:paraId="4851AFDE" w14:textId="77777777" w:rsidR="008802C8" w:rsidRPr="00B65D87" w:rsidRDefault="008802C8">
            <w:pPr>
              <w:rPr>
                <w:rFonts w:ascii="Times New Roman" w:hAnsi="Times New Roman" w:cs="Times New Roman"/>
                <w:sz w:val="16"/>
                <w:szCs w:val="16"/>
              </w:rPr>
            </w:pPr>
          </w:p>
        </w:tc>
        <w:tc>
          <w:tcPr>
            <w:tcW w:w="810" w:type="dxa"/>
            <w:tcBorders>
              <w:top w:val="single" w:sz="4" w:space="0" w:color="auto"/>
              <w:left w:val="nil"/>
              <w:bottom w:val="single" w:sz="4" w:space="0" w:color="auto"/>
              <w:right w:val="nil"/>
            </w:tcBorders>
            <w:shd w:val="clear" w:color="auto" w:fill="auto"/>
            <w:noWrap/>
          </w:tcPr>
          <w:p w14:paraId="00D4A32E" w14:textId="77777777" w:rsidR="008802C8" w:rsidRPr="00B65D87" w:rsidRDefault="008802C8">
            <w:pPr>
              <w:rPr>
                <w:rFonts w:ascii="Times New Roman" w:hAnsi="Times New Roman" w:cs="Times New Roman"/>
              </w:rPr>
            </w:pPr>
          </w:p>
        </w:tc>
        <w:tc>
          <w:tcPr>
            <w:tcW w:w="810" w:type="dxa"/>
            <w:tcBorders>
              <w:top w:val="single" w:sz="4" w:space="0" w:color="auto"/>
              <w:left w:val="nil"/>
              <w:bottom w:val="single" w:sz="4" w:space="0" w:color="auto"/>
            </w:tcBorders>
            <w:shd w:val="clear" w:color="auto" w:fill="auto"/>
            <w:noWrap/>
            <w:vAlign w:val="bottom"/>
          </w:tcPr>
          <w:p w14:paraId="7884D2C8" w14:textId="77777777" w:rsidR="008802C8" w:rsidRPr="00B65D87" w:rsidRDefault="008802C8" w:rsidP="001729C6">
            <w:pPr>
              <w:rPr>
                <w:rFonts w:ascii="Times New Roman" w:hAnsi="Times New Roman" w:cs="Times New Roman"/>
                <w:sz w:val="16"/>
                <w:szCs w:val="20"/>
              </w:rPr>
            </w:pPr>
          </w:p>
        </w:tc>
      </w:tr>
      <w:tr w:rsidR="008802C8" w:rsidRPr="00B65D87" w14:paraId="188B9109" w14:textId="77777777">
        <w:trPr>
          <w:trHeight w:val="450"/>
        </w:trPr>
        <w:tc>
          <w:tcPr>
            <w:tcW w:w="1006" w:type="dxa"/>
            <w:tcBorders>
              <w:top w:val="single" w:sz="4" w:space="0" w:color="auto"/>
            </w:tcBorders>
            <w:shd w:val="clear" w:color="auto" w:fill="auto"/>
            <w:noWrap/>
            <w:vAlign w:val="bottom"/>
          </w:tcPr>
          <w:p w14:paraId="35158FDA"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KR</w:t>
            </w:r>
          </w:p>
        </w:tc>
        <w:tc>
          <w:tcPr>
            <w:tcW w:w="540" w:type="dxa"/>
            <w:gridSpan w:val="2"/>
            <w:tcBorders>
              <w:top w:val="single" w:sz="4" w:space="0" w:color="auto"/>
            </w:tcBorders>
            <w:shd w:val="clear" w:color="auto" w:fill="auto"/>
            <w:noWrap/>
            <w:vAlign w:val="bottom"/>
          </w:tcPr>
          <w:p w14:paraId="173C7D5B"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45</w:t>
            </w:r>
          </w:p>
        </w:tc>
        <w:tc>
          <w:tcPr>
            <w:tcW w:w="450" w:type="dxa"/>
            <w:gridSpan w:val="2"/>
            <w:tcBorders>
              <w:top w:val="single" w:sz="4" w:space="0" w:color="auto"/>
            </w:tcBorders>
            <w:shd w:val="clear" w:color="auto" w:fill="auto"/>
            <w:noWrap/>
            <w:vAlign w:val="bottom"/>
          </w:tcPr>
          <w:p w14:paraId="06A1D9C3"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w:t>
            </w:r>
          </w:p>
        </w:tc>
        <w:tc>
          <w:tcPr>
            <w:tcW w:w="810" w:type="dxa"/>
            <w:tcBorders>
              <w:top w:val="single" w:sz="4" w:space="0" w:color="auto"/>
            </w:tcBorders>
            <w:shd w:val="clear" w:color="auto" w:fill="auto"/>
            <w:noWrap/>
            <w:vAlign w:val="bottom"/>
          </w:tcPr>
          <w:p w14:paraId="0A2BCF2E"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0.387</w:t>
            </w:r>
          </w:p>
        </w:tc>
        <w:tc>
          <w:tcPr>
            <w:tcW w:w="900" w:type="dxa"/>
            <w:tcBorders>
              <w:top w:val="single" w:sz="4" w:space="0" w:color="auto"/>
            </w:tcBorders>
            <w:shd w:val="clear" w:color="auto" w:fill="auto"/>
            <w:noWrap/>
          </w:tcPr>
          <w:p w14:paraId="4DB7DA2C"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0.210</w:t>
            </w:r>
          </w:p>
          <w:p w14:paraId="2139A83F"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±0.002</w:t>
            </w:r>
          </w:p>
        </w:tc>
        <w:tc>
          <w:tcPr>
            <w:tcW w:w="270" w:type="dxa"/>
            <w:tcBorders>
              <w:top w:val="single" w:sz="4" w:space="0" w:color="auto"/>
            </w:tcBorders>
            <w:shd w:val="clear" w:color="auto" w:fill="auto"/>
            <w:noWrap/>
            <w:vAlign w:val="bottom"/>
          </w:tcPr>
          <w:p w14:paraId="3BF83FB2"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3</w:t>
            </w:r>
          </w:p>
        </w:tc>
        <w:tc>
          <w:tcPr>
            <w:tcW w:w="990" w:type="dxa"/>
            <w:tcBorders>
              <w:top w:val="single" w:sz="4" w:space="0" w:color="auto"/>
            </w:tcBorders>
            <w:shd w:val="clear" w:color="auto" w:fill="auto"/>
            <w:noWrap/>
            <w:vAlign w:val="bottom"/>
          </w:tcPr>
          <w:p w14:paraId="3DB05C17"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26.7±2.3</w:t>
            </w:r>
          </w:p>
        </w:tc>
        <w:tc>
          <w:tcPr>
            <w:tcW w:w="810" w:type="dxa"/>
            <w:tcBorders>
              <w:top w:val="single" w:sz="4" w:space="0" w:color="auto"/>
            </w:tcBorders>
            <w:shd w:val="clear" w:color="auto" w:fill="auto"/>
            <w:noWrap/>
            <w:vAlign w:val="bottom"/>
          </w:tcPr>
          <w:p w14:paraId="31C9C2B0"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5.11</w:t>
            </w:r>
          </w:p>
          <w:p w14:paraId="243E95BB"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±0.71</w:t>
            </w:r>
          </w:p>
        </w:tc>
        <w:tc>
          <w:tcPr>
            <w:tcW w:w="1170" w:type="dxa"/>
            <w:tcBorders>
              <w:top w:val="single" w:sz="4" w:space="0" w:color="auto"/>
            </w:tcBorders>
            <w:shd w:val="clear" w:color="auto" w:fill="auto"/>
            <w:noWrap/>
          </w:tcPr>
          <w:p w14:paraId="1002FED4"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1.47E-05</w:t>
            </w:r>
          </w:p>
          <w:p w14:paraId="5DF6C0F6"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±8.20E-03</w:t>
            </w:r>
          </w:p>
        </w:tc>
        <w:tc>
          <w:tcPr>
            <w:tcW w:w="450" w:type="dxa"/>
            <w:tcBorders>
              <w:top w:val="single" w:sz="4" w:space="0" w:color="auto"/>
            </w:tcBorders>
            <w:shd w:val="clear" w:color="auto" w:fill="auto"/>
            <w:noWrap/>
            <w:vAlign w:val="bottom"/>
          </w:tcPr>
          <w:p w14:paraId="5E55952D"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top w:val="single" w:sz="4" w:space="0" w:color="auto"/>
            </w:tcBorders>
            <w:shd w:val="clear" w:color="auto" w:fill="auto"/>
            <w:noWrap/>
            <w:vAlign w:val="bottom"/>
          </w:tcPr>
          <w:p w14:paraId="1448CA33"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0.306±0.0137</w:t>
            </w:r>
          </w:p>
        </w:tc>
        <w:tc>
          <w:tcPr>
            <w:tcW w:w="630" w:type="dxa"/>
            <w:tcBorders>
              <w:top w:val="single" w:sz="4" w:space="0" w:color="auto"/>
            </w:tcBorders>
            <w:shd w:val="clear" w:color="auto" w:fill="auto"/>
            <w:noWrap/>
            <w:vAlign w:val="bottom"/>
          </w:tcPr>
          <w:p w14:paraId="4781BAC1"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900" w:type="dxa"/>
            <w:tcBorders>
              <w:top w:val="single" w:sz="4" w:space="0" w:color="auto"/>
            </w:tcBorders>
            <w:shd w:val="clear" w:color="auto" w:fill="auto"/>
            <w:noWrap/>
            <w:vAlign w:val="bottom"/>
          </w:tcPr>
          <w:p w14:paraId="56E648BE"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4.78±0.68</w:t>
            </w:r>
          </w:p>
        </w:tc>
        <w:tc>
          <w:tcPr>
            <w:tcW w:w="1080" w:type="dxa"/>
            <w:tcBorders>
              <w:top w:val="single" w:sz="4" w:space="0" w:color="auto"/>
            </w:tcBorders>
            <w:shd w:val="clear" w:color="auto" w:fill="auto"/>
            <w:noWrap/>
          </w:tcPr>
          <w:p w14:paraId="5B817790"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6.90E-02</w:t>
            </w:r>
          </w:p>
          <w:p w14:paraId="10D4C7A7"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±7.87E-03</w:t>
            </w:r>
          </w:p>
        </w:tc>
        <w:tc>
          <w:tcPr>
            <w:tcW w:w="360" w:type="dxa"/>
            <w:tcBorders>
              <w:top w:val="single" w:sz="4" w:space="0" w:color="auto"/>
            </w:tcBorders>
            <w:shd w:val="clear" w:color="auto" w:fill="auto"/>
            <w:noWrap/>
            <w:vAlign w:val="bottom"/>
          </w:tcPr>
          <w:p w14:paraId="4DFBFA34"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top w:val="single" w:sz="4" w:space="0" w:color="auto"/>
            </w:tcBorders>
            <w:shd w:val="clear" w:color="auto" w:fill="auto"/>
            <w:noWrap/>
            <w:vAlign w:val="bottom"/>
          </w:tcPr>
          <w:p w14:paraId="56BA80FE"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0.155</w:t>
            </w:r>
          </w:p>
          <w:p w14:paraId="4BF383E3"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±0.198</w:t>
            </w:r>
          </w:p>
        </w:tc>
        <w:tc>
          <w:tcPr>
            <w:tcW w:w="810" w:type="dxa"/>
            <w:tcBorders>
              <w:top w:val="single" w:sz="4" w:space="0" w:color="auto"/>
            </w:tcBorders>
            <w:shd w:val="clear" w:color="auto" w:fill="auto"/>
            <w:noWrap/>
            <w:vAlign w:val="bottom"/>
          </w:tcPr>
          <w:p w14:paraId="58177FB8"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r>
      <w:tr w:rsidR="008802C8" w:rsidRPr="00B65D87" w14:paraId="3A9FF29B" w14:textId="77777777">
        <w:trPr>
          <w:trHeight w:val="260"/>
        </w:trPr>
        <w:tc>
          <w:tcPr>
            <w:tcW w:w="1006" w:type="dxa"/>
            <w:shd w:val="clear" w:color="auto" w:fill="auto"/>
            <w:noWrap/>
            <w:vAlign w:val="bottom"/>
          </w:tcPr>
          <w:p w14:paraId="3D47BBEB"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FDR1</w:t>
            </w:r>
          </w:p>
        </w:tc>
        <w:tc>
          <w:tcPr>
            <w:tcW w:w="540" w:type="dxa"/>
            <w:gridSpan w:val="2"/>
            <w:shd w:val="clear" w:color="auto" w:fill="auto"/>
            <w:noWrap/>
            <w:vAlign w:val="bottom"/>
          </w:tcPr>
          <w:p w14:paraId="04010250"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97</w:t>
            </w:r>
          </w:p>
        </w:tc>
        <w:tc>
          <w:tcPr>
            <w:tcW w:w="450" w:type="dxa"/>
            <w:gridSpan w:val="2"/>
            <w:shd w:val="clear" w:color="auto" w:fill="auto"/>
            <w:noWrap/>
            <w:vAlign w:val="bottom"/>
          </w:tcPr>
          <w:p w14:paraId="35C265AB"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w:t>
            </w:r>
          </w:p>
        </w:tc>
        <w:tc>
          <w:tcPr>
            <w:tcW w:w="810" w:type="dxa"/>
            <w:shd w:val="clear" w:color="auto" w:fill="auto"/>
            <w:noWrap/>
            <w:vAlign w:val="bottom"/>
          </w:tcPr>
          <w:p w14:paraId="7DC32A35"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0.220</w:t>
            </w:r>
          </w:p>
        </w:tc>
        <w:tc>
          <w:tcPr>
            <w:tcW w:w="900" w:type="dxa"/>
            <w:shd w:val="clear" w:color="auto" w:fill="auto"/>
            <w:noWrap/>
          </w:tcPr>
          <w:p w14:paraId="43373255"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0.268</w:t>
            </w:r>
          </w:p>
          <w:p w14:paraId="3792C31E"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±0.008</w:t>
            </w:r>
          </w:p>
        </w:tc>
        <w:tc>
          <w:tcPr>
            <w:tcW w:w="270" w:type="dxa"/>
            <w:shd w:val="clear" w:color="auto" w:fill="auto"/>
            <w:noWrap/>
            <w:vAlign w:val="bottom"/>
          </w:tcPr>
          <w:p w14:paraId="14542061"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4</w:t>
            </w:r>
          </w:p>
        </w:tc>
        <w:tc>
          <w:tcPr>
            <w:tcW w:w="990" w:type="dxa"/>
            <w:shd w:val="clear" w:color="auto" w:fill="auto"/>
            <w:noWrap/>
            <w:vAlign w:val="bottom"/>
          </w:tcPr>
          <w:p w14:paraId="7A6AF1D7"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51.5±16.8</w:t>
            </w:r>
          </w:p>
        </w:tc>
        <w:tc>
          <w:tcPr>
            <w:tcW w:w="810" w:type="dxa"/>
            <w:shd w:val="clear" w:color="auto" w:fill="auto"/>
            <w:noWrap/>
            <w:vAlign w:val="bottom"/>
          </w:tcPr>
          <w:p w14:paraId="73CCC5AE"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5.26</w:t>
            </w:r>
          </w:p>
          <w:p w14:paraId="11C898BA"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±0.67</w:t>
            </w:r>
          </w:p>
        </w:tc>
        <w:tc>
          <w:tcPr>
            <w:tcW w:w="1170" w:type="dxa"/>
            <w:shd w:val="clear" w:color="auto" w:fill="auto"/>
            <w:noWrap/>
          </w:tcPr>
          <w:p w14:paraId="5797DC6E"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-4.09E-05</w:t>
            </w:r>
          </w:p>
          <w:p w14:paraId="77F03F06"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±3.80E-03</w:t>
            </w:r>
          </w:p>
        </w:tc>
        <w:tc>
          <w:tcPr>
            <w:tcW w:w="450" w:type="dxa"/>
            <w:shd w:val="clear" w:color="auto" w:fill="auto"/>
            <w:noWrap/>
            <w:vAlign w:val="bottom"/>
          </w:tcPr>
          <w:p w14:paraId="56AECBEE"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shd w:val="clear" w:color="auto" w:fill="auto"/>
            <w:noWrap/>
            <w:vAlign w:val="bottom"/>
          </w:tcPr>
          <w:p w14:paraId="0AD241F4"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0.2438±0.0100</w:t>
            </w:r>
          </w:p>
        </w:tc>
        <w:tc>
          <w:tcPr>
            <w:tcW w:w="630" w:type="dxa"/>
            <w:shd w:val="clear" w:color="auto" w:fill="auto"/>
            <w:noWrap/>
            <w:vAlign w:val="bottom"/>
          </w:tcPr>
          <w:p w14:paraId="3F38F4F9"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900" w:type="dxa"/>
            <w:shd w:val="clear" w:color="auto" w:fill="auto"/>
            <w:noWrap/>
            <w:vAlign w:val="bottom"/>
          </w:tcPr>
          <w:p w14:paraId="071ACB4D"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3.67±0.57</w:t>
            </w:r>
          </w:p>
        </w:tc>
        <w:tc>
          <w:tcPr>
            <w:tcW w:w="1080" w:type="dxa"/>
            <w:shd w:val="clear" w:color="auto" w:fill="auto"/>
            <w:noWrap/>
          </w:tcPr>
          <w:p w14:paraId="29F61075"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9.73E-04</w:t>
            </w:r>
          </w:p>
          <w:p w14:paraId="5FE216EB"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±3.30E-03</w:t>
            </w:r>
          </w:p>
        </w:tc>
        <w:tc>
          <w:tcPr>
            <w:tcW w:w="360" w:type="dxa"/>
            <w:shd w:val="clear" w:color="auto" w:fill="auto"/>
            <w:noWrap/>
            <w:vAlign w:val="bottom"/>
          </w:tcPr>
          <w:p w14:paraId="7F961AF8"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shd w:val="clear" w:color="auto" w:fill="auto"/>
            <w:noWrap/>
            <w:vAlign w:val="bottom"/>
          </w:tcPr>
          <w:p w14:paraId="3C95A7FC"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0.294</w:t>
            </w:r>
          </w:p>
          <w:p w14:paraId="545A4D2E"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±0.009</w:t>
            </w:r>
          </w:p>
        </w:tc>
        <w:tc>
          <w:tcPr>
            <w:tcW w:w="810" w:type="dxa"/>
            <w:shd w:val="clear" w:color="auto" w:fill="auto"/>
            <w:noWrap/>
            <w:vAlign w:val="bottom"/>
          </w:tcPr>
          <w:p w14:paraId="274FC75D"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r>
      <w:tr w:rsidR="008802C8" w:rsidRPr="00B65D87" w14:paraId="16A83C93" w14:textId="77777777">
        <w:trPr>
          <w:trHeight w:val="260"/>
        </w:trPr>
        <w:tc>
          <w:tcPr>
            <w:tcW w:w="1006" w:type="dxa"/>
            <w:tcBorders>
              <w:bottom w:val="single" w:sz="4" w:space="0" w:color="auto"/>
            </w:tcBorders>
            <w:shd w:val="clear" w:color="auto" w:fill="auto"/>
            <w:noWrap/>
            <w:vAlign w:val="bottom"/>
          </w:tcPr>
          <w:p w14:paraId="252B0A83"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FDR5</w:t>
            </w:r>
          </w:p>
        </w:tc>
        <w:tc>
          <w:tcPr>
            <w:tcW w:w="540" w:type="dxa"/>
            <w:gridSpan w:val="2"/>
            <w:tcBorders>
              <w:bottom w:val="single" w:sz="4" w:space="0" w:color="auto"/>
            </w:tcBorders>
            <w:shd w:val="clear" w:color="auto" w:fill="auto"/>
            <w:noWrap/>
            <w:vAlign w:val="bottom"/>
          </w:tcPr>
          <w:p w14:paraId="7F3F1422"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145</w:t>
            </w:r>
          </w:p>
        </w:tc>
        <w:tc>
          <w:tcPr>
            <w:tcW w:w="450" w:type="dxa"/>
            <w:gridSpan w:val="2"/>
            <w:tcBorders>
              <w:bottom w:val="single" w:sz="4" w:space="0" w:color="auto"/>
            </w:tcBorders>
            <w:shd w:val="clear" w:color="auto" w:fill="auto"/>
            <w:noWrap/>
            <w:vAlign w:val="bottom"/>
          </w:tcPr>
          <w:p w14:paraId="31F466AC"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w:t>
            </w:r>
          </w:p>
        </w:tc>
        <w:tc>
          <w:tcPr>
            <w:tcW w:w="810" w:type="dxa"/>
            <w:tcBorders>
              <w:bottom w:val="single" w:sz="4" w:space="0" w:color="auto"/>
            </w:tcBorders>
            <w:shd w:val="clear" w:color="auto" w:fill="auto"/>
            <w:noWrap/>
            <w:vAlign w:val="bottom"/>
          </w:tcPr>
          <w:p w14:paraId="081393F4"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0.245</w:t>
            </w:r>
          </w:p>
        </w:tc>
        <w:tc>
          <w:tcPr>
            <w:tcW w:w="900" w:type="dxa"/>
            <w:tcBorders>
              <w:bottom w:val="single" w:sz="4" w:space="0" w:color="auto"/>
            </w:tcBorders>
            <w:shd w:val="clear" w:color="auto" w:fill="auto"/>
            <w:noWrap/>
          </w:tcPr>
          <w:p w14:paraId="721FA558"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0.241</w:t>
            </w:r>
          </w:p>
          <w:p w14:paraId="43171987"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±0.001</w:t>
            </w:r>
          </w:p>
        </w:tc>
        <w:tc>
          <w:tcPr>
            <w:tcW w:w="270" w:type="dxa"/>
            <w:tcBorders>
              <w:bottom w:val="single" w:sz="4" w:space="0" w:color="auto"/>
            </w:tcBorders>
            <w:shd w:val="clear" w:color="auto" w:fill="auto"/>
            <w:noWrap/>
            <w:vAlign w:val="bottom"/>
          </w:tcPr>
          <w:p w14:paraId="683B33EC"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4</w:t>
            </w:r>
          </w:p>
        </w:tc>
        <w:tc>
          <w:tcPr>
            <w:tcW w:w="990" w:type="dxa"/>
            <w:tcBorders>
              <w:bottom w:val="single" w:sz="4" w:space="0" w:color="auto"/>
            </w:tcBorders>
            <w:shd w:val="clear" w:color="auto" w:fill="auto"/>
            <w:noWrap/>
            <w:vAlign w:val="bottom"/>
          </w:tcPr>
          <w:p w14:paraId="4243C372"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85.9±10.6</w:t>
            </w:r>
          </w:p>
        </w:tc>
        <w:tc>
          <w:tcPr>
            <w:tcW w:w="810" w:type="dxa"/>
            <w:tcBorders>
              <w:bottom w:val="single" w:sz="4" w:space="0" w:color="auto"/>
            </w:tcBorders>
            <w:shd w:val="clear" w:color="auto" w:fill="auto"/>
            <w:noWrap/>
            <w:vAlign w:val="bottom"/>
          </w:tcPr>
          <w:p w14:paraId="3CADB6AB"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5.59</w:t>
            </w:r>
          </w:p>
          <w:p w14:paraId="6F45982F"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±0.73</w:t>
            </w:r>
          </w:p>
        </w:tc>
        <w:tc>
          <w:tcPr>
            <w:tcW w:w="1170" w:type="dxa"/>
            <w:tcBorders>
              <w:bottom w:val="single" w:sz="4" w:space="0" w:color="auto"/>
            </w:tcBorders>
            <w:shd w:val="clear" w:color="auto" w:fill="auto"/>
            <w:noWrap/>
          </w:tcPr>
          <w:p w14:paraId="5BEC29A6"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-1.50E-05</w:t>
            </w:r>
          </w:p>
          <w:p w14:paraId="0E06B8C6"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±2.40E-03</w:t>
            </w:r>
          </w:p>
        </w:tc>
        <w:tc>
          <w:tcPr>
            <w:tcW w:w="450" w:type="dxa"/>
            <w:tcBorders>
              <w:bottom w:val="single" w:sz="4" w:space="0" w:color="auto"/>
            </w:tcBorders>
            <w:shd w:val="clear" w:color="auto" w:fill="auto"/>
            <w:noWrap/>
            <w:vAlign w:val="bottom"/>
          </w:tcPr>
          <w:p w14:paraId="32EB33E3"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bottom w:val="single" w:sz="4" w:space="0" w:color="auto"/>
            </w:tcBorders>
            <w:shd w:val="clear" w:color="auto" w:fill="auto"/>
            <w:noWrap/>
            <w:vAlign w:val="bottom"/>
          </w:tcPr>
          <w:p w14:paraId="04324889"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0.2244±0.0083</w:t>
            </w:r>
          </w:p>
        </w:tc>
        <w:tc>
          <w:tcPr>
            <w:tcW w:w="630" w:type="dxa"/>
            <w:tcBorders>
              <w:bottom w:val="single" w:sz="4" w:space="0" w:color="auto"/>
            </w:tcBorders>
            <w:shd w:val="clear" w:color="auto" w:fill="auto"/>
            <w:noWrap/>
            <w:vAlign w:val="bottom"/>
          </w:tcPr>
          <w:p w14:paraId="181564AC"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1.38E-269</w:t>
            </w:r>
          </w:p>
        </w:tc>
        <w:tc>
          <w:tcPr>
            <w:tcW w:w="900" w:type="dxa"/>
            <w:tcBorders>
              <w:bottom w:val="single" w:sz="4" w:space="0" w:color="auto"/>
            </w:tcBorders>
            <w:shd w:val="clear" w:color="auto" w:fill="auto"/>
            <w:noWrap/>
            <w:vAlign w:val="bottom"/>
          </w:tcPr>
          <w:p w14:paraId="07C3D71B"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3.86±0.57</w:t>
            </w:r>
          </w:p>
        </w:tc>
        <w:tc>
          <w:tcPr>
            <w:tcW w:w="1080" w:type="dxa"/>
            <w:tcBorders>
              <w:bottom w:val="single" w:sz="4" w:space="0" w:color="auto"/>
            </w:tcBorders>
            <w:shd w:val="clear" w:color="auto" w:fill="auto"/>
            <w:noWrap/>
          </w:tcPr>
          <w:p w14:paraId="7F1FD842"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1.18E-02</w:t>
            </w:r>
          </w:p>
          <w:p w14:paraId="03B857B0"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±2.40E-03</w:t>
            </w:r>
          </w:p>
        </w:tc>
        <w:tc>
          <w:tcPr>
            <w:tcW w:w="360" w:type="dxa"/>
            <w:tcBorders>
              <w:bottom w:val="single" w:sz="4" w:space="0" w:color="auto"/>
            </w:tcBorders>
            <w:shd w:val="clear" w:color="auto" w:fill="auto"/>
            <w:noWrap/>
            <w:vAlign w:val="bottom"/>
          </w:tcPr>
          <w:p w14:paraId="5208AA37"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bottom w:val="single" w:sz="4" w:space="0" w:color="auto"/>
            </w:tcBorders>
            <w:shd w:val="clear" w:color="auto" w:fill="auto"/>
            <w:noWrap/>
            <w:vAlign w:val="bottom"/>
          </w:tcPr>
          <w:p w14:paraId="3176F16C"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0.265</w:t>
            </w:r>
          </w:p>
          <w:p w14:paraId="3B189639"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±0.008</w:t>
            </w:r>
          </w:p>
        </w:tc>
        <w:tc>
          <w:tcPr>
            <w:tcW w:w="810" w:type="dxa"/>
            <w:tcBorders>
              <w:bottom w:val="single" w:sz="4" w:space="0" w:color="auto"/>
            </w:tcBorders>
            <w:shd w:val="clear" w:color="auto" w:fill="auto"/>
            <w:noWrap/>
            <w:vAlign w:val="bottom"/>
          </w:tcPr>
          <w:p w14:paraId="3947E851"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r>
      <w:tr w:rsidR="008802C8" w:rsidRPr="00B65D87" w14:paraId="4EF88434" w14:textId="77777777">
        <w:trPr>
          <w:trHeight w:val="260"/>
        </w:trPr>
        <w:tc>
          <w:tcPr>
            <w:tcW w:w="1996" w:type="dxa"/>
            <w:gridSpan w:val="5"/>
            <w:tcBorders>
              <w:top w:val="single" w:sz="4" w:space="0" w:color="auto"/>
              <w:bottom w:val="single" w:sz="4" w:space="0" w:color="auto"/>
              <w:right w:val="nil"/>
            </w:tcBorders>
            <w:shd w:val="clear" w:color="auto" w:fill="auto"/>
            <w:noWrap/>
            <w:vAlign w:val="bottom"/>
          </w:tcPr>
          <w:p w14:paraId="4F28A260"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Module 2 submodules</w:t>
            </w:r>
          </w:p>
        </w:tc>
        <w:tc>
          <w:tcPr>
            <w:tcW w:w="810" w:type="dxa"/>
            <w:tcBorders>
              <w:top w:val="single" w:sz="4" w:space="0" w:color="auto"/>
              <w:left w:val="nil"/>
              <w:bottom w:val="single" w:sz="4" w:space="0" w:color="auto"/>
              <w:right w:val="nil"/>
            </w:tcBorders>
            <w:shd w:val="clear" w:color="auto" w:fill="auto"/>
            <w:noWrap/>
            <w:vAlign w:val="bottom"/>
          </w:tcPr>
          <w:p w14:paraId="64EA27F2" w14:textId="77777777" w:rsidR="008802C8" w:rsidRPr="00B65D87" w:rsidRDefault="008802C8" w:rsidP="001729C6">
            <w:pPr>
              <w:rPr>
                <w:rFonts w:ascii="Times New Roman" w:hAnsi="Times New Roman" w:cs="Times New Roman"/>
                <w:sz w:val="16"/>
                <w:szCs w:val="20"/>
              </w:rPr>
            </w:pPr>
          </w:p>
        </w:tc>
        <w:tc>
          <w:tcPr>
            <w:tcW w:w="900" w:type="dxa"/>
            <w:tcBorders>
              <w:top w:val="single" w:sz="4" w:space="0" w:color="auto"/>
              <w:left w:val="nil"/>
              <w:bottom w:val="single" w:sz="4" w:space="0" w:color="auto"/>
              <w:right w:val="nil"/>
            </w:tcBorders>
            <w:shd w:val="clear" w:color="auto" w:fill="auto"/>
            <w:noWrap/>
            <w:vAlign w:val="bottom"/>
          </w:tcPr>
          <w:p w14:paraId="060B5E69" w14:textId="77777777" w:rsidR="008802C8" w:rsidRPr="00B65D87" w:rsidRDefault="008802C8" w:rsidP="001729C6">
            <w:pPr>
              <w:rPr>
                <w:rFonts w:ascii="Times New Roman" w:hAnsi="Times New Roman" w:cs="Times New Roman"/>
                <w:sz w:val="16"/>
                <w:szCs w:val="20"/>
              </w:rPr>
            </w:pPr>
          </w:p>
        </w:tc>
        <w:tc>
          <w:tcPr>
            <w:tcW w:w="270" w:type="dxa"/>
            <w:tcBorders>
              <w:top w:val="single" w:sz="4" w:space="0" w:color="auto"/>
              <w:left w:val="nil"/>
              <w:bottom w:val="single" w:sz="4" w:space="0" w:color="auto"/>
              <w:right w:val="nil"/>
            </w:tcBorders>
            <w:shd w:val="clear" w:color="auto" w:fill="auto"/>
            <w:noWrap/>
            <w:vAlign w:val="bottom"/>
          </w:tcPr>
          <w:p w14:paraId="7D31A068" w14:textId="77777777" w:rsidR="008802C8" w:rsidRPr="00B65D87" w:rsidRDefault="008802C8">
            <w:pPr>
              <w:rPr>
                <w:rFonts w:ascii="Times New Roman" w:hAnsi="Times New Roman" w:cs="Times New Roman"/>
                <w:sz w:val="16"/>
                <w:szCs w:val="16"/>
              </w:rPr>
            </w:pPr>
          </w:p>
        </w:tc>
        <w:tc>
          <w:tcPr>
            <w:tcW w:w="990" w:type="dxa"/>
            <w:tcBorders>
              <w:top w:val="single" w:sz="4" w:space="0" w:color="auto"/>
              <w:left w:val="nil"/>
              <w:bottom w:val="single" w:sz="4" w:space="0" w:color="auto"/>
              <w:right w:val="nil"/>
            </w:tcBorders>
            <w:shd w:val="clear" w:color="auto" w:fill="auto"/>
            <w:noWrap/>
          </w:tcPr>
          <w:p w14:paraId="73E3B3CF" w14:textId="77777777" w:rsidR="008802C8" w:rsidRPr="00B65D87" w:rsidRDefault="008802C8">
            <w:pPr>
              <w:rPr>
                <w:rFonts w:ascii="Times New Roman" w:hAnsi="Times New Roman" w:cs="Times New Roman"/>
              </w:rPr>
            </w:pPr>
          </w:p>
        </w:tc>
        <w:tc>
          <w:tcPr>
            <w:tcW w:w="810" w:type="dxa"/>
            <w:tcBorders>
              <w:top w:val="single" w:sz="4" w:space="0" w:color="auto"/>
              <w:left w:val="nil"/>
              <w:bottom w:val="single" w:sz="4" w:space="0" w:color="auto"/>
              <w:right w:val="nil"/>
            </w:tcBorders>
            <w:shd w:val="clear" w:color="auto" w:fill="auto"/>
            <w:noWrap/>
            <w:vAlign w:val="bottom"/>
          </w:tcPr>
          <w:p w14:paraId="0175FA20" w14:textId="77777777" w:rsidR="008802C8" w:rsidRPr="00B65D87" w:rsidRDefault="008802C8">
            <w:pPr>
              <w:rPr>
                <w:rFonts w:ascii="Times New Roman" w:hAnsi="Times New Roman" w:cs="Times New Roman"/>
                <w:sz w:val="16"/>
                <w:szCs w:val="16"/>
              </w:rPr>
            </w:pPr>
          </w:p>
        </w:tc>
        <w:tc>
          <w:tcPr>
            <w:tcW w:w="1170" w:type="dxa"/>
            <w:tcBorders>
              <w:top w:val="single" w:sz="4" w:space="0" w:color="auto"/>
              <w:left w:val="nil"/>
              <w:bottom w:val="single" w:sz="4" w:space="0" w:color="auto"/>
              <w:right w:val="nil"/>
            </w:tcBorders>
            <w:shd w:val="clear" w:color="auto" w:fill="auto"/>
            <w:noWrap/>
            <w:vAlign w:val="bottom"/>
          </w:tcPr>
          <w:p w14:paraId="26093CB9" w14:textId="77777777" w:rsidR="008802C8" w:rsidRPr="00B65D87" w:rsidRDefault="008802C8">
            <w:pPr>
              <w:rPr>
                <w:rFonts w:ascii="Times New Roman" w:hAnsi="Times New Roman" w:cs="Times New Roman"/>
                <w:sz w:val="16"/>
                <w:szCs w:val="16"/>
              </w:rPr>
            </w:pPr>
          </w:p>
        </w:tc>
        <w:tc>
          <w:tcPr>
            <w:tcW w:w="450" w:type="dxa"/>
            <w:tcBorders>
              <w:top w:val="single" w:sz="4" w:space="0" w:color="auto"/>
              <w:left w:val="nil"/>
              <w:bottom w:val="single" w:sz="4" w:space="0" w:color="auto"/>
              <w:right w:val="nil"/>
            </w:tcBorders>
            <w:shd w:val="clear" w:color="auto" w:fill="auto"/>
            <w:noWrap/>
            <w:vAlign w:val="bottom"/>
          </w:tcPr>
          <w:p w14:paraId="4B6B474B" w14:textId="77777777" w:rsidR="008802C8" w:rsidRPr="00B65D87" w:rsidRDefault="008802C8">
            <w:pPr>
              <w:rPr>
                <w:rFonts w:ascii="Times New Roman" w:hAnsi="Times New Roman" w:cs="Times New Roman"/>
                <w:sz w:val="16"/>
                <w:szCs w:val="16"/>
              </w:rPr>
            </w:pPr>
          </w:p>
        </w:tc>
        <w:tc>
          <w:tcPr>
            <w:tcW w:w="810" w:type="dxa"/>
            <w:tcBorders>
              <w:top w:val="single" w:sz="4" w:space="0" w:color="auto"/>
              <w:left w:val="nil"/>
              <w:bottom w:val="single" w:sz="4" w:space="0" w:color="auto"/>
              <w:right w:val="nil"/>
            </w:tcBorders>
            <w:shd w:val="clear" w:color="auto" w:fill="auto"/>
            <w:noWrap/>
          </w:tcPr>
          <w:p w14:paraId="6D9AF587" w14:textId="77777777" w:rsidR="008802C8" w:rsidRPr="00B65D87" w:rsidRDefault="008802C8">
            <w:pPr>
              <w:rPr>
                <w:rFonts w:ascii="Times New Roman" w:hAnsi="Times New Roman" w:cs="Times New Roman"/>
              </w:rPr>
            </w:pPr>
          </w:p>
        </w:tc>
        <w:tc>
          <w:tcPr>
            <w:tcW w:w="630" w:type="dxa"/>
            <w:tcBorders>
              <w:top w:val="single" w:sz="4" w:space="0" w:color="auto"/>
              <w:left w:val="nil"/>
              <w:bottom w:val="single" w:sz="4" w:space="0" w:color="auto"/>
              <w:right w:val="nil"/>
            </w:tcBorders>
            <w:shd w:val="clear" w:color="auto" w:fill="auto"/>
            <w:noWrap/>
            <w:vAlign w:val="bottom"/>
          </w:tcPr>
          <w:p w14:paraId="6CCA2624" w14:textId="77777777" w:rsidR="008802C8" w:rsidRPr="00B65D87" w:rsidRDefault="008802C8" w:rsidP="001729C6">
            <w:pPr>
              <w:rPr>
                <w:rFonts w:ascii="Times New Roman" w:hAnsi="Times New Roman" w:cs="Times New Roman"/>
                <w:sz w:val="16"/>
                <w:szCs w:val="20"/>
              </w:rPr>
            </w:pPr>
          </w:p>
        </w:tc>
        <w:tc>
          <w:tcPr>
            <w:tcW w:w="900" w:type="dxa"/>
            <w:tcBorders>
              <w:top w:val="single" w:sz="4" w:space="0" w:color="auto"/>
              <w:left w:val="nil"/>
              <w:bottom w:val="single" w:sz="4" w:space="0" w:color="auto"/>
              <w:right w:val="nil"/>
            </w:tcBorders>
            <w:shd w:val="clear" w:color="auto" w:fill="auto"/>
            <w:noWrap/>
            <w:vAlign w:val="bottom"/>
          </w:tcPr>
          <w:p w14:paraId="222614B6" w14:textId="77777777" w:rsidR="008802C8" w:rsidRPr="00B65D87" w:rsidRDefault="008802C8">
            <w:pPr>
              <w:rPr>
                <w:rFonts w:ascii="Times New Roman" w:hAnsi="Times New Roman" w:cs="Times New Roman"/>
                <w:sz w:val="16"/>
                <w:szCs w:val="16"/>
              </w:rPr>
            </w:pPr>
          </w:p>
        </w:tc>
        <w:tc>
          <w:tcPr>
            <w:tcW w:w="1080" w:type="dxa"/>
            <w:tcBorders>
              <w:top w:val="single" w:sz="4" w:space="0" w:color="auto"/>
              <w:left w:val="nil"/>
              <w:bottom w:val="single" w:sz="4" w:space="0" w:color="auto"/>
              <w:right w:val="nil"/>
            </w:tcBorders>
            <w:shd w:val="clear" w:color="auto" w:fill="auto"/>
            <w:noWrap/>
            <w:vAlign w:val="bottom"/>
          </w:tcPr>
          <w:p w14:paraId="29F557AB" w14:textId="77777777" w:rsidR="008802C8" w:rsidRPr="00B65D87" w:rsidRDefault="008802C8" w:rsidP="001729C6">
            <w:pPr>
              <w:rPr>
                <w:rFonts w:ascii="Times New Roman" w:hAnsi="Times New Roman" w:cs="Times New Roman"/>
                <w:sz w:val="16"/>
                <w:szCs w:val="20"/>
              </w:rPr>
            </w:pPr>
          </w:p>
        </w:tc>
        <w:tc>
          <w:tcPr>
            <w:tcW w:w="360" w:type="dxa"/>
            <w:tcBorders>
              <w:top w:val="single" w:sz="4" w:space="0" w:color="auto"/>
              <w:left w:val="nil"/>
              <w:bottom w:val="single" w:sz="4" w:space="0" w:color="auto"/>
              <w:right w:val="nil"/>
            </w:tcBorders>
            <w:shd w:val="clear" w:color="auto" w:fill="auto"/>
            <w:noWrap/>
            <w:vAlign w:val="bottom"/>
          </w:tcPr>
          <w:p w14:paraId="443114E3" w14:textId="77777777" w:rsidR="008802C8" w:rsidRPr="00B65D87" w:rsidRDefault="008802C8">
            <w:pPr>
              <w:rPr>
                <w:rFonts w:ascii="Times New Roman" w:hAnsi="Times New Roman" w:cs="Times New Roman"/>
                <w:sz w:val="16"/>
                <w:szCs w:val="16"/>
              </w:rPr>
            </w:pPr>
          </w:p>
        </w:tc>
        <w:tc>
          <w:tcPr>
            <w:tcW w:w="810" w:type="dxa"/>
            <w:tcBorders>
              <w:top w:val="single" w:sz="4" w:space="0" w:color="auto"/>
              <w:left w:val="nil"/>
              <w:bottom w:val="single" w:sz="4" w:space="0" w:color="auto"/>
              <w:right w:val="nil"/>
            </w:tcBorders>
            <w:shd w:val="clear" w:color="auto" w:fill="auto"/>
            <w:noWrap/>
            <w:vAlign w:val="bottom"/>
          </w:tcPr>
          <w:p w14:paraId="29FB132C" w14:textId="77777777" w:rsidR="008802C8" w:rsidRPr="00B65D87" w:rsidRDefault="008802C8">
            <w:pPr>
              <w:rPr>
                <w:rFonts w:ascii="Times New Roman" w:hAnsi="Times New Roman" w:cs="Times New Roman"/>
                <w:sz w:val="16"/>
                <w:szCs w:val="16"/>
              </w:rPr>
            </w:pPr>
          </w:p>
        </w:tc>
        <w:tc>
          <w:tcPr>
            <w:tcW w:w="810" w:type="dxa"/>
            <w:tcBorders>
              <w:top w:val="single" w:sz="4" w:space="0" w:color="auto"/>
              <w:left w:val="nil"/>
              <w:bottom w:val="single" w:sz="4" w:space="0" w:color="auto"/>
            </w:tcBorders>
            <w:shd w:val="clear" w:color="auto" w:fill="auto"/>
            <w:noWrap/>
            <w:vAlign w:val="bottom"/>
          </w:tcPr>
          <w:p w14:paraId="201B3622" w14:textId="77777777" w:rsidR="008802C8" w:rsidRPr="00B65D87" w:rsidRDefault="008802C8" w:rsidP="001729C6">
            <w:pPr>
              <w:rPr>
                <w:rFonts w:ascii="Times New Roman" w:hAnsi="Times New Roman" w:cs="Times New Roman"/>
                <w:sz w:val="16"/>
                <w:szCs w:val="20"/>
              </w:rPr>
            </w:pPr>
          </w:p>
        </w:tc>
      </w:tr>
      <w:tr w:rsidR="008802C8" w:rsidRPr="00B65D87" w14:paraId="095BBA40" w14:textId="77777777">
        <w:trPr>
          <w:trHeight w:val="260"/>
        </w:trPr>
        <w:tc>
          <w:tcPr>
            <w:tcW w:w="1006" w:type="dxa"/>
            <w:tcBorders>
              <w:top w:val="single" w:sz="4" w:space="0" w:color="auto"/>
            </w:tcBorders>
            <w:shd w:val="clear" w:color="auto" w:fill="auto"/>
            <w:noWrap/>
            <w:vAlign w:val="bottom"/>
          </w:tcPr>
          <w:p w14:paraId="2EF48E2B"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KR</w:t>
            </w:r>
          </w:p>
        </w:tc>
        <w:tc>
          <w:tcPr>
            <w:tcW w:w="540" w:type="dxa"/>
            <w:gridSpan w:val="2"/>
            <w:tcBorders>
              <w:top w:val="single" w:sz="4" w:space="0" w:color="auto"/>
            </w:tcBorders>
            <w:shd w:val="clear" w:color="auto" w:fill="auto"/>
            <w:noWrap/>
            <w:vAlign w:val="bottom"/>
          </w:tcPr>
          <w:p w14:paraId="76FEC1D6"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40</w:t>
            </w:r>
          </w:p>
        </w:tc>
        <w:tc>
          <w:tcPr>
            <w:tcW w:w="450" w:type="dxa"/>
            <w:gridSpan w:val="2"/>
            <w:tcBorders>
              <w:top w:val="single" w:sz="4" w:space="0" w:color="auto"/>
            </w:tcBorders>
            <w:shd w:val="clear" w:color="auto" w:fill="auto"/>
            <w:noWrap/>
            <w:vAlign w:val="bottom"/>
          </w:tcPr>
          <w:p w14:paraId="265F341E"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w:t>
            </w:r>
          </w:p>
        </w:tc>
        <w:tc>
          <w:tcPr>
            <w:tcW w:w="810" w:type="dxa"/>
            <w:tcBorders>
              <w:top w:val="single" w:sz="4" w:space="0" w:color="auto"/>
            </w:tcBorders>
            <w:shd w:val="clear" w:color="auto" w:fill="auto"/>
            <w:noWrap/>
            <w:vAlign w:val="bottom"/>
          </w:tcPr>
          <w:p w14:paraId="2D5F22AA"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0.486</w:t>
            </w:r>
          </w:p>
        </w:tc>
        <w:tc>
          <w:tcPr>
            <w:tcW w:w="900" w:type="dxa"/>
            <w:tcBorders>
              <w:top w:val="single" w:sz="4" w:space="0" w:color="auto"/>
            </w:tcBorders>
            <w:shd w:val="clear" w:color="auto" w:fill="auto"/>
            <w:noWrap/>
          </w:tcPr>
          <w:p w14:paraId="35C19D57"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0.195</w:t>
            </w:r>
          </w:p>
          <w:p w14:paraId="5FBDD451"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±5.92E-05</w:t>
            </w:r>
          </w:p>
        </w:tc>
        <w:tc>
          <w:tcPr>
            <w:tcW w:w="270" w:type="dxa"/>
            <w:tcBorders>
              <w:top w:val="single" w:sz="4" w:space="0" w:color="auto"/>
            </w:tcBorders>
            <w:shd w:val="clear" w:color="auto" w:fill="auto"/>
            <w:noWrap/>
            <w:vAlign w:val="bottom"/>
          </w:tcPr>
          <w:p w14:paraId="10870CBB"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2</w:t>
            </w:r>
          </w:p>
        </w:tc>
        <w:tc>
          <w:tcPr>
            <w:tcW w:w="990" w:type="dxa"/>
            <w:tcBorders>
              <w:top w:val="single" w:sz="4" w:space="0" w:color="auto"/>
            </w:tcBorders>
            <w:shd w:val="clear" w:color="auto" w:fill="auto"/>
            <w:noWrap/>
            <w:vAlign w:val="bottom"/>
          </w:tcPr>
          <w:p w14:paraId="28002B97"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27.1±0.5</w:t>
            </w:r>
          </w:p>
        </w:tc>
        <w:tc>
          <w:tcPr>
            <w:tcW w:w="810" w:type="dxa"/>
            <w:tcBorders>
              <w:top w:val="single" w:sz="4" w:space="0" w:color="auto"/>
            </w:tcBorders>
            <w:shd w:val="clear" w:color="auto" w:fill="auto"/>
            <w:noWrap/>
            <w:vAlign w:val="bottom"/>
          </w:tcPr>
          <w:p w14:paraId="2995088A"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4.74</w:t>
            </w:r>
          </w:p>
          <w:p w14:paraId="557550F3"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±0.70</w:t>
            </w:r>
          </w:p>
        </w:tc>
        <w:tc>
          <w:tcPr>
            <w:tcW w:w="1170" w:type="dxa"/>
            <w:tcBorders>
              <w:top w:val="single" w:sz="4" w:space="0" w:color="auto"/>
            </w:tcBorders>
            <w:shd w:val="clear" w:color="auto" w:fill="auto"/>
            <w:noWrap/>
          </w:tcPr>
          <w:p w14:paraId="10AF6AAC"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2.11E-04</w:t>
            </w:r>
          </w:p>
          <w:p w14:paraId="349C0DA5"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±9.20E-03</w:t>
            </w:r>
          </w:p>
        </w:tc>
        <w:tc>
          <w:tcPr>
            <w:tcW w:w="450" w:type="dxa"/>
            <w:tcBorders>
              <w:top w:val="single" w:sz="4" w:space="0" w:color="auto"/>
            </w:tcBorders>
            <w:shd w:val="clear" w:color="auto" w:fill="auto"/>
            <w:noWrap/>
            <w:vAlign w:val="bottom"/>
          </w:tcPr>
          <w:p w14:paraId="61C43F84"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top w:val="single" w:sz="4" w:space="0" w:color="auto"/>
            </w:tcBorders>
            <w:shd w:val="clear" w:color="auto" w:fill="auto"/>
            <w:noWrap/>
            <w:vAlign w:val="bottom"/>
          </w:tcPr>
          <w:p w14:paraId="40C59D38"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0.305±0.140</w:t>
            </w:r>
          </w:p>
        </w:tc>
        <w:tc>
          <w:tcPr>
            <w:tcW w:w="630" w:type="dxa"/>
            <w:tcBorders>
              <w:top w:val="single" w:sz="4" w:space="0" w:color="auto"/>
            </w:tcBorders>
            <w:shd w:val="clear" w:color="auto" w:fill="auto"/>
            <w:noWrap/>
            <w:vAlign w:val="bottom"/>
          </w:tcPr>
          <w:p w14:paraId="782D4741"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900" w:type="dxa"/>
            <w:tcBorders>
              <w:top w:val="single" w:sz="4" w:space="0" w:color="auto"/>
            </w:tcBorders>
            <w:shd w:val="clear" w:color="auto" w:fill="auto"/>
            <w:noWrap/>
            <w:vAlign w:val="bottom"/>
          </w:tcPr>
          <w:p w14:paraId="7C13879D"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4.46±0.63</w:t>
            </w:r>
          </w:p>
        </w:tc>
        <w:tc>
          <w:tcPr>
            <w:tcW w:w="1080" w:type="dxa"/>
            <w:tcBorders>
              <w:top w:val="single" w:sz="4" w:space="0" w:color="auto"/>
            </w:tcBorders>
            <w:shd w:val="clear" w:color="auto" w:fill="auto"/>
            <w:noWrap/>
          </w:tcPr>
          <w:p w14:paraId="14468DBF"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1.05E-01</w:t>
            </w:r>
          </w:p>
          <w:p w14:paraId="71B887AA"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±8.10E-03</w:t>
            </w:r>
          </w:p>
        </w:tc>
        <w:tc>
          <w:tcPr>
            <w:tcW w:w="360" w:type="dxa"/>
            <w:tcBorders>
              <w:top w:val="single" w:sz="4" w:space="0" w:color="auto"/>
            </w:tcBorders>
            <w:shd w:val="clear" w:color="auto" w:fill="auto"/>
            <w:noWrap/>
            <w:vAlign w:val="bottom"/>
          </w:tcPr>
          <w:p w14:paraId="4F397633"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top w:val="single" w:sz="4" w:space="0" w:color="auto"/>
            </w:tcBorders>
            <w:shd w:val="clear" w:color="auto" w:fill="auto"/>
            <w:noWrap/>
            <w:vAlign w:val="bottom"/>
          </w:tcPr>
          <w:p w14:paraId="6A785CAA"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0.260</w:t>
            </w:r>
          </w:p>
          <w:p w14:paraId="2687D34E"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±0.014</w:t>
            </w:r>
          </w:p>
        </w:tc>
        <w:tc>
          <w:tcPr>
            <w:tcW w:w="810" w:type="dxa"/>
            <w:tcBorders>
              <w:top w:val="single" w:sz="4" w:space="0" w:color="auto"/>
            </w:tcBorders>
            <w:shd w:val="clear" w:color="auto" w:fill="auto"/>
            <w:noWrap/>
            <w:vAlign w:val="bottom"/>
          </w:tcPr>
          <w:p w14:paraId="43C2203E"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r>
      <w:tr w:rsidR="008802C8" w:rsidRPr="00B65D87" w14:paraId="11D96119" w14:textId="77777777">
        <w:trPr>
          <w:trHeight w:val="260"/>
        </w:trPr>
        <w:tc>
          <w:tcPr>
            <w:tcW w:w="1006" w:type="dxa"/>
            <w:shd w:val="clear" w:color="auto" w:fill="auto"/>
            <w:noWrap/>
            <w:vAlign w:val="bottom"/>
          </w:tcPr>
          <w:p w14:paraId="1F04E6EB"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FDR1</w:t>
            </w:r>
          </w:p>
        </w:tc>
        <w:tc>
          <w:tcPr>
            <w:tcW w:w="540" w:type="dxa"/>
            <w:gridSpan w:val="2"/>
            <w:shd w:val="clear" w:color="auto" w:fill="auto"/>
            <w:noWrap/>
            <w:vAlign w:val="bottom"/>
          </w:tcPr>
          <w:p w14:paraId="1A1B8BA8"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58</w:t>
            </w:r>
          </w:p>
        </w:tc>
        <w:tc>
          <w:tcPr>
            <w:tcW w:w="450" w:type="dxa"/>
            <w:gridSpan w:val="2"/>
            <w:shd w:val="clear" w:color="auto" w:fill="auto"/>
            <w:noWrap/>
            <w:vAlign w:val="bottom"/>
          </w:tcPr>
          <w:p w14:paraId="2DC96E0B"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w:t>
            </w:r>
          </w:p>
        </w:tc>
        <w:tc>
          <w:tcPr>
            <w:tcW w:w="810" w:type="dxa"/>
            <w:shd w:val="clear" w:color="auto" w:fill="auto"/>
            <w:noWrap/>
            <w:vAlign w:val="bottom"/>
          </w:tcPr>
          <w:p w14:paraId="238F76D0"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0.556</w:t>
            </w:r>
          </w:p>
        </w:tc>
        <w:tc>
          <w:tcPr>
            <w:tcW w:w="900" w:type="dxa"/>
            <w:shd w:val="clear" w:color="auto" w:fill="auto"/>
            <w:noWrap/>
          </w:tcPr>
          <w:p w14:paraId="51CDC2BB"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0.135</w:t>
            </w:r>
          </w:p>
          <w:p w14:paraId="5DB47079"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±1.81E-16</w:t>
            </w:r>
          </w:p>
        </w:tc>
        <w:tc>
          <w:tcPr>
            <w:tcW w:w="270" w:type="dxa"/>
            <w:shd w:val="clear" w:color="auto" w:fill="auto"/>
            <w:noWrap/>
            <w:vAlign w:val="bottom"/>
          </w:tcPr>
          <w:p w14:paraId="6E4BCB6A"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2</w:t>
            </w:r>
          </w:p>
        </w:tc>
        <w:tc>
          <w:tcPr>
            <w:tcW w:w="990" w:type="dxa"/>
            <w:shd w:val="clear" w:color="auto" w:fill="auto"/>
            <w:noWrap/>
            <w:vAlign w:val="bottom"/>
          </w:tcPr>
          <w:p w14:paraId="6CC78C34"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40.6</w:t>
            </w:r>
          </w:p>
          <w:p w14:paraId="3E5A99E8"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±8.2E-13</w:t>
            </w:r>
          </w:p>
        </w:tc>
        <w:tc>
          <w:tcPr>
            <w:tcW w:w="810" w:type="dxa"/>
            <w:shd w:val="clear" w:color="auto" w:fill="auto"/>
            <w:noWrap/>
            <w:vAlign w:val="bottom"/>
          </w:tcPr>
          <w:p w14:paraId="34CF2C3A"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5.15</w:t>
            </w:r>
          </w:p>
          <w:p w14:paraId="0AE089D6"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±0.72</w:t>
            </w:r>
          </w:p>
        </w:tc>
        <w:tc>
          <w:tcPr>
            <w:tcW w:w="1170" w:type="dxa"/>
            <w:shd w:val="clear" w:color="auto" w:fill="auto"/>
            <w:noWrap/>
          </w:tcPr>
          <w:p w14:paraId="63148545"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-1.99E-04</w:t>
            </w:r>
          </w:p>
          <w:p w14:paraId="2549A08E"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±6.20E-03</w:t>
            </w:r>
          </w:p>
        </w:tc>
        <w:tc>
          <w:tcPr>
            <w:tcW w:w="450" w:type="dxa"/>
            <w:shd w:val="clear" w:color="auto" w:fill="auto"/>
            <w:noWrap/>
            <w:vAlign w:val="bottom"/>
          </w:tcPr>
          <w:p w14:paraId="14A11E10"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shd w:val="clear" w:color="auto" w:fill="auto"/>
            <w:noWrap/>
            <w:vAlign w:val="bottom"/>
          </w:tcPr>
          <w:p w14:paraId="040B0151"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0.284±0.0118</w:t>
            </w:r>
          </w:p>
        </w:tc>
        <w:tc>
          <w:tcPr>
            <w:tcW w:w="630" w:type="dxa"/>
            <w:shd w:val="clear" w:color="auto" w:fill="auto"/>
            <w:noWrap/>
            <w:vAlign w:val="bottom"/>
          </w:tcPr>
          <w:p w14:paraId="353E2810"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 xml:space="preserve">1.54 </w:t>
            </w:r>
          </w:p>
          <w:p w14:paraId="2C93CB06"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E-301</w:t>
            </w:r>
          </w:p>
        </w:tc>
        <w:tc>
          <w:tcPr>
            <w:tcW w:w="900" w:type="dxa"/>
            <w:shd w:val="clear" w:color="auto" w:fill="auto"/>
            <w:noWrap/>
            <w:vAlign w:val="bottom"/>
          </w:tcPr>
          <w:p w14:paraId="3CE07D85"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4.64±0.68</w:t>
            </w:r>
          </w:p>
        </w:tc>
        <w:tc>
          <w:tcPr>
            <w:tcW w:w="1080" w:type="dxa"/>
            <w:shd w:val="clear" w:color="auto" w:fill="auto"/>
            <w:noWrap/>
          </w:tcPr>
          <w:p w14:paraId="0B3C3714"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1.30E-01</w:t>
            </w:r>
          </w:p>
          <w:p w14:paraId="2019B2FD"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±6.40E-03</w:t>
            </w:r>
          </w:p>
        </w:tc>
        <w:tc>
          <w:tcPr>
            <w:tcW w:w="360" w:type="dxa"/>
            <w:shd w:val="clear" w:color="auto" w:fill="auto"/>
            <w:noWrap/>
            <w:vAlign w:val="bottom"/>
          </w:tcPr>
          <w:p w14:paraId="14F45AA5"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shd w:val="clear" w:color="auto" w:fill="auto"/>
            <w:noWrap/>
            <w:vAlign w:val="bottom"/>
          </w:tcPr>
          <w:p w14:paraId="7D463166"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0.261</w:t>
            </w:r>
          </w:p>
          <w:p w14:paraId="08E1FE82"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±0.012</w:t>
            </w:r>
          </w:p>
        </w:tc>
        <w:tc>
          <w:tcPr>
            <w:tcW w:w="810" w:type="dxa"/>
            <w:shd w:val="clear" w:color="auto" w:fill="auto"/>
            <w:noWrap/>
            <w:vAlign w:val="bottom"/>
          </w:tcPr>
          <w:p w14:paraId="60ED7CCB"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r>
      <w:tr w:rsidR="008802C8" w:rsidRPr="00B65D87" w14:paraId="4D1DA9B8" w14:textId="77777777">
        <w:trPr>
          <w:trHeight w:val="260"/>
        </w:trPr>
        <w:tc>
          <w:tcPr>
            <w:tcW w:w="1006" w:type="dxa"/>
            <w:tcBorders>
              <w:bottom w:val="single" w:sz="4" w:space="0" w:color="auto"/>
            </w:tcBorders>
            <w:shd w:val="clear" w:color="auto" w:fill="auto"/>
            <w:noWrap/>
            <w:vAlign w:val="bottom"/>
          </w:tcPr>
          <w:p w14:paraId="5B6EBE64"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FDR5</w:t>
            </w:r>
          </w:p>
        </w:tc>
        <w:tc>
          <w:tcPr>
            <w:tcW w:w="540" w:type="dxa"/>
            <w:gridSpan w:val="2"/>
            <w:tcBorders>
              <w:bottom w:val="single" w:sz="4" w:space="0" w:color="auto"/>
            </w:tcBorders>
            <w:shd w:val="clear" w:color="auto" w:fill="auto"/>
            <w:noWrap/>
            <w:vAlign w:val="bottom"/>
          </w:tcPr>
          <w:p w14:paraId="428AF904"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83</w:t>
            </w:r>
          </w:p>
        </w:tc>
        <w:tc>
          <w:tcPr>
            <w:tcW w:w="450" w:type="dxa"/>
            <w:gridSpan w:val="2"/>
            <w:tcBorders>
              <w:bottom w:val="single" w:sz="4" w:space="0" w:color="auto"/>
            </w:tcBorders>
            <w:shd w:val="clear" w:color="auto" w:fill="auto"/>
            <w:noWrap/>
            <w:vAlign w:val="bottom"/>
          </w:tcPr>
          <w:p w14:paraId="687FDD80"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w:t>
            </w:r>
          </w:p>
        </w:tc>
        <w:tc>
          <w:tcPr>
            <w:tcW w:w="810" w:type="dxa"/>
            <w:tcBorders>
              <w:bottom w:val="single" w:sz="4" w:space="0" w:color="auto"/>
            </w:tcBorders>
            <w:shd w:val="clear" w:color="auto" w:fill="auto"/>
            <w:noWrap/>
            <w:vAlign w:val="bottom"/>
          </w:tcPr>
          <w:p w14:paraId="0C61698B"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0.535</w:t>
            </w:r>
          </w:p>
        </w:tc>
        <w:tc>
          <w:tcPr>
            <w:tcW w:w="900" w:type="dxa"/>
            <w:tcBorders>
              <w:bottom w:val="single" w:sz="4" w:space="0" w:color="auto"/>
            </w:tcBorders>
            <w:shd w:val="clear" w:color="auto" w:fill="auto"/>
            <w:noWrap/>
          </w:tcPr>
          <w:p w14:paraId="101ABE82"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0.143</w:t>
            </w:r>
          </w:p>
          <w:p w14:paraId="6D0B3FDD"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±1.24E-04</w:t>
            </w:r>
          </w:p>
        </w:tc>
        <w:tc>
          <w:tcPr>
            <w:tcW w:w="270" w:type="dxa"/>
            <w:tcBorders>
              <w:bottom w:val="single" w:sz="4" w:space="0" w:color="auto"/>
            </w:tcBorders>
            <w:shd w:val="clear" w:color="auto" w:fill="auto"/>
            <w:noWrap/>
            <w:vAlign w:val="bottom"/>
          </w:tcPr>
          <w:p w14:paraId="639DFBCB"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3</w:t>
            </w:r>
          </w:p>
        </w:tc>
        <w:tc>
          <w:tcPr>
            <w:tcW w:w="990" w:type="dxa"/>
            <w:tcBorders>
              <w:bottom w:val="single" w:sz="4" w:space="0" w:color="auto"/>
            </w:tcBorders>
            <w:shd w:val="clear" w:color="auto" w:fill="auto"/>
            <w:noWrap/>
            <w:vAlign w:val="bottom"/>
          </w:tcPr>
          <w:p w14:paraId="3ED173FC"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55.0±0.2</w:t>
            </w:r>
          </w:p>
        </w:tc>
        <w:tc>
          <w:tcPr>
            <w:tcW w:w="810" w:type="dxa"/>
            <w:tcBorders>
              <w:bottom w:val="single" w:sz="4" w:space="0" w:color="auto"/>
            </w:tcBorders>
            <w:shd w:val="clear" w:color="auto" w:fill="auto"/>
            <w:noWrap/>
            <w:vAlign w:val="bottom"/>
          </w:tcPr>
          <w:p w14:paraId="045B7134"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5.33</w:t>
            </w:r>
          </w:p>
          <w:p w14:paraId="43128586"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±0.72</w:t>
            </w:r>
          </w:p>
        </w:tc>
        <w:tc>
          <w:tcPr>
            <w:tcW w:w="1170" w:type="dxa"/>
            <w:tcBorders>
              <w:bottom w:val="single" w:sz="4" w:space="0" w:color="auto"/>
            </w:tcBorders>
            <w:shd w:val="clear" w:color="auto" w:fill="auto"/>
            <w:noWrap/>
          </w:tcPr>
          <w:p w14:paraId="389930E9"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2.06E-04</w:t>
            </w:r>
          </w:p>
          <w:p w14:paraId="67F61C34"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±4.50E-03</w:t>
            </w:r>
          </w:p>
        </w:tc>
        <w:tc>
          <w:tcPr>
            <w:tcW w:w="450" w:type="dxa"/>
            <w:tcBorders>
              <w:bottom w:val="single" w:sz="4" w:space="0" w:color="auto"/>
            </w:tcBorders>
            <w:shd w:val="clear" w:color="auto" w:fill="auto"/>
            <w:noWrap/>
            <w:vAlign w:val="bottom"/>
          </w:tcPr>
          <w:p w14:paraId="67A4F49E"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bottom w:val="single" w:sz="4" w:space="0" w:color="auto"/>
            </w:tcBorders>
            <w:shd w:val="clear" w:color="auto" w:fill="auto"/>
            <w:noWrap/>
            <w:vAlign w:val="bottom"/>
          </w:tcPr>
          <w:p w14:paraId="3E4949A9"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0.256±0.0106</w:t>
            </w:r>
          </w:p>
        </w:tc>
        <w:tc>
          <w:tcPr>
            <w:tcW w:w="630" w:type="dxa"/>
            <w:tcBorders>
              <w:bottom w:val="single" w:sz="4" w:space="0" w:color="auto"/>
            </w:tcBorders>
            <w:shd w:val="clear" w:color="auto" w:fill="auto"/>
            <w:noWrap/>
            <w:vAlign w:val="bottom"/>
          </w:tcPr>
          <w:p w14:paraId="1C9BA054"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900" w:type="dxa"/>
            <w:tcBorders>
              <w:bottom w:val="single" w:sz="4" w:space="0" w:color="auto"/>
            </w:tcBorders>
            <w:shd w:val="clear" w:color="auto" w:fill="auto"/>
            <w:noWrap/>
            <w:vAlign w:val="bottom"/>
          </w:tcPr>
          <w:p w14:paraId="19627861"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4.91±0.67</w:t>
            </w:r>
          </w:p>
        </w:tc>
        <w:tc>
          <w:tcPr>
            <w:tcW w:w="1080" w:type="dxa"/>
            <w:tcBorders>
              <w:bottom w:val="single" w:sz="4" w:space="0" w:color="auto"/>
            </w:tcBorders>
            <w:shd w:val="clear" w:color="auto" w:fill="auto"/>
            <w:noWrap/>
          </w:tcPr>
          <w:p w14:paraId="71B0EE1D"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1.02E-01</w:t>
            </w:r>
          </w:p>
          <w:p w14:paraId="2BABB650"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±4.00E-03</w:t>
            </w:r>
          </w:p>
        </w:tc>
        <w:tc>
          <w:tcPr>
            <w:tcW w:w="360" w:type="dxa"/>
            <w:tcBorders>
              <w:bottom w:val="single" w:sz="4" w:space="0" w:color="auto"/>
            </w:tcBorders>
            <w:shd w:val="clear" w:color="auto" w:fill="auto"/>
            <w:noWrap/>
            <w:vAlign w:val="bottom"/>
          </w:tcPr>
          <w:p w14:paraId="757DE490"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bottom w:val="single" w:sz="4" w:space="0" w:color="auto"/>
            </w:tcBorders>
            <w:shd w:val="clear" w:color="auto" w:fill="auto"/>
            <w:noWrap/>
            <w:vAlign w:val="bottom"/>
          </w:tcPr>
          <w:p w14:paraId="79B66FC8"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0.244</w:t>
            </w:r>
          </w:p>
          <w:p w14:paraId="66EB3514"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±0.010</w:t>
            </w:r>
          </w:p>
        </w:tc>
        <w:tc>
          <w:tcPr>
            <w:tcW w:w="810" w:type="dxa"/>
            <w:tcBorders>
              <w:bottom w:val="single" w:sz="4" w:space="0" w:color="auto"/>
            </w:tcBorders>
            <w:shd w:val="clear" w:color="auto" w:fill="auto"/>
            <w:noWrap/>
            <w:vAlign w:val="bottom"/>
          </w:tcPr>
          <w:p w14:paraId="68602FFB"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r>
      <w:tr w:rsidR="001729C6" w:rsidRPr="00B65D87" w14:paraId="735A63D2" w14:textId="77777777">
        <w:trPr>
          <w:trHeight w:val="260"/>
        </w:trPr>
        <w:tc>
          <w:tcPr>
            <w:tcW w:w="1996" w:type="dxa"/>
            <w:gridSpan w:val="5"/>
            <w:tcBorders>
              <w:top w:val="single" w:sz="4" w:space="0" w:color="auto"/>
              <w:bottom w:val="single" w:sz="4" w:space="0" w:color="auto"/>
              <w:right w:val="nil"/>
            </w:tcBorders>
            <w:shd w:val="clear" w:color="auto" w:fill="auto"/>
            <w:noWrap/>
            <w:vAlign w:val="bottom"/>
          </w:tcPr>
          <w:p w14:paraId="0604C327" w14:textId="77777777" w:rsidR="001729C6" w:rsidRPr="00B65D87" w:rsidRDefault="001729C6" w:rsidP="001729C6">
            <w:pPr>
              <w:rPr>
                <w:rFonts w:ascii="Times New Roman" w:hAnsi="Times New Roman" w:cs="Times New Roman"/>
                <w:sz w:val="16"/>
                <w:szCs w:val="20"/>
              </w:rPr>
            </w:pPr>
            <w:r w:rsidRPr="00B65D87">
              <w:rPr>
                <w:rFonts w:ascii="Times New Roman" w:hAnsi="Times New Roman" w:cs="Times New Roman"/>
                <w:sz w:val="16"/>
                <w:szCs w:val="20"/>
              </w:rPr>
              <w:t>Module 3 submodules</w:t>
            </w:r>
          </w:p>
        </w:tc>
        <w:tc>
          <w:tcPr>
            <w:tcW w:w="810" w:type="dxa"/>
            <w:tcBorders>
              <w:top w:val="single" w:sz="4" w:space="0" w:color="auto"/>
              <w:left w:val="nil"/>
              <w:bottom w:val="single" w:sz="4" w:space="0" w:color="auto"/>
              <w:right w:val="nil"/>
            </w:tcBorders>
            <w:shd w:val="clear" w:color="auto" w:fill="auto"/>
            <w:noWrap/>
            <w:vAlign w:val="bottom"/>
          </w:tcPr>
          <w:p w14:paraId="7FBF5155" w14:textId="77777777" w:rsidR="001729C6" w:rsidRPr="00B65D87" w:rsidRDefault="001729C6" w:rsidP="001729C6">
            <w:pPr>
              <w:rPr>
                <w:rFonts w:ascii="Times New Roman" w:hAnsi="Times New Roman" w:cs="Times New Roman"/>
                <w:sz w:val="16"/>
                <w:szCs w:val="20"/>
              </w:rPr>
            </w:pPr>
          </w:p>
        </w:tc>
        <w:tc>
          <w:tcPr>
            <w:tcW w:w="900" w:type="dxa"/>
            <w:tcBorders>
              <w:top w:val="single" w:sz="4" w:space="0" w:color="auto"/>
              <w:left w:val="nil"/>
              <w:bottom w:val="single" w:sz="4" w:space="0" w:color="auto"/>
              <w:right w:val="nil"/>
            </w:tcBorders>
            <w:shd w:val="clear" w:color="auto" w:fill="auto"/>
            <w:noWrap/>
            <w:vAlign w:val="bottom"/>
          </w:tcPr>
          <w:p w14:paraId="69A0237C" w14:textId="77777777" w:rsidR="001729C6" w:rsidRPr="00B65D87" w:rsidRDefault="001729C6">
            <w:pPr>
              <w:rPr>
                <w:rFonts w:ascii="Times New Roman" w:hAnsi="Times New Roman" w:cs="Times New Roman"/>
                <w:sz w:val="16"/>
                <w:szCs w:val="16"/>
              </w:rPr>
            </w:pPr>
          </w:p>
        </w:tc>
        <w:tc>
          <w:tcPr>
            <w:tcW w:w="270" w:type="dxa"/>
            <w:tcBorders>
              <w:top w:val="single" w:sz="4" w:space="0" w:color="auto"/>
              <w:left w:val="nil"/>
              <w:bottom w:val="single" w:sz="4" w:space="0" w:color="auto"/>
              <w:right w:val="nil"/>
            </w:tcBorders>
            <w:shd w:val="clear" w:color="auto" w:fill="auto"/>
            <w:noWrap/>
          </w:tcPr>
          <w:p w14:paraId="3F7E44C2" w14:textId="77777777" w:rsidR="001729C6" w:rsidRPr="00B65D87" w:rsidRDefault="001729C6">
            <w:pPr>
              <w:rPr>
                <w:rFonts w:ascii="Times New Roman" w:hAnsi="Times New Roman" w:cs="Times New Roman"/>
              </w:rPr>
            </w:pPr>
          </w:p>
        </w:tc>
        <w:tc>
          <w:tcPr>
            <w:tcW w:w="990" w:type="dxa"/>
            <w:tcBorders>
              <w:top w:val="single" w:sz="4" w:space="0" w:color="auto"/>
              <w:left w:val="nil"/>
              <w:bottom w:val="single" w:sz="4" w:space="0" w:color="auto"/>
              <w:right w:val="nil"/>
            </w:tcBorders>
            <w:shd w:val="clear" w:color="auto" w:fill="auto"/>
            <w:noWrap/>
            <w:vAlign w:val="bottom"/>
          </w:tcPr>
          <w:p w14:paraId="6A2091DA" w14:textId="77777777" w:rsidR="001729C6" w:rsidRPr="00B65D87" w:rsidRDefault="001729C6">
            <w:pPr>
              <w:rPr>
                <w:rFonts w:ascii="Times New Roman" w:hAnsi="Times New Roman" w:cs="Times New Roman"/>
                <w:sz w:val="16"/>
                <w:szCs w:val="16"/>
              </w:rPr>
            </w:pPr>
          </w:p>
        </w:tc>
        <w:tc>
          <w:tcPr>
            <w:tcW w:w="810" w:type="dxa"/>
            <w:tcBorders>
              <w:top w:val="single" w:sz="4" w:space="0" w:color="auto"/>
              <w:left w:val="nil"/>
              <w:bottom w:val="single" w:sz="4" w:space="0" w:color="auto"/>
              <w:right w:val="nil"/>
            </w:tcBorders>
            <w:shd w:val="clear" w:color="auto" w:fill="auto"/>
            <w:noWrap/>
            <w:vAlign w:val="bottom"/>
          </w:tcPr>
          <w:p w14:paraId="7E884E0E" w14:textId="77777777" w:rsidR="001729C6" w:rsidRPr="00B65D87" w:rsidRDefault="001729C6">
            <w:pPr>
              <w:rPr>
                <w:rFonts w:ascii="Times New Roman" w:hAnsi="Times New Roman" w:cs="Times New Roman"/>
                <w:sz w:val="16"/>
                <w:szCs w:val="16"/>
              </w:rPr>
            </w:pPr>
          </w:p>
        </w:tc>
        <w:tc>
          <w:tcPr>
            <w:tcW w:w="1170" w:type="dxa"/>
            <w:tcBorders>
              <w:top w:val="single" w:sz="4" w:space="0" w:color="auto"/>
              <w:left w:val="nil"/>
              <w:bottom w:val="single" w:sz="4" w:space="0" w:color="auto"/>
              <w:right w:val="nil"/>
            </w:tcBorders>
            <w:shd w:val="clear" w:color="auto" w:fill="auto"/>
            <w:noWrap/>
            <w:vAlign w:val="bottom"/>
          </w:tcPr>
          <w:p w14:paraId="4E276493" w14:textId="77777777" w:rsidR="001729C6" w:rsidRPr="00B65D87" w:rsidRDefault="001729C6">
            <w:pPr>
              <w:rPr>
                <w:rFonts w:ascii="Times New Roman" w:hAnsi="Times New Roman" w:cs="Times New Roman"/>
                <w:sz w:val="16"/>
                <w:szCs w:val="16"/>
              </w:rPr>
            </w:pPr>
          </w:p>
        </w:tc>
        <w:tc>
          <w:tcPr>
            <w:tcW w:w="450" w:type="dxa"/>
            <w:tcBorders>
              <w:top w:val="single" w:sz="4" w:space="0" w:color="auto"/>
              <w:left w:val="nil"/>
              <w:bottom w:val="single" w:sz="4" w:space="0" w:color="auto"/>
              <w:right w:val="nil"/>
            </w:tcBorders>
            <w:shd w:val="clear" w:color="auto" w:fill="auto"/>
            <w:noWrap/>
          </w:tcPr>
          <w:p w14:paraId="584A2E0C" w14:textId="77777777" w:rsidR="001729C6" w:rsidRPr="00B65D87" w:rsidRDefault="001729C6">
            <w:pPr>
              <w:rPr>
                <w:rFonts w:ascii="Times New Roman" w:hAnsi="Times New Roman" w:cs="Times New Roman"/>
              </w:rPr>
            </w:pPr>
          </w:p>
        </w:tc>
        <w:tc>
          <w:tcPr>
            <w:tcW w:w="810" w:type="dxa"/>
            <w:tcBorders>
              <w:top w:val="single" w:sz="4" w:space="0" w:color="auto"/>
              <w:left w:val="nil"/>
              <w:bottom w:val="single" w:sz="4" w:space="0" w:color="auto"/>
              <w:right w:val="nil"/>
            </w:tcBorders>
            <w:shd w:val="clear" w:color="auto" w:fill="auto"/>
            <w:noWrap/>
            <w:vAlign w:val="bottom"/>
          </w:tcPr>
          <w:p w14:paraId="30D5699D" w14:textId="77777777" w:rsidR="001729C6" w:rsidRPr="00B65D87" w:rsidRDefault="001729C6" w:rsidP="001729C6">
            <w:pPr>
              <w:rPr>
                <w:rFonts w:ascii="Times New Roman" w:hAnsi="Times New Roman" w:cs="Times New Roman"/>
                <w:sz w:val="16"/>
                <w:szCs w:val="20"/>
              </w:rPr>
            </w:pPr>
          </w:p>
        </w:tc>
        <w:tc>
          <w:tcPr>
            <w:tcW w:w="630" w:type="dxa"/>
            <w:tcBorders>
              <w:top w:val="single" w:sz="4" w:space="0" w:color="auto"/>
              <w:left w:val="nil"/>
              <w:bottom w:val="single" w:sz="4" w:space="0" w:color="auto"/>
              <w:right w:val="nil"/>
            </w:tcBorders>
            <w:shd w:val="clear" w:color="auto" w:fill="auto"/>
            <w:noWrap/>
            <w:vAlign w:val="bottom"/>
          </w:tcPr>
          <w:p w14:paraId="06416B0E" w14:textId="77777777" w:rsidR="001729C6" w:rsidRPr="00B65D87" w:rsidRDefault="001729C6">
            <w:pPr>
              <w:rPr>
                <w:rFonts w:ascii="Times New Roman" w:hAnsi="Times New Roman" w:cs="Times New Roman"/>
                <w:sz w:val="16"/>
                <w:szCs w:val="16"/>
              </w:rPr>
            </w:pPr>
          </w:p>
        </w:tc>
        <w:tc>
          <w:tcPr>
            <w:tcW w:w="900" w:type="dxa"/>
            <w:tcBorders>
              <w:top w:val="single" w:sz="4" w:space="0" w:color="auto"/>
              <w:left w:val="nil"/>
              <w:bottom w:val="single" w:sz="4" w:space="0" w:color="auto"/>
              <w:right w:val="nil"/>
            </w:tcBorders>
            <w:shd w:val="clear" w:color="auto" w:fill="auto"/>
            <w:noWrap/>
            <w:vAlign w:val="bottom"/>
          </w:tcPr>
          <w:p w14:paraId="16B4A259" w14:textId="77777777" w:rsidR="001729C6" w:rsidRPr="00B65D87" w:rsidRDefault="001729C6" w:rsidP="001729C6">
            <w:pPr>
              <w:rPr>
                <w:rFonts w:ascii="Times New Roman" w:hAnsi="Times New Roman" w:cs="Times New Roman"/>
                <w:sz w:val="16"/>
                <w:szCs w:val="20"/>
              </w:rPr>
            </w:pPr>
          </w:p>
        </w:tc>
        <w:tc>
          <w:tcPr>
            <w:tcW w:w="1080" w:type="dxa"/>
            <w:tcBorders>
              <w:top w:val="single" w:sz="4" w:space="0" w:color="auto"/>
              <w:left w:val="nil"/>
              <w:bottom w:val="single" w:sz="4" w:space="0" w:color="auto"/>
              <w:right w:val="nil"/>
            </w:tcBorders>
            <w:shd w:val="clear" w:color="auto" w:fill="auto"/>
            <w:noWrap/>
            <w:vAlign w:val="bottom"/>
          </w:tcPr>
          <w:p w14:paraId="2AC4F4E5" w14:textId="77777777" w:rsidR="001729C6" w:rsidRPr="00B65D87" w:rsidRDefault="001729C6">
            <w:pPr>
              <w:rPr>
                <w:rFonts w:ascii="Times New Roman" w:hAnsi="Times New Roman" w:cs="Times New Roman"/>
                <w:sz w:val="16"/>
                <w:szCs w:val="16"/>
              </w:rPr>
            </w:pPr>
          </w:p>
        </w:tc>
        <w:tc>
          <w:tcPr>
            <w:tcW w:w="360" w:type="dxa"/>
            <w:tcBorders>
              <w:top w:val="single" w:sz="4" w:space="0" w:color="auto"/>
              <w:left w:val="nil"/>
              <w:bottom w:val="single" w:sz="4" w:space="0" w:color="auto"/>
              <w:right w:val="nil"/>
            </w:tcBorders>
            <w:shd w:val="clear" w:color="auto" w:fill="auto"/>
            <w:noWrap/>
          </w:tcPr>
          <w:p w14:paraId="60F3B062" w14:textId="77777777" w:rsidR="001729C6" w:rsidRPr="00B65D87" w:rsidRDefault="001729C6">
            <w:pPr>
              <w:rPr>
                <w:rFonts w:ascii="Times New Roman" w:hAnsi="Times New Roman" w:cs="Times New Roman"/>
              </w:rPr>
            </w:pPr>
          </w:p>
        </w:tc>
        <w:tc>
          <w:tcPr>
            <w:tcW w:w="810" w:type="dxa"/>
            <w:tcBorders>
              <w:top w:val="single" w:sz="4" w:space="0" w:color="auto"/>
              <w:left w:val="nil"/>
              <w:bottom w:val="single" w:sz="4" w:space="0" w:color="auto"/>
              <w:right w:val="nil"/>
            </w:tcBorders>
            <w:shd w:val="clear" w:color="auto" w:fill="auto"/>
            <w:noWrap/>
            <w:vAlign w:val="bottom"/>
          </w:tcPr>
          <w:p w14:paraId="7FC28C78" w14:textId="77777777" w:rsidR="001729C6" w:rsidRPr="00B65D87" w:rsidRDefault="001729C6" w:rsidP="001729C6">
            <w:pPr>
              <w:rPr>
                <w:rFonts w:ascii="Times New Roman" w:hAnsi="Times New Roman" w:cs="Times New Roman"/>
                <w:sz w:val="16"/>
                <w:szCs w:val="20"/>
              </w:rPr>
            </w:pPr>
          </w:p>
        </w:tc>
        <w:tc>
          <w:tcPr>
            <w:tcW w:w="810" w:type="dxa"/>
            <w:tcBorders>
              <w:top w:val="single" w:sz="4" w:space="0" w:color="auto"/>
              <w:left w:val="nil"/>
              <w:bottom w:val="single" w:sz="4" w:space="0" w:color="auto"/>
            </w:tcBorders>
            <w:shd w:val="clear" w:color="auto" w:fill="auto"/>
            <w:noWrap/>
            <w:vAlign w:val="bottom"/>
          </w:tcPr>
          <w:p w14:paraId="6593D4DF" w14:textId="77777777" w:rsidR="001729C6" w:rsidRPr="00B65D87" w:rsidRDefault="001729C6">
            <w:pPr>
              <w:rPr>
                <w:rFonts w:ascii="Times New Roman" w:hAnsi="Times New Roman" w:cs="Times New Roman"/>
                <w:sz w:val="16"/>
                <w:szCs w:val="16"/>
              </w:rPr>
            </w:pPr>
          </w:p>
        </w:tc>
      </w:tr>
      <w:tr w:rsidR="008802C8" w:rsidRPr="00B65D87" w14:paraId="0608BAE6" w14:textId="77777777">
        <w:trPr>
          <w:trHeight w:val="260"/>
        </w:trPr>
        <w:tc>
          <w:tcPr>
            <w:tcW w:w="1096" w:type="dxa"/>
            <w:gridSpan w:val="2"/>
            <w:tcBorders>
              <w:top w:val="single" w:sz="4" w:space="0" w:color="auto"/>
            </w:tcBorders>
            <w:shd w:val="clear" w:color="auto" w:fill="auto"/>
            <w:noWrap/>
            <w:vAlign w:val="bottom"/>
          </w:tcPr>
          <w:p w14:paraId="6DB4764F" w14:textId="77777777" w:rsidR="008802C8" w:rsidRPr="00B65D87" w:rsidRDefault="001729C6" w:rsidP="001729C6">
            <w:pPr>
              <w:rPr>
                <w:rFonts w:ascii="Times New Roman" w:hAnsi="Times New Roman" w:cs="Times New Roman"/>
                <w:sz w:val="16"/>
                <w:szCs w:val="20"/>
              </w:rPr>
            </w:pPr>
            <w:r w:rsidRPr="00B65D87">
              <w:rPr>
                <w:rFonts w:ascii="Times New Roman" w:hAnsi="Times New Roman" w:cs="Times New Roman"/>
                <w:sz w:val="16"/>
                <w:szCs w:val="20"/>
              </w:rPr>
              <w:t>KR</w:t>
            </w:r>
          </w:p>
        </w:tc>
        <w:tc>
          <w:tcPr>
            <w:tcW w:w="450" w:type="dxa"/>
            <w:tcBorders>
              <w:top w:val="single" w:sz="4" w:space="0" w:color="auto"/>
            </w:tcBorders>
            <w:shd w:val="clear" w:color="auto" w:fill="auto"/>
            <w:noWrap/>
            <w:vAlign w:val="bottom"/>
          </w:tcPr>
          <w:p w14:paraId="3F2B9AD4"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35</w:t>
            </w:r>
          </w:p>
        </w:tc>
        <w:tc>
          <w:tcPr>
            <w:tcW w:w="450" w:type="dxa"/>
            <w:gridSpan w:val="2"/>
            <w:tcBorders>
              <w:top w:val="single" w:sz="4" w:space="0" w:color="auto"/>
            </w:tcBorders>
            <w:shd w:val="clear" w:color="auto" w:fill="auto"/>
            <w:noWrap/>
            <w:vAlign w:val="bottom"/>
          </w:tcPr>
          <w:p w14:paraId="06DF80AD"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w:t>
            </w:r>
          </w:p>
        </w:tc>
        <w:tc>
          <w:tcPr>
            <w:tcW w:w="810" w:type="dxa"/>
            <w:tcBorders>
              <w:top w:val="single" w:sz="4" w:space="0" w:color="auto"/>
            </w:tcBorders>
            <w:shd w:val="clear" w:color="auto" w:fill="auto"/>
            <w:noWrap/>
            <w:vAlign w:val="bottom"/>
          </w:tcPr>
          <w:p w14:paraId="47580F2A"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0.331</w:t>
            </w:r>
          </w:p>
        </w:tc>
        <w:tc>
          <w:tcPr>
            <w:tcW w:w="900" w:type="dxa"/>
            <w:tcBorders>
              <w:top w:val="single" w:sz="4" w:space="0" w:color="auto"/>
            </w:tcBorders>
            <w:shd w:val="clear" w:color="auto" w:fill="auto"/>
            <w:noWrap/>
          </w:tcPr>
          <w:p w14:paraId="184A9F71"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0.237</w:t>
            </w:r>
          </w:p>
          <w:p w14:paraId="01D37C16"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±0.001</w:t>
            </w:r>
          </w:p>
        </w:tc>
        <w:tc>
          <w:tcPr>
            <w:tcW w:w="270" w:type="dxa"/>
            <w:tcBorders>
              <w:top w:val="single" w:sz="4" w:space="0" w:color="auto"/>
            </w:tcBorders>
            <w:shd w:val="clear" w:color="auto" w:fill="auto"/>
            <w:noWrap/>
            <w:vAlign w:val="bottom"/>
          </w:tcPr>
          <w:p w14:paraId="294BF6CA"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3</w:t>
            </w:r>
          </w:p>
        </w:tc>
        <w:tc>
          <w:tcPr>
            <w:tcW w:w="990" w:type="dxa"/>
            <w:tcBorders>
              <w:top w:val="single" w:sz="4" w:space="0" w:color="auto"/>
            </w:tcBorders>
            <w:shd w:val="clear" w:color="auto" w:fill="auto"/>
            <w:noWrap/>
            <w:vAlign w:val="bottom"/>
          </w:tcPr>
          <w:p w14:paraId="62476FF6"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23.6±1.4</w:t>
            </w:r>
          </w:p>
        </w:tc>
        <w:tc>
          <w:tcPr>
            <w:tcW w:w="810" w:type="dxa"/>
            <w:tcBorders>
              <w:top w:val="single" w:sz="4" w:space="0" w:color="auto"/>
            </w:tcBorders>
            <w:shd w:val="clear" w:color="auto" w:fill="auto"/>
            <w:noWrap/>
            <w:vAlign w:val="bottom"/>
          </w:tcPr>
          <w:p w14:paraId="699F1345"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4.71</w:t>
            </w:r>
          </w:p>
          <w:p w14:paraId="16B33548"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±0.69</w:t>
            </w:r>
          </w:p>
        </w:tc>
        <w:tc>
          <w:tcPr>
            <w:tcW w:w="1170" w:type="dxa"/>
            <w:tcBorders>
              <w:top w:val="single" w:sz="4" w:space="0" w:color="auto"/>
            </w:tcBorders>
            <w:shd w:val="clear" w:color="auto" w:fill="auto"/>
            <w:noWrap/>
          </w:tcPr>
          <w:p w14:paraId="740FBE41"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3.55E-04</w:t>
            </w:r>
          </w:p>
          <w:p w14:paraId="1B02BF2C"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±1.10E-02</w:t>
            </w:r>
          </w:p>
        </w:tc>
        <w:tc>
          <w:tcPr>
            <w:tcW w:w="450" w:type="dxa"/>
            <w:tcBorders>
              <w:top w:val="single" w:sz="4" w:space="0" w:color="auto"/>
            </w:tcBorders>
            <w:shd w:val="clear" w:color="auto" w:fill="auto"/>
            <w:noWrap/>
            <w:vAlign w:val="bottom"/>
          </w:tcPr>
          <w:p w14:paraId="536CC2B1"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top w:val="single" w:sz="4" w:space="0" w:color="auto"/>
            </w:tcBorders>
            <w:shd w:val="clear" w:color="auto" w:fill="auto"/>
            <w:noWrap/>
            <w:vAlign w:val="bottom"/>
          </w:tcPr>
          <w:p w14:paraId="0E75D3A0"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0.3177±0.0143</w:t>
            </w:r>
          </w:p>
        </w:tc>
        <w:tc>
          <w:tcPr>
            <w:tcW w:w="630" w:type="dxa"/>
            <w:tcBorders>
              <w:top w:val="single" w:sz="4" w:space="0" w:color="auto"/>
            </w:tcBorders>
            <w:shd w:val="clear" w:color="auto" w:fill="auto"/>
            <w:noWrap/>
            <w:vAlign w:val="bottom"/>
          </w:tcPr>
          <w:p w14:paraId="59445400"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900" w:type="dxa"/>
            <w:tcBorders>
              <w:top w:val="single" w:sz="4" w:space="0" w:color="auto"/>
            </w:tcBorders>
            <w:shd w:val="clear" w:color="auto" w:fill="auto"/>
            <w:noWrap/>
            <w:vAlign w:val="bottom"/>
          </w:tcPr>
          <w:p w14:paraId="2D576AA7"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4.24±0.66</w:t>
            </w:r>
          </w:p>
        </w:tc>
        <w:tc>
          <w:tcPr>
            <w:tcW w:w="1080" w:type="dxa"/>
            <w:tcBorders>
              <w:top w:val="single" w:sz="4" w:space="0" w:color="auto"/>
            </w:tcBorders>
            <w:shd w:val="clear" w:color="auto" w:fill="auto"/>
            <w:noWrap/>
          </w:tcPr>
          <w:p w14:paraId="0DA35CAA"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2.55E-01</w:t>
            </w:r>
          </w:p>
          <w:p w14:paraId="4F26B0FC"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±9.10E-03</w:t>
            </w:r>
          </w:p>
        </w:tc>
        <w:tc>
          <w:tcPr>
            <w:tcW w:w="360" w:type="dxa"/>
            <w:tcBorders>
              <w:top w:val="single" w:sz="4" w:space="0" w:color="auto"/>
            </w:tcBorders>
            <w:shd w:val="clear" w:color="auto" w:fill="auto"/>
            <w:noWrap/>
            <w:vAlign w:val="bottom"/>
          </w:tcPr>
          <w:p w14:paraId="1A609B7A"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top w:val="single" w:sz="4" w:space="0" w:color="auto"/>
            </w:tcBorders>
            <w:shd w:val="clear" w:color="auto" w:fill="auto"/>
            <w:noWrap/>
            <w:vAlign w:val="bottom"/>
          </w:tcPr>
          <w:p w14:paraId="07394854"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0.199</w:t>
            </w:r>
          </w:p>
          <w:p w14:paraId="3B986A0D"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±0.013</w:t>
            </w:r>
          </w:p>
        </w:tc>
        <w:tc>
          <w:tcPr>
            <w:tcW w:w="810" w:type="dxa"/>
            <w:tcBorders>
              <w:top w:val="single" w:sz="4" w:space="0" w:color="auto"/>
            </w:tcBorders>
            <w:shd w:val="clear" w:color="auto" w:fill="auto"/>
            <w:noWrap/>
            <w:vAlign w:val="bottom"/>
          </w:tcPr>
          <w:p w14:paraId="61293CA7"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r>
      <w:tr w:rsidR="008802C8" w:rsidRPr="00B65D87" w14:paraId="4F5211B0" w14:textId="77777777">
        <w:trPr>
          <w:trHeight w:val="520"/>
        </w:trPr>
        <w:tc>
          <w:tcPr>
            <w:tcW w:w="1096" w:type="dxa"/>
            <w:gridSpan w:val="2"/>
            <w:tcBorders>
              <w:bottom w:val="nil"/>
            </w:tcBorders>
            <w:shd w:val="clear" w:color="auto" w:fill="auto"/>
            <w:noWrap/>
            <w:vAlign w:val="bottom"/>
          </w:tcPr>
          <w:p w14:paraId="17F6B012"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FDR1</w:t>
            </w:r>
          </w:p>
        </w:tc>
        <w:tc>
          <w:tcPr>
            <w:tcW w:w="450" w:type="dxa"/>
            <w:tcBorders>
              <w:bottom w:val="nil"/>
            </w:tcBorders>
            <w:shd w:val="clear" w:color="auto" w:fill="auto"/>
            <w:noWrap/>
            <w:vAlign w:val="bottom"/>
          </w:tcPr>
          <w:p w14:paraId="6DCD63F3"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66</w:t>
            </w:r>
          </w:p>
        </w:tc>
        <w:tc>
          <w:tcPr>
            <w:tcW w:w="450" w:type="dxa"/>
            <w:gridSpan w:val="2"/>
            <w:tcBorders>
              <w:bottom w:val="nil"/>
            </w:tcBorders>
            <w:shd w:val="clear" w:color="auto" w:fill="auto"/>
            <w:noWrap/>
            <w:vAlign w:val="bottom"/>
          </w:tcPr>
          <w:p w14:paraId="7B805111"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w:t>
            </w:r>
          </w:p>
        </w:tc>
        <w:tc>
          <w:tcPr>
            <w:tcW w:w="810" w:type="dxa"/>
            <w:tcBorders>
              <w:bottom w:val="nil"/>
            </w:tcBorders>
            <w:shd w:val="clear" w:color="auto" w:fill="auto"/>
            <w:noWrap/>
            <w:vAlign w:val="bottom"/>
          </w:tcPr>
          <w:p w14:paraId="04B2F9AF"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0.537</w:t>
            </w:r>
          </w:p>
        </w:tc>
        <w:tc>
          <w:tcPr>
            <w:tcW w:w="900" w:type="dxa"/>
            <w:tcBorders>
              <w:bottom w:val="nil"/>
            </w:tcBorders>
            <w:shd w:val="clear" w:color="auto" w:fill="auto"/>
          </w:tcPr>
          <w:p w14:paraId="61214F77"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0.142</w:t>
            </w:r>
          </w:p>
          <w:p w14:paraId="55F27E77"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±3.59E-04</w:t>
            </w:r>
          </w:p>
        </w:tc>
        <w:tc>
          <w:tcPr>
            <w:tcW w:w="270" w:type="dxa"/>
            <w:tcBorders>
              <w:bottom w:val="nil"/>
            </w:tcBorders>
            <w:shd w:val="clear" w:color="auto" w:fill="auto"/>
            <w:noWrap/>
            <w:vAlign w:val="bottom"/>
          </w:tcPr>
          <w:p w14:paraId="52EA8D32"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3</w:t>
            </w:r>
          </w:p>
        </w:tc>
        <w:tc>
          <w:tcPr>
            <w:tcW w:w="990" w:type="dxa"/>
            <w:tcBorders>
              <w:bottom w:val="nil"/>
            </w:tcBorders>
            <w:shd w:val="clear" w:color="auto" w:fill="auto"/>
            <w:noWrap/>
            <w:vAlign w:val="bottom"/>
          </w:tcPr>
          <w:p w14:paraId="0B379B92"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38.3±3.6</w:t>
            </w:r>
          </w:p>
        </w:tc>
        <w:tc>
          <w:tcPr>
            <w:tcW w:w="810" w:type="dxa"/>
            <w:tcBorders>
              <w:bottom w:val="nil"/>
            </w:tcBorders>
            <w:shd w:val="clear" w:color="auto" w:fill="auto"/>
            <w:noWrap/>
            <w:vAlign w:val="bottom"/>
          </w:tcPr>
          <w:p w14:paraId="6F57F2CC"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5.59</w:t>
            </w:r>
          </w:p>
          <w:p w14:paraId="1C0A763F"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±0.75</w:t>
            </w:r>
          </w:p>
        </w:tc>
        <w:tc>
          <w:tcPr>
            <w:tcW w:w="1170" w:type="dxa"/>
            <w:tcBorders>
              <w:bottom w:val="nil"/>
            </w:tcBorders>
            <w:shd w:val="clear" w:color="auto" w:fill="auto"/>
            <w:noWrap/>
          </w:tcPr>
          <w:p w14:paraId="5867055C"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4.57E-06</w:t>
            </w:r>
          </w:p>
          <w:p w14:paraId="0345764A"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±5.50E-03</w:t>
            </w:r>
          </w:p>
        </w:tc>
        <w:tc>
          <w:tcPr>
            <w:tcW w:w="450" w:type="dxa"/>
            <w:tcBorders>
              <w:bottom w:val="nil"/>
            </w:tcBorders>
            <w:shd w:val="clear" w:color="auto" w:fill="auto"/>
            <w:noWrap/>
            <w:vAlign w:val="bottom"/>
          </w:tcPr>
          <w:p w14:paraId="1AD79C86"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bottom w:val="nil"/>
            </w:tcBorders>
            <w:shd w:val="clear" w:color="auto" w:fill="auto"/>
            <w:noWrap/>
            <w:vAlign w:val="bottom"/>
          </w:tcPr>
          <w:p w14:paraId="5C9C7787"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0.2869±0.012</w:t>
            </w:r>
          </w:p>
        </w:tc>
        <w:tc>
          <w:tcPr>
            <w:tcW w:w="630" w:type="dxa"/>
            <w:tcBorders>
              <w:bottom w:val="nil"/>
            </w:tcBorders>
            <w:shd w:val="clear" w:color="auto" w:fill="auto"/>
            <w:noWrap/>
            <w:vAlign w:val="bottom"/>
          </w:tcPr>
          <w:p w14:paraId="79A26562"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900" w:type="dxa"/>
            <w:tcBorders>
              <w:bottom w:val="nil"/>
            </w:tcBorders>
            <w:shd w:val="clear" w:color="auto" w:fill="auto"/>
            <w:noWrap/>
            <w:vAlign w:val="bottom"/>
          </w:tcPr>
          <w:p w14:paraId="66185DA8"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5.28±0.72</w:t>
            </w:r>
          </w:p>
        </w:tc>
        <w:tc>
          <w:tcPr>
            <w:tcW w:w="1080" w:type="dxa"/>
            <w:tcBorders>
              <w:bottom w:val="nil"/>
            </w:tcBorders>
            <w:shd w:val="clear" w:color="auto" w:fill="auto"/>
            <w:noWrap/>
          </w:tcPr>
          <w:p w14:paraId="4FCDD604"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8.49E-02</w:t>
            </w:r>
          </w:p>
          <w:p w14:paraId="26982515"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±5.60E-03</w:t>
            </w:r>
          </w:p>
        </w:tc>
        <w:tc>
          <w:tcPr>
            <w:tcW w:w="360" w:type="dxa"/>
            <w:tcBorders>
              <w:bottom w:val="nil"/>
            </w:tcBorders>
            <w:shd w:val="clear" w:color="auto" w:fill="auto"/>
            <w:noWrap/>
            <w:vAlign w:val="bottom"/>
          </w:tcPr>
          <w:p w14:paraId="35D35100"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bottom w:val="nil"/>
            </w:tcBorders>
            <w:shd w:val="clear" w:color="auto" w:fill="auto"/>
            <w:noWrap/>
            <w:vAlign w:val="bottom"/>
          </w:tcPr>
          <w:p w14:paraId="06D73396"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0.306</w:t>
            </w:r>
          </w:p>
          <w:p w14:paraId="08E2B905"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±0.012</w:t>
            </w:r>
          </w:p>
        </w:tc>
        <w:tc>
          <w:tcPr>
            <w:tcW w:w="810" w:type="dxa"/>
            <w:tcBorders>
              <w:bottom w:val="nil"/>
            </w:tcBorders>
            <w:shd w:val="clear" w:color="auto" w:fill="auto"/>
            <w:noWrap/>
            <w:vAlign w:val="bottom"/>
          </w:tcPr>
          <w:p w14:paraId="7CE098C7"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r>
      <w:tr w:rsidR="008802C8" w:rsidRPr="00B65D87" w14:paraId="294FB801" w14:textId="77777777">
        <w:trPr>
          <w:trHeight w:val="260"/>
        </w:trPr>
        <w:tc>
          <w:tcPr>
            <w:tcW w:w="1096" w:type="dxa"/>
            <w:gridSpan w:val="2"/>
            <w:tcBorders>
              <w:bottom w:val="single" w:sz="4" w:space="0" w:color="auto"/>
            </w:tcBorders>
            <w:shd w:val="clear" w:color="auto" w:fill="auto"/>
            <w:noWrap/>
            <w:vAlign w:val="bottom"/>
          </w:tcPr>
          <w:p w14:paraId="1A7D6F79" w14:textId="77777777" w:rsidR="008802C8" w:rsidRPr="00B65D87" w:rsidRDefault="008802C8" w:rsidP="001729C6">
            <w:pPr>
              <w:rPr>
                <w:rFonts w:ascii="Times New Roman" w:hAnsi="Times New Roman" w:cs="Times New Roman"/>
                <w:sz w:val="16"/>
                <w:szCs w:val="20"/>
              </w:rPr>
            </w:pPr>
            <w:r w:rsidRPr="00B65D87">
              <w:rPr>
                <w:rFonts w:ascii="Times New Roman" w:hAnsi="Times New Roman" w:cs="Times New Roman"/>
                <w:sz w:val="16"/>
                <w:szCs w:val="20"/>
              </w:rPr>
              <w:t>FDR5</w:t>
            </w:r>
          </w:p>
        </w:tc>
        <w:tc>
          <w:tcPr>
            <w:tcW w:w="450" w:type="dxa"/>
            <w:tcBorders>
              <w:bottom w:val="single" w:sz="4" w:space="0" w:color="auto"/>
            </w:tcBorders>
            <w:shd w:val="clear" w:color="auto" w:fill="auto"/>
            <w:noWrap/>
            <w:vAlign w:val="bottom"/>
          </w:tcPr>
          <w:p w14:paraId="592A22F6"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97</w:t>
            </w:r>
          </w:p>
        </w:tc>
        <w:tc>
          <w:tcPr>
            <w:tcW w:w="450" w:type="dxa"/>
            <w:gridSpan w:val="2"/>
            <w:tcBorders>
              <w:bottom w:val="single" w:sz="4" w:space="0" w:color="auto"/>
            </w:tcBorders>
            <w:shd w:val="clear" w:color="auto" w:fill="auto"/>
            <w:noWrap/>
            <w:vAlign w:val="bottom"/>
          </w:tcPr>
          <w:p w14:paraId="408C2570"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1</w:t>
            </w:r>
          </w:p>
        </w:tc>
        <w:tc>
          <w:tcPr>
            <w:tcW w:w="810" w:type="dxa"/>
            <w:tcBorders>
              <w:bottom w:val="single" w:sz="4" w:space="0" w:color="auto"/>
            </w:tcBorders>
            <w:shd w:val="clear" w:color="auto" w:fill="auto"/>
            <w:noWrap/>
            <w:vAlign w:val="bottom"/>
          </w:tcPr>
          <w:p w14:paraId="5B850D02"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0.386</w:t>
            </w:r>
          </w:p>
        </w:tc>
        <w:tc>
          <w:tcPr>
            <w:tcW w:w="900" w:type="dxa"/>
            <w:tcBorders>
              <w:bottom w:val="single" w:sz="4" w:space="0" w:color="auto"/>
            </w:tcBorders>
            <w:shd w:val="clear" w:color="auto" w:fill="auto"/>
            <w:noWrap/>
          </w:tcPr>
          <w:p w14:paraId="1A50DEF8"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0.187</w:t>
            </w:r>
          </w:p>
          <w:p w14:paraId="2B869062"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±0.001</w:t>
            </w:r>
          </w:p>
        </w:tc>
        <w:tc>
          <w:tcPr>
            <w:tcW w:w="270" w:type="dxa"/>
            <w:tcBorders>
              <w:bottom w:val="single" w:sz="4" w:space="0" w:color="auto"/>
            </w:tcBorders>
            <w:shd w:val="clear" w:color="auto" w:fill="auto"/>
            <w:noWrap/>
            <w:vAlign w:val="bottom"/>
          </w:tcPr>
          <w:p w14:paraId="645DD398" w14:textId="77777777" w:rsidR="008802C8" w:rsidRPr="00B65D87" w:rsidRDefault="008802C8">
            <w:pPr>
              <w:jc w:val="right"/>
              <w:rPr>
                <w:rFonts w:ascii="Times New Roman" w:hAnsi="Times New Roman" w:cs="Times New Roman"/>
                <w:sz w:val="16"/>
                <w:szCs w:val="16"/>
              </w:rPr>
            </w:pPr>
            <w:r w:rsidRPr="00B65D87">
              <w:rPr>
                <w:rFonts w:ascii="Times New Roman" w:hAnsi="Times New Roman" w:cs="Times New Roman"/>
                <w:sz w:val="16"/>
                <w:szCs w:val="16"/>
              </w:rPr>
              <w:t>3</w:t>
            </w:r>
          </w:p>
        </w:tc>
        <w:tc>
          <w:tcPr>
            <w:tcW w:w="990" w:type="dxa"/>
            <w:tcBorders>
              <w:bottom w:val="single" w:sz="4" w:space="0" w:color="auto"/>
            </w:tcBorders>
            <w:shd w:val="clear" w:color="auto" w:fill="auto"/>
            <w:noWrap/>
            <w:vAlign w:val="bottom"/>
          </w:tcPr>
          <w:p w14:paraId="7E8B5FCE"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53.1±8.3</w:t>
            </w:r>
          </w:p>
        </w:tc>
        <w:tc>
          <w:tcPr>
            <w:tcW w:w="810" w:type="dxa"/>
            <w:tcBorders>
              <w:bottom w:val="single" w:sz="4" w:space="0" w:color="auto"/>
            </w:tcBorders>
            <w:shd w:val="clear" w:color="auto" w:fill="auto"/>
            <w:noWrap/>
            <w:vAlign w:val="bottom"/>
          </w:tcPr>
          <w:p w14:paraId="43E77020"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5.80</w:t>
            </w:r>
          </w:p>
          <w:p w14:paraId="20C55312"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±0.78</w:t>
            </w:r>
          </w:p>
        </w:tc>
        <w:tc>
          <w:tcPr>
            <w:tcW w:w="1170" w:type="dxa"/>
            <w:tcBorders>
              <w:bottom w:val="single" w:sz="4" w:space="0" w:color="auto"/>
            </w:tcBorders>
            <w:shd w:val="clear" w:color="auto" w:fill="auto"/>
            <w:noWrap/>
          </w:tcPr>
          <w:p w14:paraId="4D108C0A"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5.52E-05</w:t>
            </w:r>
          </w:p>
          <w:p w14:paraId="0ED945CF"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±3.80E-03</w:t>
            </w:r>
          </w:p>
        </w:tc>
        <w:tc>
          <w:tcPr>
            <w:tcW w:w="450" w:type="dxa"/>
            <w:tcBorders>
              <w:bottom w:val="single" w:sz="4" w:space="0" w:color="auto"/>
            </w:tcBorders>
            <w:shd w:val="clear" w:color="auto" w:fill="auto"/>
            <w:noWrap/>
            <w:vAlign w:val="bottom"/>
          </w:tcPr>
          <w:p w14:paraId="4057D870"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bottom w:val="single" w:sz="4" w:space="0" w:color="auto"/>
            </w:tcBorders>
            <w:shd w:val="clear" w:color="auto" w:fill="auto"/>
            <w:noWrap/>
            <w:vAlign w:val="bottom"/>
          </w:tcPr>
          <w:p w14:paraId="05170A0C"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0.1874±0.0013</w:t>
            </w:r>
          </w:p>
        </w:tc>
        <w:tc>
          <w:tcPr>
            <w:tcW w:w="630" w:type="dxa"/>
            <w:tcBorders>
              <w:bottom w:val="single" w:sz="4" w:space="0" w:color="auto"/>
            </w:tcBorders>
            <w:shd w:val="clear" w:color="auto" w:fill="auto"/>
            <w:noWrap/>
            <w:vAlign w:val="bottom"/>
          </w:tcPr>
          <w:p w14:paraId="5FE91B2A"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900" w:type="dxa"/>
            <w:tcBorders>
              <w:bottom w:val="single" w:sz="4" w:space="0" w:color="auto"/>
            </w:tcBorders>
            <w:shd w:val="clear" w:color="auto" w:fill="auto"/>
            <w:noWrap/>
            <w:vAlign w:val="bottom"/>
          </w:tcPr>
          <w:p w14:paraId="0CC40BED"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5.29±0.69</w:t>
            </w:r>
          </w:p>
        </w:tc>
        <w:tc>
          <w:tcPr>
            <w:tcW w:w="1080" w:type="dxa"/>
            <w:tcBorders>
              <w:bottom w:val="single" w:sz="4" w:space="0" w:color="auto"/>
            </w:tcBorders>
            <w:shd w:val="clear" w:color="auto" w:fill="auto"/>
            <w:noWrap/>
          </w:tcPr>
          <w:p w14:paraId="580A4BA1"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1.37E-01</w:t>
            </w:r>
          </w:p>
          <w:p w14:paraId="1E0432BC" w14:textId="77777777" w:rsidR="008802C8" w:rsidRPr="00B65D87" w:rsidRDefault="008802C8">
            <w:pPr>
              <w:rPr>
                <w:rFonts w:ascii="Times New Roman" w:hAnsi="Times New Roman" w:cs="Times New Roman"/>
                <w:sz w:val="16"/>
              </w:rPr>
            </w:pPr>
            <w:r w:rsidRPr="00B65D87">
              <w:rPr>
                <w:rFonts w:ascii="Times New Roman" w:hAnsi="Times New Roman" w:cs="Times New Roman"/>
                <w:sz w:val="16"/>
              </w:rPr>
              <w:t>±3.80E-03</w:t>
            </w:r>
          </w:p>
        </w:tc>
        <w:tc>
          <w:tcPr>
            <w:tcW w:w="360" w:type="dxa"/>
            <w:tcBorders>
              <w:bottom w:val="single" w:sz="4" w:space="0" w:color="auto"/>
            </w:tcBorders>
            <w:shd w:val="clear" w:color="auto" w:fill="auto"/>
            <w:noWrap/>
            <w:vAlign w:val="bottom"/>
          </w:tcPr>
          <w:p w14:paraId="221B2892"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c>
          <w:tcPr>
            <w:tcW w:w="810" w:type="dxa"/>
            <w:tcBorders>
              <w:bottom w:val="single" w:sz="4" w:space="0" w:color="auto"/>
            </w:tcBorders>
            <w:shd w:val="clear" w:color="auto" w:fill="auto"/>
            <w:noWrap/>
            <w:vAlign w:val="bottom"/>
          </w:tcPr>
          <w:p w14:paraId="06F02D74"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0.249</w:t>
            </w:r>
          </w:p>
          <w:p w14:paraId="470C6866" w14:textId="77777777" w:rsidR="008802C8" w:rsidRPr="00B65D87" w:rsidRDefault="008802C8">
            <w:pPr>
              <w:rPr>
                <w:rFonts w:ascii="Times New Roman" w:hAnsi="Times New Roman" w:cs="Times New Roman"/>
                <w:sz w:val="16"/>
                <w:szCs w:val="16"/>
              </w:rPr>
            </w:pPr>
            <w:r w:rsidRPr="00B65D87">
              <w:rPr>
                <w:rFonts w:ascii="Times New Roman" w:hAnsi="Times New Roman" w:cs="Times New Roman"/>
                <w:sz w:val="16"/>
                <w:szCs w:val="16"/>
              </w:rPr>
              <w:t>±0.009</w:t>
            </w:r>
          </w:p>
        </w:tc>
        <w:tc>
          <w:tcPr>
            <w:tcW w:w="810" w:type="dxa"/>
            <w:tcBorders>
              <w:bottom w:val="single" w:sz="4" w:space="0" w:color="auto"/>
            </w:tcBorders>
            <w:shd w:val="clear" w:color="auto" w:fill="auto"/>
            <w:noWrap/>
            <w:vAlign w:val="bottom"/>
          </w:tcPr>
          <w:p w14:paraId="420DDFCE" w14:textId="77777777" w:rsidR="008802C8" w:rsidRPr="00B65D87" w:rsidRDefault="008802C8" w:rsidP="001729C6">
            <w:pPr>
              <w:jc w:val="right"/>
              <w:rPr>
                <w:rFonts w:ascii="Times New Roman" w:hAnsi="Times New Roman" w:cs="Times New Roman"/>
                <w:sz w:val="16"/>
                <w:szCs w:val="20"/>
              </w:rPr>
            </w:pPr>
            <w:r w:rsidRPr="00B65D87">
              <w:rPr>
                <w:rFonts w:ascii="Times New Roman" w:hAnsi="Times New Roman" w:cs="Times New Roman"/>
                <w:sz w:val="16"/>
                <w:szCs w:val="20"/>
              </w:rPr>
              <w:t>0</w:t>
            </w:r>
          </w:p>
        </w:tc>
      </w:tr>
    </w:tbl>
    <w:p w14:paraId="7252D3DB" w14:textId="77777777" w:rsidR="008802C8" w:rsidRPr="00B65D87" w:rsidRDefault="008802C8" w:rsidP="008802C8">
      <w:pPr>
        <w:rPr>
          <w:rFonts w:ascii="Times New Roman" w:hAnsi="Times New Roman" w:cs="Times New Roman"/>
          <w:sz w:val="16"/>
        </w:rPr>
      </w:pPr>
    </w:p>
    <w:p w14:paraId="6E965C10" w14:textId="77777777" w:rsidR="008802C8" w:rsidRPr="00B65D87" w:rsidRDefault="008802C8" w:rsidP="008802C8">
      <w:pPr>
        <w:rPr>
          <w:rFonts w:ascii="Times New Roman" w:hAnsi="Times New Roman" w:cs="Times New Roman"/>
        </w:rPr>
      </w:pPr>
    </w:p>
    <w:p w14:paraId="1956B40C" w14:textId="77777777" w:rsidR="005B5115" w:rsidRPr="00B65D87" w:rsidRDefault="005B5115" w:rsidP="005B5115">
      <w:pPr>
        <w:spacing w:line="480" w:lineRule="auto"/>
        <w:rPr>
          <w:rFonts w:ascii="Times New Roman" w:hAnsi="Times New Roman" w:cs="Times New Roman"/>
          <w:b/>
          <w:color w:val="000000" w:themeColor="text1"/>
        </w:rPr>
      </w:pPr>
    </w:p>
    <w:p w14:paraId="2E45E8EF" w14:textId="77777777" w:rsidR="008802C8" w:rsidRPr="00B65D87" w:rsidRDefault="008802C8" w:rsidP="005B5115">
      <w:pPr>
        <w:spacing w:line="480" w:lineRule="auto"/>
        <w:rPr>
          <w:rFonts w:ascii="Times New Roman" w:hAnsi="Times New Roman" w:cs="Times New Roman"/>
          <w:color w:val="000000" w:themeColor="text1"/>
        </w:rPr>
        <w:sectPr w:rsidR="008802C8" w:rsidRPr="00B65D87">
          <w:pgSz w:w="15840" w:h="12240" w:orient="landscape"/>
          <w:pgMar w:top="1440" w:right="1440" w:bottom="1440" w:left="1440" w:header="720" w:footer="720" w:gutter="0"/>
          <w:lnNumType w:countBy="1" w:restart="continuous"/>
          <w:cols w:space="720"/>
        </w:sectPr>
      </w:pPr>
    </w:p>
    <w:p w14:paraId="5D87E155" w14:textId="77777777" w:rsidR="00B65D87" w:rsidRPr="00B65D87" w:rsidRDefault="008802C8" w:rsidP="008802C8">
      <w:pPr>
        <w:rPr>
          <w:rFonts w:ascii="Arial" w:hAnsi="Arial" w:cs="Arial"/>
          <w:b/>
        </w:rPr>
      </w:pPr>
      <w:r w:rsidRPr="00B65D87">
        <w:rPr>
          <w:rFonts w:ascii="Arial" w:hAnsi="Arial" w:cs="Arial"/>
          <w:b/>
        </w:rPr>
        <w:t xml:space="preserve">Table S5. Comparisons between network partitions. </w:t>
      </w:r>
    </w:p>
    <w:p w14:paraId="4B05D19F" w14:textId="40DC7390" w:rsidR="008802C8" w:rsidRPr="00B65D87" w:rsidRDefault="008802C8" w:rsidP="008802C8">
      <w:pPr>
        <w:rPr>
          <w:rFonts w:ascii="Times New Roman" w:hAnsi="Times New Roman" w:cs="Times New Roman"/>
        </w:rPr>
      </w:pPr>
      <w:r w:rsidRPr="00B65D87">
        <w:rPr>
          <w:rFonts w:ascii="Times New Roman" w:hAnsi="Times New Roman" w:cs="Times New Roman"/>
        </w:rPr>
        <w:t xml:space="preserve">For samples, ‘all’ means all 16 samples (2 replicates x 8 samples) were used, while ‘reprogramming only’ indicates only the 8 reprogramming samples (2 replicates x 4 samples) were used. See text for details. N = the number of miRNAs shared between the two datasets and used to calculate </w:t>
      </w:r>
      <w:proofErr w:type="gramStart"/>
      <w:r w:rsidRPr="00B65D87">
        <w:rPr>
          <w:rFonts w:ascii="Times New Roman" w:hAnsi="Times New Roman" w:cs="Times New Roman"/>
        </w:rPr>
        <w:t>z-score</w:t>
      </w:r>
      <w:proofErr w:type="gramEnd"/>
      <w:r w:rsidRPr="00B65D87">
        <w:rPr>
          <w:rFonts w:ascii="Times New Roman" w:hAnsi="Times New Roman" w:cs="Times New Roman"/>
        </w:rPr>
        <w:t>.</w:t>
      </w:r>
    </w:p>
    <w:p w14:paraId="39478E77" w14:textId="77777777" w:rsidR="008802C8" w:rsidRPr="00B65D87" w:rsidRDefault="008802C8" w:rsidP="008802C8">
      <w:pPr>
        <w:rPr>
          <w:rFonts w:ascii="Times New Roman" w:hAnsi="Times New Roman" w:cs="Times New Roman"/>
        </w:rPr>
      </w:pPr>
    </w:p>
    <w:tbl>
      <w:tblPr>
        <w:tblW w:w="8746"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6"/>
        <w:gridCol w:w="810"/>
        <w:gridCol w:w="3870"/>
        <w:gridCol w:w="720"/>
        <w:gridCol w:w="990"/>
      </w:tblGrid>
      <w:tr w:rsidR="008802C8" w:rsidRPr="00B65D87" w14:paraId="18518823" w14:textId="77777777">
        <w:trPr>
          <w:trHeight w:val="260"/>
        </w:trPr>
        <w:tc>
          <w:tcPr>
            <w:tcW w:w="2356" w:type="dxa"/>
            <w:tcBorders>
              <w:top w:val="single" w:sz="4" w:space="0" w:color="auto"/>
              <w:left w:val="single" w:sz="4" w:space="0" w:color="auto"/>
              <w:bottom w:val="double" w:sz="4" w:space="0" w:color="auto"/>
              <w:right w:val="single" w:sz="4" w:space="0" w:color="auto"/>
            </w:tcBorders>
            <w:shd w:val="clear" w:color="auto" w:fill="auto"/>
            <w:noWrap/>
            <w:vAlign w:val="bottom"/>
          </w:tcPr>
          <w:p w14:paraId="09312C92"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Samples</w:t>
            </w:r>
          </w:p>
        </w:tc>
        <w:tc>
          <w:tcPr>
            <w:tcW w:w="810" w:type="dxa"/>
            <w:tcBorders>
              <w:top w:val="single" w:sz="4" w:space="0" w:color="auto"/>
              <w:left w:val="single" w:sz="4" w:space="0" w:color="auto"/>
              <w:bottom w:val="double" w:sz="4" w:space="0" w:color="auto"/>
              <w:right w:val="single" w:sz="4" w:space="0" w:color="auto"/>
            </w:tcBorders>
            <w:shd w:val="clear" w:color="auto" w:fill="auto"/>
            <w:noWrap/>
            <w:vAlign w:val="bottom"/>
          </w:tcPr>
          <w:p w14:paraId="3E879F80"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sym w:font="Symbol" w:char="F067"/>
            </w:r>
          </w:p>
        </w:tc>
        <w:tc>
          <w:tcPr>
            <w:tcW w:w="3870" w:type="dxa"/>
            <w:tcBorders>
              <w:top w:val="single" w:sz="4" w:space="0" w:color="auto"/>
              <w:left w:val="single" w:sz="4" w:space="0" w:color="auto"/>
              <w:bottom w:val="double" w:sz="4" w:space="0" w:color="auto"/>
              <w:right w:val="single" w:sz="4" w:space="0" w:color="auto"/>
            </w:tcBorders>
            <w:shd w:val="clear" w:color="auto" w:fill="auto"/>
            <w:noWrap/>
            <w:vAlign w:val="bottom"/>
          </w:tcPr>
          <w:p w14:paraId="73FECFC2" w14:textId="77777777" w:rsidR="008802C8" w:rsidRPr="00B65D87" w:rsidRDefault="008802C8" w:rsidP="001729C6">
            <w:pPr>
              <w:rPr>
                <w:rFonts w:ascii="Times New Roman" w:hAnsi="Times New Roman" w:cs="Times New Roman"/>
                <w:szCs w:val="20"/>
              </w:rPr>
            </w:pPr>
            <w:proofErr w:type="gramStart"/>
            <w:r w:rsidRPr="00B65D87">
              <w:rPr>
                <w:rFonts w:ascii="Times New Roman" w:hAnsi="Times New Roman" w:cs="Times New Roman"/>
                <w:szCs w:val="20"/>
              </w:rPr>
              <w:t>comparison</w:t>
            </w:r>
            <w:proofErr w:type="gramEnd"/>
          </w:p>
        </w:tc>
        <w:tc>
          <w:tcPr>
            <w:tcW w:w="720" w:type="dxa"/>
            <w:tcBorders>
              <w:top w:val="single" w:sz="4" w:space="0" w:color="auto"/>
              <w:left w:val="single" w:sz="4" w:space="0" w:color="auto"/>
              <w:bottom w:val="double" w:sz="4" w:space="0" w:color="auto"/>
              <w:right w:val="single" w:sz="4" w:space="0" w:color="auto"/>
            </w:tcBorders>
            <w:shd w:val="clear" w:color="auto" w:fill="auto"/>
            <w:noWrap/>
            <w:vAlign w:val="bottom"/>
          </w:tcPr>
          <w:p w14:paraId="117532A6"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N</w:t>
            </w:r>
          </w:p>
        </w:tc>
        <w:tc>
          <w:tcPr>
            <w:tcW w:w="990" w:type="dxa"/>
            <w:tcBorders>
              <w:top w:val="single" w:sz="4" w:space="0" w:color="auto"/>
              <w:left w:val="single" w:sz="4" w:space="0" w:color="auto"/>
              <w:bottom w:val="double" w:sz="4" w:space="0" w:color="auto"/>
              <w:right w:val="single" w:sz="4" w:space="0" w:color="auto"/>
            </w:tcBorders>
            <w:shd w:val="clear" w:color="auto" w:fill="auto"/>
            <w:noWrap/>
            <w:vAlign w:val="bottom"/>
          </w:tcPr>
          <w:p w14:paraId="5824D6CE" w14:textId="77777777" w:rsidR="008802C8" w:rsidRPr="00B65D87" w:rsidRDefault="008802C8" w:rsidP="001729C6">
            <w:pPr>
              <w:jc w:val="center"/>
              <w:rPr>
                <w:rFonts w:ascii="Times New Roman" w:hAnsi="Times New Roman" w:cs="Times New Roman"/>
                <w:szCs w:val="20"/>
              </w:rPr>
            </w:pPr>
            <w:proofErr w:type="gramStart"/>
            <w:r w:rsidRPr="00B65D87">
              <w:rPr>
                <w:rFonts w:ascii="Times New Roman" w:hAnsi="Times New Roman" w:cs="Times New Roman"/>
                <w:szCs w:val="20"/>
              </w:rPr>
              <w:t>z</w:t>
            </w:r>
            <w:proofErr w:type="gramEnd"/>
            <w:r w:rsidRPr="00B65D87">
              <w:rPr>
                <w:rFonts w:ascii="Times New Roman" w:hAnsi="Times New Roman" w:cs="Times New Roman"/>
                <w:szCs w:val="20"/>
              </w:rPr>
              <w:t>-score</w:t>
            </w:r>
          </w:p>
        </w:tc>
      </w:tr>
      <w:tr w:rsidR="008802C8" w:rsidRPr="00B65D87" w14:paraId="2E19D1EA" w14:textId="77777777">
        <w:trPr>
          <w:trHeight w:val="260"/>
        </w:trPr>
        <w:tc>
          <w:tcPr>
            <w:tcW w:w="7036" w:type="dxa"/>
            <w:gridSpan w:val="3"/>
            <w:tcBorders>
              <w:top w:val="double" w:sz="4" w:space="0" w:color="auto"/>
              <w:right w:val="nil"/>
            </w:tcBorders>
            <w:shd w:val="clear" w:color="auto" w:fill="auto"/>
            <w:noWrap/>
            <w:vAlign w:val="bottom"/>
          </w:tcPr>
          <w:p w14:paraId="0AE05E64"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Comparisons between datasets</w:t>
            </w:r>
          </w:p>
        </w:tc>
        <w:tc>
          <w:tcPr>
            <w:tcW w:w="720" w:type="dxa"/>
            <w:tcBorders>
              <w:top w:val="double" w:sz="4" w:space="0" w:color="auto"/>
              <w:left w:val="nil"/>
              <w:right w:val="nil"/>
            </w:tcBorders>
            <w:shd w:val="clear" w:color="auto" w:fill="auto"/>
            <w:noWrap/>
            <w:vAlign w:val="bottom"/>
          </w:tcPr>
          <w:p w14:paraId="5C91D43B" w14:textId="77777777" w:rsidR="008802C8" w:rsidRPr="00B65D87" w:rsidRDefault="008802C8" w:rsidP="001729C6">
            <w:pPr>
              <w:jc w:val="center"/>
              <w:rPr>
                <w:rFonts w:ascii="Times New Roman" w:hAnsi="Times New Roman" w:cs="Times New Roman"/>
                <w:szCs w:val="20"/>
              </w:rPr>
            </w:pPr>
          </w:p>
        </w:tc>
        <w:tc>
          <w:tcPr>
            <w:tcW w:w="990" w:type="dxa"/>
            <w:tcBorders>
              <w:top w:val="double" w:sz="4" w:space="0" w:color="auto"/>
              <w:left w:val="nil"/>
            </w:tcBorders>
            <w:shd w:val="clear" w:color="auto" w:fill="auto"/>
            <w:noWrap/>
            <w:vAlign w:val="bottom"/>
          </w:tcPr>
          <w:p w14:paraId="6187B439" w14:textId="77777777" w:rsidR="008802C8" w:rsidRPr="00B65D87" w:rsidRDefault="008802C8" w:rsidP="001729C6">
            <w:pPr>
              <w:jc w:val="center"/>
              <w:rPr>
                <w:rFonts w:ascii="Times New Roman" w:hAnsi="Times New Roman" w:cs="Times New Roman"/>
              </w:rPr>
            </w:pPr>
          </w:p>
        </w:tc>
      </w:tr>
      <w:tr w:rsidR="008802C8" w:rsidRPr="00B65D87" w14:paraId="79273139" w14:textId="77777777">
        <w:trPr>
          <w:trHeight w:val="260"/>
        </w:trPr>
        <w:tc>
          <w:tcPr>
            <w:tcW w:w="2356" w:type="dxa"/>
            <w:tcBorders>
              <w:top w:val="double" w:sz="4" w:space="0" w:color="auto"/>
            </w:tcBorders>
            <w:shd w:val="clear" w:color="auto" w:fill="auto"/>
            <w:noWrap/>
            <w:vAlign w:val="bottom"/>
          </w:tcPr>
          <w:p w14:paraId="2F96C45E" w14:textId="77777777" w:rsidR="008802C8" w:rsidRPr="00B65D87" w:rsidRDefault="008802C8" w:rsidP="001729C6">
            <w:pPr>
              <w:rPr>
                <w:rFonts w:ascii="Times New Roman" w:hAnsi="Times New Roman" w:cs="Times New Roman"/>
                <w:szCs w:val="20"/>
              </w:rPr>
            </w:pPr>
            <w:proofErr w:type="gramStart"/>
            <w:r w:rsidRPr="00B65D87">
              <w:rPr>
                <w:rFonts w:ascii="Times New Roman" w:hAnsi="Times New Roman" w:cs="Times New Roman"/>
                <w:szCs w:val="20"/>
              </w:rPr>
              <w:t>all</w:t>
            </w:r>
            <w:proofErr w:type="gramEnd"/>
          </w:p>
        </w:tc>
        <w:tc>
          <w:tcPr>
            <w:tcW w:w="810" w:type="dxa"/>
            <w:tcBorders>
              <w:top w:val="double" w:sz="4" w:space="0" w:color="auto"/>
            </w:tcBorders>
            <w:shd w:val="clear" w:color="auto" w:fill="auto"/>
            <w:noWrap/>
            <w:vAlign w:val="bottom"/>
          </w:tcPr>
          <w:p w14:paraId="45F81321"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w:t>
            </w:r>
          </w:p>
        </w:tc>
        <w:tc>
          <w:tcPr>
            <w:tcW w:w="3870" w:type="dxa"/>
            <w:tcBorders>
              <w:top w:val="double" w:sz="4" w:space="0" w:color="auto"/>
            </w:tcBorders>
            <w:shd w:val="clear" w:color="auto" w:fill="auto"/>
            <w:noWrap/>
            <w:vAlign w:val="bottom"/>
          </w:tcPr>
          <w:p w14:paraId="5902AFAE"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KR vs. FDR1</w:t>
            </w:r>
          </w:p>
        </w:tc>
        <w:tc>
          <w:tcPr>
            <w:tcW w:w="720" w:type="dxa"/>
            <w:tcBorders>
              <w:top w:val="double" w:sz="4" w:space="0" w:color="auto"/>
            </w:tcBorders>
            <w:shd w:val="clear" w:color="auto" w:fill="auto"/>
            <w:noWrap/>
            <w:vAlign w:val="bottom"/>
          </w:tcPr>
          <w:p w14:paraId="571A861E"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85</w:t>
            </w:r>
          </w:p>
        </w:tc>
        <w:tc>
          <w:tcPr>
            <w:tcW w:w="990" w:type="dxa"/>
            <w:tcBorders>
              <w:top w:val="double" w:sz="4" w:space="0" w:color="auto"/>
            </w:tcBorders>
            <w:shd w:val="clear" w:color="auto" w:fill="auto"/>
            <w:noWrap/>
            <w:vAlign w:val="bottom"/>
          </w:tcPr>
          <w:p w14:paraId="2F9819EC"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28.8</w:t>
            </w:r>
          </w:p>
        </w:tc>
      </w:tr>
      <w:tr w:rsidR="008802C8" w:rsidRPr="00B65D87" w14:paraId="689721DE" w14:textId="77777777">
        <w:trPr>
          <w:trHeight w:val="260"/>
        </w:trPr>
        <w:tc>
          <w:tcPr>
            <w:tcW w:w="2356" w:type="dxa"/>
            <w:shd w:val="clear" w:color="auto" w:fill="auto"/>
            <w:noWrap/>
            <w:vAlign w:val="bottom"/>
          </w:tcPr>
          <w:p w14:paraId="6F984447" w14:textId="77777777" w:rsidR="008802C8" w:rsidRPr="00B65D87" w:rsidRDefault="008802C8" w:rsidP="001729C6">
            <w:pPr>
              <w:rPr>
                <w:rFonts w:ascii="Times New Roman" w:hAnsi="Times New Roman" w:cs="Times New Roman"/>
                <w:szCs w:val="20"/>
              </w:rPr>
            </w:pPr>
            <w:proofErr w:type="gramStart"/>
            <w:r w:rsidRPr="00B65D87">
              <w:rPr>
                <w:rFonts w:ascii="Times New Roman" w:hAnsi="Times New Roman" w:cs="Times New Roman"/>
                <w:szCs w:val="20"/>
              </w:rPr>
              <w:t>all</w:t>
            </w:r>
            <w:proofErr w:type="gramEnd"/>
          </w:p>
        </w:tc>
        <w:tc>
          <w:tcPr>
            <w:tcW w:w="810" w:type="dxa"/>
            <w:shd w:val="clear" w:color="auto" w:fill="auto"/>
            <w:noWrap/>
            <w:vAlign w:val="bottom"/>
          </w:tcPr>
          <w:p w14:paraId="3F803946"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w:t>
            </w:r>
          </w:p>
        </w:tc>
        <w:tc>
          <w:tcPr>
            <w:tcW w:w="3870" w:type="dxa"/>
            <w:shd w:val="clear" w:color="auto" w:fill="auto"/>
            <w:noWrap/>
            <w:vAlign w:val="bottom"/>
          </w:tcPr>
          <w:p w14:paraId="35221868"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KR vs. FDR5</w:t>
            </w:r>
          </w:p>
        </w:tc>
        <w:tc>
          <w:tcPr>
            <w:tcW w:w="720" w:type="dxa"/>
            <w:shd w:val="clear" w:color="auto" w:fill="auto"/>
            <w:noWrap/>
            <w:vAlign w:val="bottom"/>
          </w:tcPr>
          <w:p w14:paraId="780F2FC9"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102</w:t>
            </w:r>
          </w:p>
        </w:tc>
        <w:tc>
          <w:tcPr>
            <w:tcW w:w="990" w:type="dxa"/>
            <w:shd w:val="clear" w:color="auto" w:fill="auto"/>
            <w:noWrap/>
            <w:vAlign w:val="bottom"/>
          </w:tcPr>
          <w:p w14:paraId="79A92255"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48.8</w:t>
            </w:r>
          </w:p>
        </w:tc>
      </w:tr>
      <w:tr w:rsidR="008802C8" w:rsidRPr="00B65D87" w14:paraId="6350B285" w14:textId="77777777">
        <w:trPr>
          <w:trHeight w:val="260"/>
        </w:trPr>
        <w:tc>
          <w:tcPr>
            <w:tcW w:w="2356" w:type="dxa"/>
            <w:shd w:val="clear" w:color="auto" w:fill="auto"/>
            <w:noWrap/>
            <w:vAlign w:val="bottom"/>
          </w:tcPr>
          <w:p w14:paraId="08FB3FC2" w14:textId="77777777" w:rsidR="008802C8" w:rsidRPr="00B65D87" w:rsidRDefault="008802C8" w:rsidP="001729C6">
            <w:pPr>
              <w:rPr>
                <w:rFonts w:ascii="Times New Roman" w:hAnsi="Times New Roman" w:cs="Times New Roman"/>
                <w:szCs w:val="20"/>
              </w:rPr>
            </w:pPr>
            <w:proofErr w:type="gramStart"/>
            <w:r w:rsidRPr="00B65D87">
              <w:rPr>
                <w:rFonts w:ascii="Times New Roman" w:hAnsi="Times New Roman" w:cs="Times New Roman"/>
                <w:szCs w:val="20"/>
              </w:rPr>
              <w:t>all</w:t>
            </w:r>
            <w:proofErr w:type="gramEnd"/>
          </w:p>
        </w:tc>
        <w:tc>
          <w:tcPr>
            <w:tcW w:w="810" w:type="dxa"/>
            <w:shd w:val="clear" w:color="auto" w:fill="auto"/>
            <w:noWrap/>
            <w:vAlign w:val="bottom"/>
          </w:tcPr>
          <w:p w14:paraId="29C99D7D"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w:t>
            </w:r>
          </w:p>
        </w:tc>
        <w:tc>
          <w:tcPr>
            <w:tcW w:w="3870" w:type="dxa"/>
            <w:shd w:val="clear" w:color="auto" w:fill="auto"/>
            <w:noWrap/>
            <w:vAlign w:val="bottom"/>
          </w:tcPr>
          <w:p w14:paraId="36AB9E1A"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FDR1 vs. FDR5</w:t>
            </w:r>
          </w:p>
        </w:tc>
        <w:tc>
          <w:tcPr>
            <w:tcW w:w="720" w:type="dxa"/>
            <w:shd w:val="clear" w:color="auto" w:fill="auto"/>
            <w:noWrap/>
            <w:vAlign w:val="bottom"/>
          </w:tcPr>
          <w:p w14:paraId="70DD0F2E"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221</w:t>
            </w:r>
          </w:p>
        </w:tc>
        <w:tc>
          <w:tcPr>
            <w:tcW w:w="990" w:type="dxa"/>
            <w:shd w:val="clear" w:color="auto" w:fill="auto"/>
            <w:noWrap/>
            <w:vAlign w:val="bottom"/>
          </w:tcPr>
          <w:p w14:paraId="6B9C3957"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99.8</w:t>
            </w:r>
          </w:p>
        </w:tc>
      </w:tr>
      <w:tr w:rsidR="008802C8" w:rsidRPr="00B65D87" w14:paraId="7E640408" w14:textId="77777777">
        <w:trPr>
          <w:trHeight w:val="260"/>
        </w:trPr>
        <w:tc>
          <w:tcPr>
            <w:tcW w:w="2356" w:type="dxa"/>
            <w:shd w:val="clear" w:color="auto" w:fill="auto"/>
            <w:noWrap/>
            <w:vAlign w:val="bottom"/>
          </w:tcPr>
          <w:p w14:paraId="29DD7228" w14:textId="77777777" w:rsidR="008802C8" w:rsidRPr="00B65D87" w:rsidRDefault="008802C8" w:rsidP="001729C6">
            <w:pPr>
              <w:rPr>
                <w:rFonts w:ascii="Times New Roman" w:hAnsi="Times New Roman" w:cs="Times New Roman"/>
                <w:szCs w:val="20"/>
              </w:rPr>
            </w:pPr>
            <w:proofErr w:type="gramStart"/>
            <w:r w:rsidRPr="00B65D87">
              <w:rPr>
                <w:rFonts w:ascii="Times New Roman" w:hAnsi="Times New Roman" w:cs="Times New Roman"/>
                <w:szCs w:val="20"/>
              </w:rPr>
              <w:t>all</w:t>
            </w:r>
            <w:proofErr w:type="gramEnd"/>
          </w:p>
        </w:tc>
        <w:tc>
          <w:tcPr>
            <w:tcW w:w="810" w:type="dxa"/>
            <w:shd w:val="clear" w:color="auto" w:fill="auto"/>
            <w:noWrap/>
            <w:vAlign w:val="bottom"/>
          </w:tcPr>
          <w:p w14:paraId="2F713A34"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2.5</w:t>
            </w:r>
          </w:p>
        </w:tc>
        <w:tc>
          <w:tcPr>
            <w:tcW w:w="3870" w:type="dxa"/>
            <w:shd w:val="clear" w:color="auto" w:fill="auto"/>
            <w:noWrap/>
            <w:vAlign w:val="bottom"/>
          </w:tcPr>
          <w:p w14:paraId="25D2B648"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KR vs. FDR1</w:t>
            </w:r>
          </w:p>
        </w:tc>
        <w:tc>
          <w:tcPr>
            <w:tcW w:w="720" w:type="dxa"/>
            <w:shd w:val="clear" w:color="auto" w:fill="auto"/>
            <w:noWrap/>
            <w:vAlign w:val="bottom"/>
          </w:tcPr>
          <w:p w14:paraId="1FA7B662"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85</w:t>
            </w:r>
          </w:p>
        </w:tc>
        <w:tc>
          <w:tcPr>
            <w:tcW w:w="990" w:type="dxa"/>
            <w:shd w:val="clear" w:color="auto" w:fill="auto"/>
            <w:noWrap/>
            <w:vAlign w:val="bottom"/>
          </w:tcPr>
          <w:p w14:paraId="000C995C"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25.3</w:t>
            </w:r>
          </w:p>
        </w:tc>
      </w:tr>
      <w:tr w:rsidR="008802C8" w:rsidRPr="00B65D87" w14:paraId="319CBFA9" w14:textId="77777777">
        <w:trPr>
          <w:trHeight w:val="260"/>
        </w:trPr>
        <w:tc>
          <w:tcPr>
            <w:tcW w:w="2356" w:type="dxa"/>
            <w:shd w:val="clear" w:color="auto" w:fill="auto"/>
            <w:noWrap/>
            <w:vAlign w:val="bottom"/>
          </w:tcPr>
          <w:p w14:paraId="5DFBAE27" w14:textId="77777777" w:rsidR="008802C8" w:rsidRPr="00B65D87" w:rsidRDefault="008802C8" w:rsidP="001729C6">
            <w:pPr>
              <w:rPr>
                <w:rFonts w:ascii="Times New Roman" w:hAnsi="Times New Roman" w:cs="Times New Roman"/>
                <w:szCs w:val="20"/>
              </w:rPr>
            </w:pPr>
            <w:proofErr w:type="gramStart"/>
            <w:r w:rsidRPr="00B65D87">
              <w:rPr>
                <w:rFonts w:ascii="Times New Roman" w:hAnsi="Times New Roman" w:cs="Times New Roman"/>
                <w:szCs w:val="20"/>
              </w:rPr>
              <w:t>all</w:t>
            </w:r>
            <w:proofErr w:type="gramEnd"/>
          </w:p>
        </w:tc>
        <w:tc>
          <w:tcPr>
            <w:tcW w:w="810" w:type="dxa"/>
            <w:shd w:val="clear" w:color="auto" w:fill="auto"/>
            <w:noWrap/>
            <w:vAlign w:val="bottom"/>
          </w:tcPr>
          <w:p w14:paraId="1B54F067"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2.5</w:t>
            </w:r>
          </w:p>
        </w:tc>
        <w:tc>
          <w:tcPr>
            <w:tcW w:w="3870" w:type="dxa"/>
            <w:shd w:val="clear" w:color="auto" w:fill="auto"/>
            <w:noWrap/>
            <w:vAlign w:val="bottom"/>
          </w:tcPr>
          <w:p w14:paraId="249757EA"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KR vs. FDR5</w:t>
            </w:r>
          </w:p>
        </w:tc>
        <w:tc>
          <w:tcPr>
            <w:tcW w:w="720" w:type="dxa"/>
            <w:shd w:val="clear" w:color="auto" w:fill="auto"/>
            <w:noWrap/>
            <w:vAlign w:val="bottom"/>
          </w:tcPr>
          <w:p w14:paraId="5D148432"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102</w:t>
            </w:r>
          </w:p>
        </w:tc>
        <w:tc>
          <w:tcPr>
            <w:tcW w:w="990" w:type="dxa"/>
            <w:shd w:val="clear" w:color="auto" w:fill="auto"/>
            <w:noWrap/>
            <w:vAlign w:val="bottom"/>
          </w:tcPr>
          <w:p w14:paraId="77206A59"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29.9</w:t>
            </w:r>
          </w:p>
        </w:tc>
      </w:tr>
      <w:tr w:rsidR="008802C8" w:rsidRPr="00B65D87" w14:paraId="48BD8D40" w14:textId="77777777">
        <w:trPr>
          <w:trHeight w:val="260"/>
        </w:trPr>
        <w:tc>
          <w:tcPr>
            <w:tcW w:w="2356" w:type="dxa"/>
            <w:shd w:val="clear" w:color="auto" w:fill="auto"/>
            <w:noWrap/>
            <w:vAlign w:val="bottom"/>
          </w:tcPr>
          <w:p w14:paraId="65717C73" w14:textId="77777777" w:rsidR="008802C8" w:rsidRPr="00B65D87" w:rsidRDefault="008802C8" w:rsidP="001729C6">
            <w:pPr>
              <w:rPr>
                <w:rFonts w:ascii="Times New Roman" w:hAnsi="Times New Roman" w:cs="Times New Roman"/>
                <w:szCs w:val="20"/>
              </w:rPr>
            </w:pPr>
            <w:proofErr w:type="gramStart"/>
            <w:r w:rsidRPr="00B65D87">
              <w:rPr>
                <w:rFonts w:ascii="Times New Roman" w:hAnsi="Times New Roman" w:cs="Times New Roman"/>
                <w:szCs w:val="20"/>
              </w:rPr>
              <w:t>all</w:t>
            </w:r>
            <w:proofErr w:type="gramEnd"/>
          </w:p>
        </w:tc>
        <w:tc>
          <w:tcPr>
            <w:tcW w:w="810" w:type="dxa"/>
            <w:shd w:val="clear" w:color="auto" w:fill="auto"/>
            <w:noWrap/>
            <w:vAlign w:val="bottom"/>
          </w:tcPr>
          <w:p w14:paraId="4DC0419C"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2.5</w:t>
            </w:r>
          </w:p>
        </w:tc>
        <w:tc>
          <w:tcPr>
            <w:tcW w:w="3870" w:type="dxa"/>
            <w:shd w:val="clear" w:color="auto" w:fill="auto"/>
            <w:noWrap/>
            <w:vAlign w:val="bottom"/>
          </w:tcPr>
          <w:p w14:paraId="63A1E4D9"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FDR1 vs. FDR5</w:t>
            </w:r>
          </w:p>
        </w:tc>
        <w:tc>
          <w:tcPr>
            <w:tcW w:w="720" w:type="dxa"/>
            <w:shd w:val="clear" w:color="auto" w:fill="auto"/>
            <w:noWrap/>
            <w:vAlign w:val="bottom"/>
          </w:tcPr>
          <w:p w14:paraId="54D5373E"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221</w:t>
            </w:r>
          </w:p>
        </w:tc>
        <w:tc>
          <w:tcPr>
            <w:tcW w:w="990" w:type="dxa"/>
            <w:shd w:val="clear" w:color="auto" w:fill="auto"/>
            <w:noWrap/>
            <w:vAlign w:val="bottom"/>
          </w:tcPr>
          <w:p w14:paraId="12B51A45"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74.3</w:t>
            </w:r>
          </w:p>
        </w:tc>
      </w:tr>
      <w:tr w:rsidR="008802C8" w:rsidRPr="00B65D87" w14:paraId="6ACF8443" w14:textId="77777777">
        <w:trPr>
          <w:trHeight w:val="720"/>
        </w:trPr>
        <w:tc>
          <w:tcPr>
            <w:tcW w:w="2356" w:type="dxa"/>
            <w:shd w:val="clear" w:color="auto" w:fill="auto"/>
            <w:vAlign w:val="bottom"/>
          </w:tcPr>
          <w:p w14:paraId="2AE0B554"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FDR1/FDR5, no overlap with KR, all</w:t>
            </w:r>
          </w:p>
        </w:tc>
        <w:tc>
          <w:tcPr>
            <w:tcW w:w="810" w:type="dxa"/>
            <w:shd w:val="clear" w:color="auto" w:fill="auto"/>
            <w:noWrap/>
            <w:vAlign w:val="bottom"/>
          </w:tcPr>
          <w:p w14:paraId="099932A2"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w:t>
            </w:r>
          </w:p>
        </w:tc>
        <w:tc>
          <w:tcPr>
            <w:tcW w:w="3870" w:type="dxa"/>
            <w:shd w:val="clear" w:color="auto" w:fill="auto"/>
            <w:noWrap/>
            <w:vAlign w:val="bottom"/>
          </w:tcPr>
          <w:p w14:paraId="55381F88"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FDR1 vs. FDR5</w:t>
            </w:r>
          </w:p>
        </w:tc>
        <w:tc>
          <w:tcPr>
            <w:tcW w:w="720" w:type="dxa"/>
            <w:shd w:val="clear" w:color="auto" w:fill="auto"/>
            <w:noWrap/>
            <w:vAlign w:val="bottom"/>
          </w:tcPr>
          <w:p w14:paraId="651E8476"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136</w:t>
            </w:r>
          </w:p>
        </w:tc>
        <w:tc>
          <w:tcPr>
            <w:tcW w:w="990" w:type="dxa"/>
            <w:shd w:val="clear" w:color="auto" w:fill="auto"/>
            <w:noWrap/>
            <w:vAlign w:val="bottom"/>
          </w:tcPr>
          <w:p w14:paraId="5ECC9DD3"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67.4</w:t>
            </w:r>
          </w:p>
        </w:tc>
      </w:tr>
      <w:tr w:rsidR="008802C8" w:rsidRPr="00B65D87" w14:paraId="3263AAA3" w14:textId="77777777">
        <w:trPr>
          <w:trHeight w:val="260"/>
        </w:trPr>
        <w:tc>
          <w:tcPr>
            <w:tcW w:w="2356" w:type="dxa"/>
            <w:shd w:val="clear" w:color="auto" w:fill="auto"/>
            <w:noWrap/>
            <w:vAlign w:val="bottom"/>
          </w:tcPr>
          <w:p w14:paraId="3611EBA9" w14:textId="77777777" w:rsidR="008802C8" w:rsidRPr="00B65D87" w:rsidRDefault="008802C8" w:rsidP="001729C6">
            <w:pPr>
              <w:rPr>
                <w:rFonts w:ascii="Times New Roman" w:hAnsi="Times New Roman" w:cs="Times New Roman"/>
                <w:szCs w:val="20"/>
              </w:rPr>
            </w:pPr>
            <w:proofErr w:type="gramStart"/>
            <w:r w:rsidRPr="00B65D87">
              <w:rPr>
                <w:rFonts w:ascii="Times New Roman" w:hAnsi="Times New Roman" w:cs="Times New Roman"/>
                <w:szCs w:val="20"/>
              </w:rPr>
              <w:t>reprogramming</w:t>
            </w:r>
            <w:proofErr w:type="gramEnd"/>
            <w:r w:rsidRPr="00B65D87">
              <w:rPr>
                <w:rFonts w:ascii="Times New Roman" w:hAnsi="Times New Roman" w:cs="Times New Roman"/>
                <w:szCs w:val="20"/>
              </w:rPr>
              <w:t xml:space="preserve"> only</w:t>
            </w:r>
          </w:p>
        </w:tc>
        <w:tc>
          <w:tcPr>
            <w:tcW w:w="810" w:type="dxa"/>
            <w:shd w:val="clear" w:color="auto" w:fill="auto"/>
            <w:noWrap/>
            <w:vAlign w:val="bottom"/>
          </w:tcPr>
          <w:p w14:paraId="688A8CD5"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w:t>
            </w:r>
          </w:p>
        </w:tc>
        <w:tc>
          <w:tcPr>
            <w:tcW w:w="3870" w:type="dxa"/>
            <w:shd w:val="clear" w:color="auto" w:fill="auto"/>
            <w:noWrap/>
            <w:vAlign w:val="bottom"/>
          </w:tcPr>
          <w:p w14:paraId="2649AA70"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KR vs. FDR1</w:t>
            </w:r>
          </w:p>
        </w:tc>
        <w:tc>
          <w:tcPr>
            <w:tcW w:w="720" w:type="dxa"/>
            <w:shd w:val="clear" w:color="auto" w:fill="auto"/>
            <w:noWrap/>
            <w:vAlign w:val="bottom"/>
          </w:tcPr>
          <w:p w14:paraId="731C431B"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85</w:t>
            </w:r>
          </w:p>
        </w:tc>
        <w:tc>
          <w:tcPr>
            <w:tcW w:w="990" w:type="dxa"/>
            <w:shd w:val="clear" w:color="auto" w:fill="auto"/>
            <w:noWrap/>
            <w:vAlign w:val="bottom"/>
          </w:tcPr>
          <w:p w14:paraId="1E475A66"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43.7</w:t>
            </w:r>
          </w:p>
        </w:tc>
      </w:tr>
      <w:tr w:rsidR="008802C8" w:rsidRPr="00B65D87" w14:paraId="21CE8B7F" w14:textId="77777777">
        <w:trPr>
          <w:trHeight w:val="260"/>
        </w:trPr>
        <w:tc>
          <w:tcPr>
            <w:tcW w:w="2356" w:type="dxa"/>
            <w:shd w:val="clear" w:color="auto" w:fill="auto"/>
            <w:noWrap/>
            <w:vAlign w:val="bottom"/>
          </w:tcPr>
          <w:p w14:paraId="3495EFCE" w14:textId="77777777" w:rsidR="008802C8" w:rsidRPr="00B65D87" w:rsidRDefault="008802C8" w:rsidP="001729C6">
            <w:pPr>
              <w:rPr>
                <w:rFonts w:ascii="Times New Roman" w:hAnsi="Times New Roman" w:cs="Times New Roman"/>
                <w:szCs w:val="20"/>
              </w:rPr>
            </w:pPr>
            <w:proofErr w:type="gramStart"/>
            <w:r w:rsidRPr="00B65D87">
              <w:rPr>
                <w:rFonts w:ascii="Times New Roman" w:hAnsi="Times New Roman" w:cs="Times New Roman"/>
                <w:szCs w:val="20"/>
              </w:rPr>
              <w:t>reprogramming</w:t>
            </w:r>
            <w:proofErr w:type="gramEnd"/>
            <w:r w:rsidRPr="00B65D87">
              <w:rPr>
                <w:rFonts w:ascii="Times New Roman" w:hAnsi="Times New Roman" w:cs="Times New Roman"/>
                <w:szCs w:val="20"/>
              </w:rPr>
              <w:t xml:space="preserve"> only</w:t>
            </w:r>
          </w:p>
        </w:tc>
        <w:tc>
          <w:tcPr>
            <w:tcW w:w="810" w:type="dxa"/>
            <w:shd w:val="clear" w:color="auto" w:fill="auto"/>
            <w:noWrap/>
            <w:vAlign w:val="bottom"/>
          </w:tcPr>
          <w:p w14:paraId="771D7B56"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w:t>
            </w:r>
          </w:p>
        </w:tc>
        <w:tc>
          <w:tcPr>
            <w:tcW w:w="3870" w:type="dxa"/>
            <w:shd w:val="clear" w:color="auto" w:fill="auto"/>
            <w:noWrap/>
            <w:vAlign w:val="bottom"/>
          </w:tcPr>
          <w:p w14:paraId="411199B6"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KR vs. FDR5</w:t>
            </w:r>
          </w:p>
        </w:tc>
        <w:tc>
          <w:tcPr>
            <w:tcW w:w="720" w:type="dxa"/>
            <w:shd w:val="clear" w:color="auto" w:fill="auto"/>
            <w:noWrap/>
            <w:vAlign w:val="bottom"/>
          </w:tcPr>
          <w:p w14:paraId="5B42C48A"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102</w:t>
            </w:r>
          </w:p>
        </w:tc>
        <w:tc>
          <w:tcPr>
            <w:tcW w:w="990" w:type="dxa"/>
            <w:shd w:val="clear" w:color="auto" w:fill="auto"/>
            <w:noWrap/>
            <w:vAlign w:val="bottom"/>
          </w:tcPr>
          <w:p w14:paraId="2B7AD1C7"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48.4</w:t>
            </w:r>
          </w:p>
        </w:tc>
      </w:tr>
      <w:tr w:rsidR="008802C8" w:rsidRPr="00B65D87" w14:paraId="57E1D43C" w14:textId="77777777">
        <w:trPr>
          <w:trHeight w:val="260"/>
        </w:trPr>
        <w:tc>
          <w:tcPr>
            <w:tcW w:w="2356" w:type="dxa"/>
            <w:shd w:val="clear" w:color="auto" w:fill="auto"/>
            <w:noWrap/>
            <w:vAlign w:val="bottom"/>
          </w:tcPr>
          <w:p w14:paraId="0BCA5690" w14:textId="77777777" w:rsidR="008802C8" w:rsidRPr="00B65D87" w:rsidRDefault="008802C8" w:rsidP="001729C6">
            <w:pPr>
              <w:rPr>
                <w:rFonts w:ascii="Times New Roman" w:hAnsi="Times New Roman" w:cs="Times New Roman"/>
                <w:szCs w:val="20"/>
              </w:rPr>
            </w:pPr>
            <w:proofErr w:type="gramStart"/>
            <w:r w:rsidRPr="00B65D87">
              <w:rPr>
                <w:rFonts w:ascii="Times New Roman" w:hAnsi="Times New Roman" w:cs="Times New Roman"/>
                <w:szCs w:val="20"/>
              </w:rPr>
              <w:t>reprogramming</w:t>
            </w:r>
            <w:proofErr w:type="gramEnd"/>
            <w:r w:rsidRPr="00B65D87">
              <w:rPr>
                <w:rFonts w:ascii="Times New Roman" w:hAnsi="Times New Roman" w:cs="Times New Roman"/>
                <w:szCs w:val="20"/>
              </w:rPr>
              <w:t xml:space="preserve"> only</w:t>
            </w:r>
          </w:p>
        </w:tc>
        <w:tc>
          <w:tcPr>
            <w:tcW w:w="810" w:type="dxa"/>
            <w:shd w:val="clear" w:color="auto" w:fill="auto"/>
            <w:noWrap/>
            <w:vAlign w:val="bottom"/>
          </w:tcPr>
          <w:p w14:paraId="6C679A77"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w:t>
            </w:r>
          </w:p>
        </w:tc>
        <w:tc>
          <w:tcPr>
            <w:tcW w:w="3870" w:type="dxa"/>
            <w:shd w:val="clear" w:color="auto" w:fill="auto"/>
            <w:noWrap/>
            <w:vAlign w:val="bottom"/>
          </w:tcPr>
          <w:p w14:paraId="5D9DC45C"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FDR1 vs. FDR5</w:t>
            </w:r>
          </w:p>
        </w:tc>
        <w:tc>
          <w:tcPr>
            <w:tcW w:w="720" w:type="dxa"/>
            <w:shd w:val="clear" w:color="auto" w:fill="auto"/>
            <w:noWrap/>
            <w:vAlign w:val="bottom"/>
          </w:tcPr>
          <w:p w14:paraId="0882E474"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221</w:t>
            </w:r>
          </w:p>
        </w:tc>
        <w:tc>
          <w:tcPr>
            <w:tcW w:w="990" w:type="dxa"/>
            <w:shd w:val="clear" w:color="auto" w:fill="auto"/>
            <w:noWrap/>
            <w:vAlign w:val="bottom"/>
          </w:tcPr>
          <w:p w14:paraId="2082E041"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111.1</w:t>
            </w:r>
          </w:p>
        </w:tc>
      </w:tr>
      <w:tr w:rsidR="008802C8" w:rsidRPr="00B65D87" w14:paraId="612089D9" w14:textId="77777777">
        <w:trPr>
          <w:trHeight w:val="260"/>
        </w:trPr>
        <w:tc>
          <w:tcPr>
            <w:tcW w:w="2356" w:type="dxa"/>
            <w:shd w:val="clear" w:color="auto" w:fill="auto"/>
            <w:vAlign w:val="bottom"/>
          </w:tcPr>
          <w:p w14:paraId="0D97EB99" w14:textId="77777777" w:rsidR="008802C8" w:rsidRPr="00B65D87" w:rsidRDefault="008802C8" w:rsidP="001729C6">
            <w:pPr>
              <w:rPr>
                <w:rFonts w:ascii="Times New Roman" w:hAnsi="Times New Roman" w:cs="Times New Roman"/>
                <w:szCs w:val="20"/>
              </w:rPr>
            </w:pPr>
            <w:proofErr w:type="gramStart"/>
            <w:r w:rsidRPr="00B65D87">
              <w:rPr>
                <w:rFonts w:ascii="Times New Roman" w:hAnsi="Times New Roman" w:cs="Times New Roman"/>
                <w:szCs w:val="20"/>
              </w:rPr>
              <w:t>submodule</w:t>
            </w:r>
            <w:proofErr w:type="gramEnd"/>
            <w:r w:rsidRPr="00B65D87">
              <w:rPr>
                <w:rFonts w:ascii="Times New Roman" w:hAnsi="Times New Roman" w:cs="Times New Roman"/>
                <w:szCs w:val="20"/>
              </w:rPr>
              <w:t xml:space="preserve"> 1, all</w:t>
            </w:r>
          </w:p>
        </w:tc>
        <w:tc>
          <w:tcPr>
            <w:tcW w:w="810" w:type="dxa"/>
            <w:shd w:val="clear" w:color="auto" w:fill="auto"/>
            <w:noWrap/>
            <w:vAlign w:val="bottom"/>
          </w:tcPr>
          <w:p w14:paraId="18361258"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w:t>
            </w:r>
          </w:p>
        </w:tc>
        <w:tc>
          <w:tcPr>
            <w:tcW w:w="3870" w:type="dxa"/>
            <w:shd w:val="clear" w:color="auto" w:fill="auto"/>
            <w:noWrap/>
            <w:vAlign w:val="bottom"/>
          </w:tcPr>
          <w:p w14:paraId="6D6A7190"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KR vs. FDR1</w:t>
            </w:r>
          </w:p>
        </w:tc>
        <w:tc>
          <w:tcPr>
            <w:tcW w:w="720" w:type="dxa"/>
            <w:shd w:val="clear" w:color="auto" w:fill="auto"/>
            <w:noWrap/>
            <w:vAlign w:val="bottom"/>
          </w:tcPr>
          <w:p w14:paraId="279398FA"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33</w:t>
            </w:r>
          </w:p>
        </w:tc>
        <w:tc>
          <w:tcPr>
            <w:tcW w:w="990" w:type="dxa"/>
            <w:shd w:val="clear" w:color="auto" w:fill="auto"/>
            <w:noWrap/>
            <w:vAlign w:val="bottom"/>
          </w:tcPr>
          <w:p w14:paraId="64606571"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21.4</w:t>
            </w:r>
          </w:p>
        </w:tc>
      </w:tr>
      <w:tr w:rsidR="008802C8" w:rsidRPr="00B65D87" w14:paraId="76C01BE9" w14:textId="77777777">
        <w:trPr>
          <w:trHeight w:val="260"/>
        </w:trPr>
        <w:tc>
          <w:tcPr>
            <w:tcW w:w="2356" w:type="dxa"/>
            <w:shd w:val="clear" w:color="auto" w:fill="auto"/>
            <w:vAlign w:val="bottom"/>
          </w:tcPr>
          <w:p w14:paraId="385535F4" w14:textId="77777777" w:rsidR="008802C8" w:rsidRPr="00B65D87" w:rsidRDefault="008802C8" w:rsidP="001729C6">
            <w:pPr>
              <w:rPr>
                <w:rFonts w:ascii="Times New Roman" w:hAnsi="Times New Roman" w:cs="Times New Roman"/>
                <w:szCs w:val="20"/>
              </w:rPr>
            </w:pPr>
            <w:proofErr w:type="gramStart"/>
            <w:r w:rsidRPr="00B65D87">
              <w:rPr>
                <w:rFonts w:ascii="Times New Roman" w:hAnsi="Times New Roman" w:cs="Times New Roman"/>
                <w:szCs w:val="20"/>
              </w:rPr>
              <w:t>submodule</w:t>
            </w:r>
            <w:proofErr w:type="gramEnd"/>
            <w:r w:rsidRPr="00B65D87">
              <w:rPr>
                <w:rFonts w:ascii="Times New Roman" w:hAnsi="Times New Roman" w:cs="Times New Roman"/>
                <w:szCs w:val="20"/>
              </w:rPr>
              <w:t xml:space="preserve"> 1, all</w:t>
            </w:r>
          </w:p>
        </w:tc>
        <w:tc>
          <w:tcPr>
            <w:tcW w:w="810" w:type="dxa"/>
            <w:shd w:val="clear" w:color="auto" w:fill="auto"/>
            <w:noWrap/>
            <w:vAlign w:val="bottom"/>
          </w:tcPr>
          <w:p w14:paraId="3803AF9A"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w:t>
            </w:r>
          </w:p>
        </w:tc>
        <w:tc>
          <w:tcPr>
            <w:tcW w:w="3870" w:type="dxa"/>
            <w:shd w:val="clear" w:color="auto" w:fill="auto"/>
            <w:noWrap/>
            <w:vAlign w:val="bottom"/>
          </w:tcPr>
          <w:p w14:paraId="0074783F"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KR vs. FDR5</w:t>
            </w:r>
          </w:p>
        </w:tc>
        <w:tc>
          <w:tcPr>
            <w:tcW w:w="720" w:type="dxa"/>
            <w:shd w:val="clear" w:color="auto" w:fill="auto"/>
            <w:noWrap/>
            <w:vAlign w:val="bottom"/>
          </w:tcPr>
          <w:p w14:paraId="0F35BF70"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41</w:t>
            </w:r>
          </w:p>
        </w:tc>
        <w:tc>
          <w:tcPr>
            <w:tcW w:w="990" w:type="dxa"/>
            <w:shd w:val="clear" w:color="auto" w:fill="auto"/>
            <w:noWrap/>
            <w:vAlign w:val="bottom"/>
          </w:tcPr>
          <w:p w14:paraId="1BFDE829"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21.6</w:t>
            </w:r>
          </w:p>
        </w:tc>
      </w:tr>
      <w:tr w:rsidR="008802C8" w:rsidRPr="00B65D87" w14:paraId="52DCFB63" w14:textId="77777777">
        <w:trPr>
          <w:trHeight w:val="260"/>
        </w:trPr>
        <w:tc>
          <w:tcPr>
            <w:tcW w:w="2356" w:type="dxa"/>
            <w:shd w:val="clear" w:color="auto" w:fill="auto"/>
            <w:vAlign w:val="bottom"/>
          </w:tcPr>
          <w:p w14:paraId="42FBA5E1" w14:textId="77777777" w:rsidR="008802C8" w:rsidRPr="00B65D87" w:rsidRDefault="008802C8" w:rsidP="001729C6">
            <w:pPr>
              <w:rPr>
                <w:rFonts w:ascii="Times New Roman" w:hAnsi="Times New Roman" w:cs="Times New Roman"/>
                <w:szCs w:val="20"/>
              </w:rPr>
            </w:pPr>
            <w:proofErr w:type="gramStart"/>
            <w:r w:rsidRPr="00B65D87">
              <w:rPr>
                <w:rFonts w:ascii="Times New Roman" w:hAnsi="Times New Roman" w:cs="Times New Roman"/>
                <w:szCs w:val="20"/>
              </w:rPr>
              <w:t>submodule</w:t>
            </w:r>
            <w:proofErr w:type="gramEnd"/>
            <w:r w:rsidRPr="00B65D87">
              <w:rPr>
                <w:rFonts w:ascii="Times New Roman" w:hAnsi="Times New Roman" w:cs="Times New Roman"/>
                <w:szCs w:val="20"/>
              </w:rPr>
              <w:t xml:space="preserve"> 1, all</w:t>
            </w:r>
          </w:p>
        </w:tc>
        <w:tc>
          <w:tcPr>
            <w:tcW w:w="810" w:type="dxa"/>
            <w:shd w:val="clear" w:color="auto" w:fill="auto"/>
            <w:noWrap/>
            <w:vAlign w:val="bottom"/>
          </w:tcPr>
          <w:p w14:paraId="4B177E15"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w:t>
            </w:r>
          </w:p>
        </w:tc>
        <w:tc>
          <w:tcPr>
            <w:tcW w:w="3870" w:type="dxa"/>
            <w:shd w:val="clear" w:color="auto" w:fill="auto"/>
            <w:noWrap/>
            <w:vAlign w:val="bottom"/>
          </w:tcPr>
          <w:p w14:paraId="5F4CC132"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FDR1 vs. FDR5</w:t>
            </w:r>
          </w:p>
        </w:tc>
        <w:tc>
          <w:tcPr>
            <w:tcW w:w="720" w:type="dxa"/>
            <w:shd w:val="clear" w:color="auto" w:fill="auto"/>
            <w:noWrap/>
            <w:vAlign w:val="bottom"/>
          </w:tcPr>
          <w:p w14:paraId="1E9C85A4"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88</w:t>
            </w:r>
          </w:p>
        </w:tc>
        <w:tc>
          <w:tcPr>
            <w:tcW w:w="990" w:type="dxa"/>
            <w:shd w:val="clear" w:color="auto" w:fill="auto"/>
            <w:noWrap/>
            <w:vAlign w:val="bottom"/>
          </w:tcPr>
          <w:p w14:paraId="75BF9C52"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37.5</w:t>
            </w:r>
          </w:p>
        </w:tc>
      </w:tr>
      <w:tr w:rsidR="008802C8" w:rsidRPr="00B65D87" w14:paraId="17204743" w14:textId="77777777">
        <w:trPr>
          <w:trHeight w:val="260"/>
        </w:trPr>
        <w:tc>
          <w:tcPr>
            <w:tcW w:w="2356" w:type="dxa"/>
            <w:shd w:val="clear" w:color="auto" w:fill="auto"/>
            <w:vAlign w:val="bottom"/>
          </w:tcPr>
          <w:p w14:paraId="02A4D9B6" w14:textId="77777777" w:rsidR="008802C8" w:rsidRPr="00B65D87" w:rsidRDefault="008802C8" w:rsidP="001729C6">
            <w:pPr>
              <w:rPr>
                <w:rFonts w:ascii="Times New Roman" w:hAnsi="Times New Roman" w:cs="Times New Roman"/>
                <w:szCs w:val="20"/>
              </w:rPr>
            </w:pPr>
            <w:proofErr w:type="gramStart"/>
            <w:r w:rsidRPr="00B65D87">
              <w:rPr>
                <w:rFonts w:ascii="Times New Roman" w:hAnsi="Times New Roman" w:cs="Times New Roman"/>
                <w:szCs w:val="20"/>
              </w:rPr>
              <w:t>submodule</w:t>
            </w:r>
            <w:proofErr w:type="gramEnd"/>
            <w:r w:rsidRPr="00B65D87">
              <w:rPr>
                <w:rFonts w:ascii="Times New Roman" w:hAnsi="Times New Roman" w:cs="Times New Roman"/>
                <w:szCs w:val="20"/>
              </w:rPr>
              <w:t xml:space="preserve"> 2, all</w:t>
            </w:r>
          </w:p>
        </w:tc>
        <w:tc>
          <w:tcPr>
            <w:tcW w:w="810" w:type="dxa"/>
            <w:shd w:val="clear" w:color="auto" w:fill="auto"/>
            <w:noWrap/>
            <w:vAlign w:val="bottom"/>
          </w:tcPr>
          <w:p w14:paraId="0940DF4E"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w:t>
            </w:r>
          </w:p>
        </w:tc>
        <w:tc>
          <w:tcPr>
            <w:tcW w:w="3870" w:type="dxa"/>
            <w:shd w:val="clear" w:color="auto" w:fill="auto"/>
            <w:noWrap/>
            <w:vAlign w:val="bottom"/>
          </w:tcPr>
          <w:p w14:paraId="18C3720E"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KR vs. FDR1</w:t>
            </w:r>
          </w:p>
        </w:tc>
        <w:tc>
          <w:tcPr>
            <w:tcW w:w="720" w:type="dxa"/>
            <w:shd w:val="clear" w:color="auto" w:fill="auto"/>
            <w:noWrap/>
            <w:vAlign w:val="bottom"/>
          </w:tcPr>
          <w:p w14:paraId="1CFB4ED5"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20</w:t>
            </w:r>
          </w:p>
        </w:tc>
        <w:tc>
          <w:tcPr>
            <w:tcW w:w="990" w:type="dxa"/>
            <w:shd w:val="clear" w:color="auto" w:fill="auto"/>
            <w:noWrap/>
            <w:vAlign w:val="bottom"/>
          </w:tcPr>
          <w:p w14:paraId="700BFE1B"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8.5</w:t>
            </w:r>
          </w:p>
        </w:tc>
      </w:tr>
      <w:tr w:rsidR="008802C8" w:rsidRPr="00B65D87" w14:paraId="563DE5D3" w14:textId="77777777">
        <w:trPr>
          <w:trHeight w:val="260"/>
        </w:trPr>
        <w:tc>
          <w:tcPr>
            <w:tcW w:w="2356" w:type="dxa"/>
            <w:shd w:val="clear" w:color="auto" w:fill="auto"/>
            <w:vAlign w:val="bottom"/>
          </w:tcPr>
          <w:p w14:paraId="4C5A915B" w14:textId="77777777" w:rsidR="008802C8" w:rsidRPr="00B65D87" w:rsidRDefault="008802C8" w:rsidP="001729C6">
            <w:pPr>
              <w:rPr>
                <w:rFonts w:ascii="Times New Roman" w:hAnsi="Times New Roman" w:cs="Times New Roman"/>
                <w:szCs w:val="20"/>
              </w:rPr>
            </w:pPr>
            <w:proofErr w:type="gramStart"/>
            <w:r w:rsidRPr="00B65D87">
              <w:rPr>
                <w:rFonts w:ascii="Times New Roman" w:hAnsi="Times New Roman" w:cs="Times New Roman"/>
                <w:szCs w:val="20"/>
              </w:rPr>
              <w:t>submodule</w:t>
            </w:r>
            <w:proofErr w:type="gramEnd"/>
            <w:r w:rsidRPr="00B65D87">
              <w:rPr>
                <w:rFonts w:ascii="Times New Roman" w:hAnsi="Times New Roman" w:cs="Times New Roman"/>
                <w:szCs w:val="20"/>
              </w:rPr>
              <w:t xml:space="preserve"> 2, all</w:t>
            </w:r>
          </w:p>
        </w:tc>
        <w:tc>
          <w:tcPr>
            <w:tcW w:w="810" w:type="dxa"/>
            <w:shd w:val="clear" w:color="auto" w:fill="auto"/>
            <w:noWrap/>
            <w:vAlign w:val="bottom"/>
          </w:tcPr>
          <w:p w14:paraId="49873CDB"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w:t>
            </w:r>
          </w:p>
        </w:tc>
        <w:tc>
          <w:tcPr>
            <w:tcW w:w="3870" w:type="dxa"/>
            <w:shd w:val="clear" w:color="auto" w:fill="auto"/>
            <w:noWrap/>
            <w:vAlign w:val="bottom"/>
          </w:tcPr>
          <w:p w14:paraId="64366D81"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KR vs. FDR5</w:t>
            </w:r>
          </w:p>
        </w:tc>
        <w:tc>
          <w:tcPr>
            <w:tcW w:w="720" w:type="dxa"/>
            <w:shd w:val="clear" w:color="auto" w:fill="auto"/>
            <w:noWrap/>
            <w:vAlign w:val="bottom"/>
          </w:tcPr>
          <w:p w14:paraId="1713E6CD"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33</w:t>
            </w:r>
          </w:p>
        </w:tc>
        <w:tc>
          <w:tcPr>
            <w:tcW w:w="990" w:type="dxa"/>
            <w:shd w:val="clear" w:color="auto" w:fill="auto"/>
            <w:noWrap/>
            <w:vAlign w:val="bottom"/>
          </w:tcPr>
          <w:p w14:paraId="718A0064"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16.3</w:t>
            </w:r>
          </w:p>
        </w:tc>
      </w:tr>
      <w:tr w:rsidR="008802C8" w:rsidRPr="00B65D87" w14:paraId="5A27C2BA" w14:textId="77777777">
        <w:trPr>
          <w:trHeight w:val="260"/>
        </w:trPr>
        <w:tc>
          <w:tcPr>
            <w:tcW w:w="2356" w:type="dxa"/>
            <w:shd w:val="clear" w:color="auto" w:fill="auto"/>
            <w:vAlign w:val="bottom"/>
          </w:tcPr>
          <w:p w14:paraId="1FA6C644" w14:textId="77777777" w:rsidR="008802C8" w:rsidRPr="00B65D87" w:rsidRDefault="008802C8" w:rsidP="001729C6">
            <w:pPr>
              <w:rPr>
                <w:rFonts w:ascii="Times New Roman" w:hAnsi="Times New Roman" w:cs="Times New Roman"/>
                <w:szCs w:val="20"/>
              </w:rPr>
            </w:pPr>
            <w:proofErr w:type="gramStart"/>
            <w:r w:rsidRPr="00B65D87">
              <w:rPr>
                <w:rFonts w:ascii="Times New Roman" w:hAnsi="Times New Roman" w:cs="Times New Roman"/>
                <w:szCs w:val="20"/>
              </w:rPr>
              <w:t>submodule</w:t>
            </w:r>
            <w:proofErr w:type="gramEnd"/>
            <w:r w:rsidRPr="00B65D87">
              <w:rPr>
                <w:rFonts w:ascii="Times New Roman" w:hAnsi="Times New Roman" w:cs="Times New Roman"/>
                <w:szCs w:val="20"/>
              </w:rPr>
              <w:t xml:space="preserve"> 2, all</w:t>
            </w:r>
          </w:p>
        </w:tc>
        <w:tc>
          <w:tcPr>
            <w:tcW w:w="810" w:type="dxa"/>
            <w:shd w:val="clear" w:color="auto" w:fill="auto"/>
            <w:noWrap/>
            <w:vAlign w:val="bottom"/>
          </w:tcPr>
          <w:p w14:paraId="5C10E6C8"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w:t>
            </w:r>
          </w:p>
        </w:tc>
        <w:tc>
          <w:tcPr>
            <w:tcW w:w="3870" w:type="dxa"/>
            <w:shd w:val="clear" w:color="auto" w:fill="auto"/>
            <w:noWrap/>
            <w:vAlign w:val="bottom"/>
          </w:tcPr>
          <w:p w14:paraId="0F727CD2"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FDR1 vs. FDR5</w:t>
            </w:r>
          </w:p>
        </w:tc>
        <w:tc>
          <w:tcPr>
            <w:tcW w:w="720" w:type="dxa"/>
            <w:shd w:val="clear" w:color="auto" w:fill="auto"/>
            <w:noWrap/>
            <w:vAlign w:val="bottom"/>
          </w:tcPr>
          <w:p w14:paraId="362B48ED"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53</w:t>
            </w:r>
          </w:p>
        </w:tc>
        <w:tc>
          <w:tcPr>
            <w:tcW w:w="990" w:type="dxa"/>
            <w:shd w:val="clear" w:color="auto" w:fill="auto"/>
            <w:noWrap/>
            <w:vAlign w:val="bottom"/>
          </w:tcPr>
          <w:p w14:paraId="35996E43"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27.2</w:t>
            </w:r>
          </w:p>
        </w:tc>
      </w:tr>
      <w:tr w:rsidR="008802C8" w:rsidRPr="00B65D87" w14:paraId="6083C664" w14:textId="77777777">
        <w:trPr>
          <w:trHeight w:val="260"/>
        </w:trPr>
        <w:tc>
          <w:tcPr>
            <w:tcW w:w="2356" w:type="dxa"/>
            <w:shd w:val="clear" w:color="auto" w:fill="auto"/>
            <w:vAlign w:val="bottom"/>
          </w:tcPr>
          <w:p w14:paraId="426630DD" w14:textId="77777777" w:rsidR="008802C8" w:rsidRPr="00B65D87" w:rsidRDefault="008802C8" w:rsidP="001729C6">
            <w:pPr>
              <w:rPr>
                <w:rFonts w:ascii="Times New Roman" w:hAnsi="Times New Roman" w:cs="Times New Roman"/>
                <w:szCs w:val="20"/>
              </w:rPr>
            </w:pPr>
            <w:proofErr w:type="gramStart"/>
            <w:r w:rsidRPr="00B65D87">
              <w:rPr>
                <w:rFonts w:ascii="Times New Roman" w:hAnsi="Times New Roman" w:cs="Times New Roman"/>
                <w:szCs w:val="20"/>
              </w:rPr>
              <w:t>submodule</w:t>
            </w:r>
            <w:proofErr w:type="gramEnd"/>
            <w:r w:rsidRPr="00B65D87">
              <w:rPr>
                <w:rFonts w:ascii="Times New Roman" w:hAnsi="Times New Roman" w:cs="Times New Roman"/>
                <w:szCs w:val="20"/>
              </w:rPr>
              <w:t xml:space="preserve"> 3, all</w:t>
            </w:r>
          </w:p>
        </w:tc>
        <w:tc>
          <w:tcPr>
            <w:tcW w:w="810" w:type="dxa"/>
            <w:shd w:val="clear" w:color="auto" w:fill="auto"/>
            <w:noWrap/>
            <w:vAlign w:val="bottom"/>
          </w:tcPr>
          <w:p w14:paraId="656D5936"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w:t>
            </w:r>
          </w:p>
        </w:tc>
        <w:tc>
          <w:tcPr>
            <w:tcW w:w="3870" w:type="dxa"/>
            <w:shd w:val="clear" w:color="auto" w:fill="auto"/>
            <w:noWrap/>
            <w:vAlign w:val="bottom"/>
          </w:tcPr>
          <w:p w14:paraId="2F045F09"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KR vs. FDR1</w:t>
            </w:r>
          </w:p>
        </w:tc>
        <w:tc>
          <w:tcPr>
            <w:tcW w:w="720" w:type="dxa"/>
            <w:shd w:val="clear" w:color="auto" w:fill="auto"/>
            <w:noWrap/>
            <w:vAlign w:val="bottom"/>
          </w:tcPr>
          <w:p w14:paraId="55BE9DC2"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11</w:t>
            </w:r>
          </w:p>
        </w:tc>
        <w:tc>
          <w:tcPr>
            <w:tcW w:w="990" w:type="dxa"/>
            <w:shd w:val="clear" w:color="auto" w:fill="auto"/>
            <w:noWrap/>
            <w:vAlign w:val="bottom"/>
          </w:tcPr>
          <w:p w14:paraId="0CB6EBE1"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1.3</w:t>
            </w:r>
          </w:p>
        </w:tc>
      </w:tr>
      <w:tr w:rsidR="008802C8" w:rsidRPr="00B65D87" w14:paraId="0A6F2FBE" w14:textId="77777777">
        <w:trPr>
          <w:trHeight w:val="260"/>
        </w:trPr>
        <w:tc>
          <w:tcPr>
            <w:tcW w:w="2356" w:type="dxa"/>
            <w:shd w:val="clear" w:color="auto" w:fill="auto"/>
            <w:vAlign w:val="bottom"/>
          </w:tcPr>
          <w:p w14:paraId="3A5ED840" w14:textId="77777777" w:rsidR="008802C8" w:rsidRPr="00B65D87" w:rsidRDefault="008802C8" w:rsidP="001729C6">
            <w:pPr>
              <w:rPr>
                <w:rFonts w:ascii="Times New Roman" w:hAnsi="Times New Roman" w:cs="Times New Roman"/>
                <w:szCs w:val="20"/>
              </w:rPr>
            </w:pPr>
            <w:proofErr w:type="gramStart"/>
            <w:r w:rsidRPr="00B65D87">
              <w:rPr>
                <w:rFonts w:ascii="Times New Roman" w:hAnsi="Times New Roman" w:cs="Times New Roman"/>
                <w:szCs w:val="20"/>
              </w:rPr>
              <w:t>submodule</w:t>
            </w:r>
            <w:proofErr w:type="gramEnd"/>
            <w:r w:rsidRPr="00B65D87">
              <w:rPr>
                <w:rFonts w:ascii="Times New Roman" w:hAnsi="Times New Roman" w:cs="Times New Roman"/>
                <w:szCs w:val="20"/>
              </w:rPr>
              <w:t xml:space="preserve"> 3, all</w:t>
            </w:r>
          </w:p>
        </w:tc>
        <w:tc>
          <w:tcPr>
            <w:tcW w:w="810" w:type="dxa"/>
            <w:shd w:val="clear" w:color="auto" w:fill="auto"/>
            <w:noWrap/>
            <w:vAlign w:val="bottom"/>
          </w:tcPr>
          <w:p w14:paraId="639AD4A2"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w:t>
            </w:r>
          </w:p>
        </w:tc>
        <w:tc>
          <w:tcPr>
            <w:tcW w:w="3870" w:type="dxa"/>
            <w:shd w:val="clear" w:color="auto" w:fill="auto"/>
            <w:noWrap/>
            <w:vAlign w:val="bottom"/>
          </w:tcPr>
          <w:p w14:paraId="45DC2C55"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KR vs. FDR5</w:t>
            </w:r>
          </w:p>
        </w:tc>
        <w:tc>
          <w:tcPr>
            <w:tcW w:w="720" w:type="dxa"/>
            <w:shd w:val="clear" w:color="auto" w:fill="auto"/>
            <w:noWrap/>
            <w:vAlign w:val="bottom"/>
          </w:tcPr>
          <w:p w14:paraId="2A9D9EC8"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16</w:t>
            </w:r>
          </w:p>
        </w:tc>
        <w:tc>
          <w:tcPr>
            <w:tcW w:w="990" w:type="dxa"/>
            <w:shd w:val="clear" w:color="auto" w:fill="auto"/>
            <w:noWrap/>
            <w:vAlign w:val="bottom"/>
          </w:tcPr>
          <w:p w14:paraId="7BE139B1"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4.1</w:t>
            </w:r>
          </w:p>
        </w:tc>
      </w:tr>
      <w:tr w:rsidR="008802C8" w:rsidRPr="00B65D87" w14:paraId="4A66BF4C" w14:textId="77777777">
        <w:trPr>
          <w:trHeight w:val="260"/>
        </w:trPr>
        <w:tc>
          <w:tcPr>
            <w:tcW w:w="2356" w:type="dxa"/>
            <w:tcBorders>
              <w:bottom w:val="double" w:sz="4" w:space="0" w:color="auto"/>
            </w:tcBorders>
            <w:shd w:val="clear" w:color="auto" w:fill="auto"/>
            <w:vAlign w:val="bottom"/>
          </w:tcPr>
          <w:p w14:paraId="668749FD" w14:textId="77777777" w:rsidR="008802C8" w:rsidRPr="00B65D87" w:rsidRDefault="008802C8" w:rsidP="001729C6">
            <w:pPr>
              <w:rPr>
                <w:rFonts w:ascii="Times New Roman" w:hAnsi="Times New Roman" w:cs="Times New Roman"/>
                <w:szCs w:val="20"/>
              </w:rPr>
            </w:pPr>
            <w:proofErr w:type="gramStart"/>
            <w:r w:rsidRPr="00B65D87">
              <w:rPr>
                <w:rFonts w:ascii="Times New Roman" w:hAnsi="Times New Roman" w:cs="Times New Roman"/>
                <w:szCs w:val="20"/>
              </w:rPr>
              <w:t>submodule</w:t>
            </w:r>
            <w:proofErr w:type="gramEnd"/>
            <w:r w:rsidRPr="00B65D87">
              <w:rPr>
                <w:rFonts w:ascii="Times New Roman" w:hAnsi="Times New Roman" w:cs="Times New Roman"/>
                <w:szCs w:val="20"/>
              </w:rPr>
              <w:t xml:space="preserve"> 3, all</w:t>
            </w:r>
          </w:p>
        </w:tc>
        <w:tc>
          <w:tcPr>
            <w:tcW w:w="810" w:type="dxa"/>
            <w:tcBorders>
              <w:bottom w:val="double" w:sz="4" w:space="0" w:color="auto"/>
            </w:tcBorders>
            <w:shd w:val="clear" w:color="auto" w:fill="auto"/>
            <w:noWrap/>
            <w:vAlign w:val="bottom"/>
          </w:tcPr>
          <w:p w14:paraId="6F2E5110"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w:t>
            </w:r>
          </w:p>
        </w:tc>
        <w:tc>
          <w:tcPr>
            <w:tcW w:w="3870" w:type="dxa"/>
            <w:tcBorders>
              <w:bottom w:val="double" w:sz="4" w:space="0" w:color="auto"/>
            </w:tcBorders>
            <w:shd w:val="clear" w:color="auto" w:fill="auto"/>
            <w:noWrap/>
            <w:vAlign w:val="bottom"/>
          </w:tcPr>
          <w:p w14:paraId="5EE8D111"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FDR1 vs. FDR5</w:t>
            </w:r>
          </w:p>
        </w:tc>
        <w:tc>
          <w:tcPr>
            <w:tcW w:w="720" w:type="dxa"/>
            <w:tcBorders>
              <w:bottom w:val="double" w:sz="4" w:space="0" w:color="auto"/>
            </w:tcBorders>
            <w:shd w:val="clear" w:color="auto" w:fill="auto"/>
            <w:noWrap/>
            <w:vAlign w:val="bottom"/>
          </w:tcPr>
          <w:p w14:paraId="24A95590"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52</w:t>
            </w:r>
          </w:p>
        </w:tc>
        <w:tc>
          <w:tcPr>
            <w:tcW w:w="990" w:type="dxa"/>
            <w:tcBorders>
              <w:bottom w:val="double" w:sz="4" w:space="0" w:color="auto"/>
            </w:tcBorders>
            <w:shd w:val="clear" w:color="auto" w:fill="auto"/>
            <w:noWrap/>
            <w:vAlign w:val="bottom"/>
          </w:tcPr>
          <w:p w14:paraId="0F444DBB"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24.7</w:t>
            </w:r>
          </w:p>
        </w:tc>
      </w:tr>
      <w:tr w:rsidR="008802C8" w:rsidRPr="00B65D87" w14:paraId="7DA4E8E2" w14:textId="77777777">
        <w:trPr>
          <w:trHeight w:val="260"/>
        </w:trPr>
        <w:tc>
          <w:tcPr>
            <w:tcW w:w="7036" w:type="dxa"/>
            <w:gridSpan w:val="3"/>
            <w:tcBorders>
              <w:top w:val="double" w:sz="4" w:space="0" w:color="auto"/>
              <w:bottom w:val="double" w:sz="4" w:space="0" w:color="auto"/>
              <w:right w:val="nil"/>
            </w:tcBorders>
            <w:shd w:val="clear" w:color="auto" w:fill="auto"/>
            <w:vAlign w:val="bottom"/>
          </w:tcPr>
          <w:p w14:paraId="62C5A192"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Comparisons within datasets</w:t>
            </w:r>
          </w:p>
        </w:tc>
        <w:tc>
          <w:tcPr>
            <w:tcW w:w="720" w:type="dxa"/>
            <w:tcBorders>
              <w:top w:val="double" w:sz="4" w:space="0" w:color="auto"/>
              <w:left w:val="nil"/>
              <w:bottom w:val="double" w:sz="4" w:space="0" w:color="auto"/>
              <w:right w:val="nil"/>
            </w:tcBorders>
            <w:shd w:val="clear" w:color="auto" w:fill="auto"/>
            <w:noWrap/>
            <w:vAlign w:val="bottom"/>
          </w:tcPr>
          <w:p w14:paraId="52D44B82" w14:textId="77777777" w:rsidR="008802C8" w:rsidRPr="00B65D87" w:rsidRDefault="008802C8" w:rsidP="001729C6">
            <w:pPr>
              <w:jc w:val="center"/>
              <w:rPr>
                <w:rFonts w:ascii="Times New Roman" w:hAnsi="Times New Roman" w:cs="Times New Roman"/>
                <w:szCs w:val="20"/>
              </w:rPr>
            </w:pPr>
          </w:p>
        </w:tc>
        <w:tc>
          <w:tcPr>
            <w:tcW w:w="990" w:type="dxa"/>
            <w:tcBorders>
              <w:top w:val="double" w:sz="4" w:space="0" w:color="auto"/>
              <w:left w:val="nil"/>
              <w:bottom w:val="double" w:sz="4" w:space="0" w:color="auto"/>
            </w:tcBorders>
            <w:shd w:val="clear" w:color="auto" w:fill="auto"/>
            <w:noWrap/>
            <w:vAlign w:val="bottom"/>
          </w:tcPr>
          <w:p w14:paraId="3561A287" w14:textId="77777777" w:rsidR="008802C8" w:rsidRPr="00B65D87" w:rsidRDefault="008802C8" w:rsidP="001729C6">
            <w:pPr>
              <w:jc w:val="center"/>
              <w:rPr>
                <w:rFonts w:ascii="Times New Roman" w:hAnsi="Times New Roman" w:cs="Times New Roman"/>
              </w:rPr>
            </w:pPr>
          </w:p>
        </w:tc>
      </w:tr>
      <w:tr w:rsidR="008802C8" w:rsidRPr="00B65D87" w14:paraId="19C2727B" w14:textId="77777777">
        <w:trPr>
          <w:trHeight w:val="260"/>
        </w:trPr>
        <w:tc>
          <w:tcPr>
            <w:tcW w:w="2356" w:type="dxa"/>
            <w:tcBorders>
              <w:top w:val="double" w:sz="4" w:space="0" w:color="auto"/>
            </w:tcBorders>
            <w:shd w:val="clear" w:color="auto" w:fill="auto"/>
            <w:vAlign w:val="bottom"/>
          </w:tcPr>
          <w:p w14:paraId="3A87301F"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FDR1, all</w:t>
            </w:r>
          </w:p>
        </w:tc>
        <w:tc>
          <w:tcPr>
            <w:tcW w:w="810" w:type="dxa"/>
            <w:tcBorders>
              <w:top w:val="double" w:sz="4" w:space="0" w:color="auto"/>
            </w:tcBorders>
            <w:shd w:val="clear" w:color="auto" w:fill="auto"/>
            <w:noWrap/>
            <w:vAlign w:val="bottom"/>
          </w:tcPr>
          <w:p w14:paraId="6F4DDF37"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w:t>
            </w:r>
          </w:p>
        </w:tc>
        <w:tc>
          <w:tcPr>
            <w:tcW w:w="3870" w:type="dxa"/>
            <w:tcBorders>
              <w:top w:val="double" w:sz="4" w:space="0" w:color="auto"/>
            </w:tcBorders>
            <w:shd w:val="clear" w:color="auto" w:fill="auto"/>
            <w:noWrap/>
            <w:vAlign w:val="bottom"/>
          </w:tcPr>
          <w:p w14:paraId="19792589"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FDR1 vs. FDR1, no overlap with KR</w:t>
            </w:r>
          </w:p>
        </w:tc>
        <w:tc>
          <w:tcPr>
            <w:tcW w:w="720" w:type="dxa"/>
            <w:tcBorders>
              <w:top w:val="double" w:sz="4" w:space="0" w:color="auto"/>
            </w:tcBorders>
            <w:shd w:val="clear" w:color="auto" w:fill="auto"/>
            <w:noWrap/>
            <w:vAlign w:val="bottom"/>
          </w:tcPr>
          <w:p w14:paraId="57A1C99E"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136</w:t>
            </w:r>
          </w:p>
        </w:tc>
        <w:tc>
          <w:tcPr>
            <w:tcW w:w="990" w:type="dxa"/>
            <w:tcBorders>
              <w:top w:val="double" w:sz="4" w:space="0" w:color="auto"/>
            </w:tcBorders>
            <w:shd w:val="clear" w:color="auto" w:fill="auto"/>
            <w:noWrap/>
            <w:vAlign w:val="bottom"/>
          </w:tcPr>
          <w:p w14:paraId="74C08BDC"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68.7</w:t>
            </w:r>
          </w:p>
        </w:tc>
      </w:tr>
      <w:tr w:rsidR="008802C8" w:rsidRPr="00B65D87" w14:paraId="7BE0CD97" w14:textId="77777777">
        <w:trPr>
          <w:trHeight w:val="260"/>
        </w:trPr>
        <w:tc>
          <w:tcPr>
            <w:tcW w:w="2356" w:type="dxa"/>
            <w:shd w:val="clear" w:color="auto" w:fill="auto"/>
            <w:vAlign w:val="bottom"/>
          </w:tcPr>
          <w:p w14:paraId="53AEA064"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FDR5, all</w:t>
            </w:r>
          </w:p>
        </w:tc>
        <w:tc>
          <w:tcPr>
            <w:tcW w:w="810" w:type="dxa"/>
            <w:shd w:val="clear" w:color="auto" w:fill="auto"/>
            <w:noWrap/>
            <w:vAlign w:val="bottom"/>
          </w:tcPr>
          <w:p w14:paraId="6D4BEFA5"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w:t>
            </w:r>
          </w:p>
        </w:tc>
        <w:tc>
          <w:tcPr>
            <w:tcW w:w="3870" w:type="dxa"/>
            <w:shd w:val="clear" w:color="auto" w:fill="auto"/>
            <w:noWrap/>
            <w:vAlign w:val="bottom"/>
          </w:tcPr>
          <w:p w14:paraId="15358C8C"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FDR5 vs. FDR5, no overlap with KR</w:t>
            </w:r>
          </w:p>
        </w:tc>
        <w:tc>
          <w:tcPr>
            <w:tcW w:w="720" w:type="dxa"/>
            <w:shd w:val="clear" w:color="auto" w:fill="auto"/>
            <w:noWrap/>
            <w:vAlign w:val="bottom"/>
          </w:tcPr>
          <w:p w14:paraId="425D9739"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223</w:t>
            </w:r>
          </w:p>
        </w:tc>
        <w:tc>
          <w:tcPr>
            <w:tcW w:w="990" w:type="dxa"/>
            <w:shd w:val="clear" w:color="auto" w:fill="auto"/>
            <w:noWrap/>
            <w:vAlign w:val="bottom"/>
          </w:tcPr>
          <w:p w14:paraId="1B7F40AC"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106.7</w:t>
            </w:r>
          </w:p>
        </w:tc>
      </w:tr>
      <w:tr w:rsidR="008802C8" w:rsidRPr="00B65D87" w14:paraId="697A7F4B" w14:textId="77777777">
        <w:trPr>
          <w:trHeight w:val="260"/>
        </w:trPr>
        <w:tc>
          <w:tcPr>
            <w:tcW w:w="2356" w:type="dxa"/>
            <w:shd w:val="clear" w:color="auto" w:fill="auto"/>
            <w:vAlign w:val="bottom"/>
          </w:tcPr>
          <w:p w14:paraId="7A3C0227"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KR, all</w:t>
            </w:r>
          </w:p>
        </w:tc>
        <w:tc>
          <w:tcPr>
            <w:tcW w:w="810" w:type="dxa"/>
            <w:shd w:val="clear" w:color="auto" w:fill="auto"/>
            <w:noWrap/>
            <w:vAlign w:val="bottom"/>
          </w:tcPr>
          <w:p w14:paraId="6B2B8C60"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w:t>
            </w:r>
          </w:p>
        </w:tc>
        <w:tc>
          <w:tcPr>
            <w:tcW w:w="3870" w:type="dxa"/>
            <w:shd w:val="clear" w:color="auto" w:fill="auto"/>
            <w:noWrap/>
            <w:vAlign w:val="bottom"/>
          </w:tcPr>
          <w:p w14:paraId="00B5229C"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KR γ=1 vs. KR γ=2.5</w:t>
            </w:r>
          </w:p>
        </w:tc>
        <w:tc>
          <w:tcPr>
            <w:tcW w:w="720" w:type="dxa"/>
            <w:shd w:val="clear" w:color="auto" w:fill="auto"/>
            <w:noWrap/>
            <w:vAlign w:val="bottom"/>
          </w:tcPr>
          <w:p w14:paraId="3FFD6528"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120</w:t>
            </w:r>
          </w:p>
        </w:tc>
        <w:tc>
          <w:tcPr>
            <w:tcW w:w="990" w:type="dxa"/>
            <w:shd w:val="clear" w:color="auto" w:fill="auto"/>
            <w:noWrap/>
            <w:vAlign w:val="bottom"/>
          </w:tcPr>
          <w:p w14:paraId="771E88FE"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72.3</w:t>
            </w:r>
          </w:p>
        </w:tc>
      </w:tr>
      <w:tr w:rsidR="008802C8" w:rsidRPr="00B65D87" w14:paraId="1B3AC008" w14:textId="77777777">
        <w:trPr>
          <w:trHeight w:val="260"/>
        </w:trPr>
        <w:tc>
          <w:tcPr>
            <w:tcW w:w="2356" w:type="dxa"/>
            <w:shd w:val="clear" w:color="auto" w:fill="auto"/>
            <w:vAlign w:val="bottom"/>
          </w:tcPr>
          <w:p w14:paraId="1B724660"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FDR1, all</w:t>
            </w:r>
          </w:p>
        </w:tc>
        <w:tc>
          <w:tcPr>
            <w:tcW w:w="810" w:type="dxa"/>
            <w:shd w:val="clear" w:color="auto" w:fill="auto"/>
            <w:noWrap/>
            <w:vAlign w:val="bottom"/>
          </w:tcPr>
          <w:p w14:paraId="0A029A75"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w:t>
            </w:r>
          </w:p>
        </w:tc>
        <w:tc>
          <w:tcPr>
            <w:tcW w:w="3870" w:type="dxa"/>
            <w:shd w:val="clear" w:color="auto" w:fill="auto"/>
            <w:noWrap/>
            <w:vAlign w:val="bottom"/>
          </w:tcPr>
          <w:p w14:paraId="20EC3C38"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FDR1 γ=1 vs. FDR1 vs. γ=2.5</w:t>
            </w:r>
          </w:p>
        </w:tc>
        <w:tc>
          <w:tcPr>
            <w:tcW w:w="720" w:type="dxa"/>
            <w:shd w:val="clear" w:color="auto" w:fill="auto"/>
            <w:noWrap/>
            <w:vAlign w:val="bottom"/>
          </w:tcPr>
          <w:p w14:paraId="21CEEF49"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221</w:t>
            </w:r>
          </w:p>
        </w:tc>
        <w:tc>
          <w:tcPr>
            <w:tcW w:w="990" w:type="dxa"/>
            <w:shd w:val="clear" w:color="auto" w:fill="auto"/>
            <w:noWrap/>
            <w:vAlign w:val="bottom"/>
          </w:tcPr>
          <w:p w14:paraId="1ABE8D2D"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87.1</w:t>
            </w:r>
          </w:p>
        </w:tc>
      </w:tr>
      <w:tr w:rsidR="008802C8" w:rsidRPr="00B65D87" w14:paraId="74A1CEBF" w14:textId="77777777">
        <w:trPr>
          <w:trHeight w:val="260"/>
        </w:trPr>
        <w:tc>
          <w:tcPr>
            <w:tcW w:w="2356" w:type="dxa"/>
            <w:shd w:val="clear" w:color="auto" w:fill="auto"/>
            <w:vAlign w:val="bottom"/>
          </w:tcPr>
          <w:p w14:paraId="37E5ADBA"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FDR5, all</w:t>
            </w:r>
          </w:p>
        </w:tc>
        <w:tc>
          <w:tcPr>
            <w:tcW w:w="810" w:type="dxa"/>
            <w:shd w:val="clear" w:color="auto" w:fill="auto"/>
            <w:noWrap/>
            <w:vAlign w:val="bottom"/>
          </w:tcPr>
          <w:p w14:paraId="0146829B"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w:t>
            </w:r>
          </w:p>
        </w:tc>
        <w:tc>
          <w:tcPr>
            <w:tcW w:w="3870" w:type="dxa"/>
            <w:shd w:val="clear" w:color="auto" w:fill="auto"/>
            <w:noWrap/>
            <w:vAlign w:val="bottom"/>
          </w:tcPr>
          <w:p w14:paraId="090D131C"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 xml:space="preserve">FDR5 </w:t>
            </w:r>
            <w:r w:rsidRPr="00B65D87">
              <w:rPr>
                <w:rFonts w:ascii="Times New Roman" w:hAnsi="Times New Roman" w:cs="Times New Roman"/>
                <w:szCs w:val="20"/>
              </w:rPr>
              <w:sym w:font="Symbol" w:char="F067"/>
            </w:r>
            <w:r w:rsidRPr="00B65D87">
              <w:rPr>
                <w:rFonts w:ascii="Times New Roman" w:hAnsi="Times New Roman" w:cs="Times New Roman"/>
                <w:szCs w:val="20"/>
              </w:rPr>
              <w:t>=1 vs. FDR5 vs. γ=2.5</w:t>
            </w:r>
          </w:p>
        </w:tc>
        <w:tc>
          <w:tcPr>
            <w:tcW w:w="720" w:type="dxa"/>
            <w:shd w:val="clear" w:color="auto" w:fill="auto"/>
            <w:noWrap/>
            <w:vAlign w:val="bottom"/>
          </w:tcPr>
          <w:p w14:paraId="55A2BF63"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325</w:t>
            </w:r>
          </w:p>
        </w:tc>
        <w:tc>
          <w:tcPr>
            <w:tcW w:w="990" w:type="dxa"/>
            <w:shd w:val="clear" w:color="auto" w:fill="auto"/>
            <w:noWrap/>
            <w:vAlign w:val="bottom"/>
          </w:tcPr>
          <w:p w14:paraId="5F95105E"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96.6</w:t>
            </w:r>
          </w:p>
        </w:tc>
      </w:tr>
      <w:tr w:rsidR="008802C8" w:rsidRPr="00B65D87" w14:paraId="16F25DF5" w14:textId="77777777">
        <w:trPr>
          <w:trHeight w:val="260"/>
        </w:trPr>
        <w:tc>
          <w:tcPr>
            <w:tcW w:w="2356" w:type="dxa"/>
            <w:shd w:val="clear" w:color="auto" w:fill="auto"/>
            <w:vAlign w:val="bottom"/>
          </w:tcPr>
          <w:p w14:paraId="7E85651A"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KR, all</w:t>
            </w:r>
          </w:p>
        </w:tc>
        <w:tc>
          <w:tcPr>
            <w:tcW w:w="810" w:type="dxa"/>
            <w:shd w:val="clear" w:color="auto" w:fill="auto"/>
            <w:noWrap/>
            <w:vAlign w:val="bottom"/>
          </w:tcPr>
          <w:p w14:paraId="5E84900D"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w:t>
            </w:r>
          </w:p>
        </w:tc>
        <w:tc>
          <w:tcPr>
            <w:tcW w:w="3870" w:type="dxa"/>
            <w:shd w:val="clear" w:color="auto" w:fill="auto"/>
            <w:noWrap/>
            <w:vAlign w:val="bottom"/>
          </w:tcPr>
          <w:p w14:paraId="1E973B6F"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KR all vs. KR reprogramming</w:t>
            </w:r>
          </w:p>
        </w:tc>
        <w:tc>
          <w:tcPr>
            <w:tcW w:w="720" w:type="dxa"/>
            <w:shd w:val="clear" w:color="auto" w:fill="auto"/>
            <w:noWrap/>
            <w:vAlign w:val="bottom"/>
          </w:tcPr>
          <w:p w14:paraId="2ACFDCB4"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120</w:t>
            </w:r>
          </w:p>
        </w:tc>
        <w:tc>
          <w:tcPr>
            <w:tcW w:w="990" w:type="dxa"/>
            <w:shd w:val="clear" w:color="auto" w:fill="auto"/>
            <w:noWrap/>
            <w:vAlign w:val="bottom"/>
          </w:tcPr>
          <w:p w14:paraId="0352B4E5"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60.3</w:t>
            </w:r>
          </w:p>
        </w:tc>
      </w:tr>
      <w:tr w:rsidR="008802C8" w:rsidRPr="00B65D87" w14:paraId="38F87158" w14:textId="77777777">
        <w:trPr>
          <w:trHeight w:val="260"/>
        </w:trPr>
        <w:tc>
          <w:tcPr>
            <w:tcW w:w="2356" w:type="dxa"/>
            <w:tcBorders>
              <w:bottom w:val="single" w:sz="4" w:space="0" w:color="auto"/>
            </w:tcBorders>
            <w:shd w:val="clear" w:color="auto" w:fill="auto"/>
            <w:vAlign w:val="bottom"/>
          </w:tcPr>
          <w:p w14:paraId="6B0B2C49"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FDR1, all</w:t>
            </w:r>
          </w:p>
        </w:tc>
        <w:tc>
          <w:tcPr>
            <w:tcW w:w="810" w:type="dxa"/>
            <w:tcBorders>
              <w:bottom w:val="single" w:sz="4" w:space="0" w:color="auto"/>
            </w:tcBorders>
            <w:shd w:val="clear" w:color="auto" w:fill="auto"/>
            <w:noWrap/>
            <w:vAlign w:val="bottom"/>
          </w:tcPr>
          <w:p w14:paraId="26AEEAC7"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w:t>
            </w:r>
          </w:p>
        </w:tc>
        <w:tc>
          <w:tcPr>
            <w:tcW w:w="3870" w:type="dxa"/>
            <w:tcBorders>
              <w:bottom w:val="single" w:sz="4" w:space="0" w:color="auto"/>
            </w:tcBorders>
            <w:shd w:val="clear" w:color="auto" w:fill="auto"/>
            <w:noWrap/>
            <w:vAlign w:val="bottom"/>
          </w:tcPr>
          <w:p w14:paraId="1F718A52"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FDR1 γ=1 all vs. FDR1 γ=1 reprogramming</w:t>
            </w:r>
          </w:p>
        </w:tc>
        <w:tc>
          <w:tcPr>
            <w:tcW w:w="720" w:type="dxa"/>
            <w:tcBorders>
              <w:bottom w:val="single" w:sz="4" w:space="0" w:color="auto"/>
            </w:tcBorders>
            <w:shd w:val="clear" w:color="auto" w:fill="auto"/>
            <w:noWrap/>
            <w:vAlign w:val="bottom"/>
          </w:tcPr>
          <w:p w14:paraId="61D41DD7"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221</w:t>
            </w:r>
          </w:p>
        </w:tc>
        <w:tc>
          <w:tcPr>
            <w:tcW w:w="990" w:type="dxa"/>
            <w:tcBorders>
              <w:bottom w:val="single" w:sz="4" w:space="0" w:color="auto"/>
            </w:tcBorders>
            <w:shd w:val="clear" w:color="auto" w:fill="auto"/>
            <w:noWrap/>
            <w:vAlign w:val="bottom"/>
          </w:tcPr>
          <w:p w14:paraId="2189A7D6"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77.9</w:t>
            </w:r>
          </w:p>
        </w:tc>
      </w:tr>
      <w:tr w:rsidR="008802C8" w:rsidRPr="00B65D87" w14:paraId="3A92C008" w14:textId="77777777">
        <w:trPr>
          <w:trHeight w:val="260"/>
        </w:trPr>
        <w:tc>
          <w:tcPr>
            <w:tcW w:w="2356" w:type="dxa"/>
            <w:tcBorders>
              <w:bottom w:val="double" w:sz="4" w:space="0" w:color="auto"/>
            </w:tcBorders>
            <w:shd w:val="clear" w:color="auto" w:fill="auto"/>
            <w:vAlign w:val="bottom"/>
          </w:tcPr>
          <w:p w14:paraId="2E210414"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FDR5, all</w:t>
            </w:r>
          </w:p>
        </w:tc>
        <w:tc>
          <w:tcPr>
            <w:tcW w:w="810" w:type="dxa"/>
            <w:tcBorders>
              <w:bottom w:val="double" w:sz="4" w:space="0" w:color="auto"/>
            </w:tcBorders>
            <w:shd w:val="clear" w:color="auto" w:fill="auto"/>
            <w:noWrap/>
            <w:vAlign w:val="bottom"/>
          </w:tcPr>
          <w:p w14:paraId="43A63534"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1</w:t>
            </w:r>
          </w:p>
        </w:tc>
        <w:tc>
          <w:tcPr>
            <w:tcW w:w="3870" w:type="dxa"/>
            <w:tcBorders>
              <w:bottom w:val="double" w:sz="4" w:space="0" w:color="auto"/>
            </w:tcBorders>
            <w:shd w:val="clear" w:color="auto" w:fill="auto"/>
            <w:noWrap/>
            <w:vAlign w:val="bottom"/>
          </w:tcPr>
          <w:p w14:paraId="5A53DFBC" w14:textId="77777777" w:rsidR="008802C8" w:rsidRPr="00B65D87" w:rsidRDefault="008802C8" w:rsidP="001729C6">
            <w:pPr>
              <w:rPr>
                <w:rFonts w:ascii="Times New Roman" w:hAnsi="Times New Roman" w:cs="Times New Roman"/>
                <w:szCs w:val="20"/>
              </w:rPr>
            </w:pPr>
            <w:r w:rsidRPr="00B65D87">
              <w:rPr>
                <w:rFonts w:ascii="Times New Roman" w:hAnsi="Times New Roman" w:cs="Times New Roman"/>
                <w:szCs w:val="20"/>
              </w:rPr>
              <w:t>FDR5 γ=1 all vs. FDR5 γ=1 reprogramming</w:t>
            </w:r>
          </w:p>
        </w:tc>
        <w:tc>
          <w:tcPr>
            <w:tcW w:w="720" w:type="dxa"/>
            <w:tcBorders>
              <w:bottom w:val="double" w:sz="4" w:space="0" w:color="auto"/>
            </w:tcBorders>
            <w:shd w:val="clear" w:color="auto" w:fill="auto"/>
            <w:noWrap/>
            <w:vAlign w:val="bottom"/>
          </w:tcPr>
          <w:p w14:paraId="5EBB12F3" w14:textId="77777777" w:rsidR="008802C8" w:rsidRPr="00B65D87" w:rsidRDefault="008802C8" w:rsidP="001729C6">
            <w:pPr>
              <w:jc w:val="center"/>
              <w:rPr>
                <w:rFonts w:ascii="Times New Roman" w:hAnsi="Times New Roman" w:cs="Times New Roman"/>
                <w:szCs w:val="20"/>
              </w:rPr>
            </w:pPr>
            <w:r w:rsidRPr="00B65D87">
              <w:rPr>
                <w:rFonts w:ascii="Times New Roman" w:hAnsi="Times New Roman" w:cs="Times New Roman"/>
                <w:szCs w:val="20"/>
              </w:rPr>
              <w:t>325</w:t>
            </w:r>
          </w:p>
        </w:tc>
        <w:tc>
          <w:tcPr>
            <w:tcW w:w="990" w:type="dxa"/>
            <w:tcBorders>
              <w:bottom w:val="double" w:sz="4" w:space="0" w:color="auto"/>
            </w:tcBorders>
            <w:shd w:val="clear" w:color="auto" w:fill="auto"/>
            <w:noWrap/>
            <w:vAlign w:val="bottom"/>
          </w:tcPr>
          <w:p w14:paraId="49D2E472" w14:textId="77777777" w:rsidR="008802C8" w:rsidRPr="00B65D87" w:rsidRDefault="008802C8" w:rsidP="001729C6">
            <w:pPr>
              <w:jc w:val="center"/>
              <w:rPr>
                <w:rFonts w:ascii="Times New Roman" w:hAnsi="Times New Roman" w:cs="Times New Roman"/>
              </w:rPr>
            </w:pPr>
            <w:r w:rsidRPr="00B65D87">
              <w:rPr>
                <w:rFonts w:ascii="Times New Roman" w:hAnsi="Times New Roman" w:cs="Times New Roman"/>
              </w:rPr>
              <w:t>85.7</w:t>
            </w:r>
          </w:p>
        </w:tc>
      </w:tr>
    </w:tbl>
    <w:p w14:paraId="2ADDCBD9" w14:textId="77777777" w:rsidR="008802C8" w:rsidRPr="00B65D87" w:rsidRDefault="008802C8" w:rsidP="008802C8">
      <w:pPr>
        <w:rPr>
          <w:rFonts w:ascii="Times New Roman" w:hAnsi="Times New Roman" w:cs="Times New Roman"/>
        </w:rPr>
      </w:pPr>
    </w:p>
    <w:p w14:paraId="19E20E9D" w14:textId="77777777" w:rsidR="005B5115" w:rsidRPr="00B65D87" w:rsidRDefault="005B5115" w:rsidP="005B5115">
      <w:pPr>
        <w:spacing w:line="480" w:lineRule="auto"/>
        <w:rPr>
          <w:rFonts w:ascii="Times New Roman" w:hAnsi="Times New Roman" w:cs="Times New Roman"/>
          <w:b/>
          <w:color w:val="000000" w:themeColor="text1"/>
        </w:rPr>
      </w:pPr>
    </w:p>
    <w:p w14:paraId="71DE74D8" w14:textId="6EE0E41A" w:rsidR="005B5115" w:rsidRPr="009A7CC7" w:rsidRDefault="008802C8" w:rsidP="00E363E2">
      <w:pPr>
        <w:spacing w:line="480" w:lineRule="auto"/>
        <w:rPr>
          <w:rFonts w:ascii="Times New Roman" w:hAnsi="Times New Roman" w:cs="Times New Roman"/>
        </w:rPr>
      </w:pPr>
      <w:r w:rsidRPr="00B65D87">
        <w:rPr>
          <w:rFonts w:ascii="Times New Roman" w:hAnsi="Times New Roman" w:cs="Times New Roman"/>
          <w:b/>
          <w:color w:val="000000" w:themeColor="text1"/>
        </w:rPr>
        <w:br w:type="page"/>
      </w:r>
      <w:r w:rsidR="005B5115" w:rsidRPr="009A7CC7">
        <w:rPr>
          <w:rFonts w:ascii="Times New Roman" w:hAnsi="Times New Roman" w:cs="Times New Roman"/>
        </w:rPr>
        <w:t xml:space="preserve"> </w:t>
      </w:r>
    </w:p>
    <w:p w14:paraId="7E3568AB" w14:textId="77777777" w:rsidR="005B5115" w:rsidRDefault="005B5115" w:rsidP="005B5115">
      <w:pPr>
        <w:spacing w:line="480" w:lineRule="auto"/>
        <w:rPr>
          <w:rFonts w:ascii="Times" w:hAnsi="Times"/>
        </w:rPr>
      </w:pPr>
    </w:p>
    <w:p w14:paraId="61FD5F08" w14:textId="5FFE97BF" w:rsidR="00EF4F25" w:rsidRPr="009A7CC7" w:rsidRDefault="005B5115" w:rsidP="00EF4F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Arial" w:hAnsi="Arial" w:cs="Arial"/>
          <w:b/>
          <w:sz w:val="28"/>
          <w:szCs w:val="28"/>
        </w:rPr>
      </w:pPr>
      <w:r w:rsidRPr="009A7CC7">
        <w:rPr>
          <w:rFonts w:ascii="Arial" w:hAnsi="Arial" w:cs="Arial"/>
          <w:b/>
          <w:sz w:val="28"/>
          <w:szCs w:val="28"/>
        </w:rPr>
        <w:t>Supplemental References</w:t>
      </w:r>
    </w:p>
    <w:p w14:paraId="12234F71" w14:textId="77777777" w:rsidR="006541A5" w:rsidRDefault="00775673"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sidRPr="009A7CC7">
        <w:rPr>
          <w:rFonts w:ascii="Times New Roman" w:hAnsi="Times New Roman" w:cs="Times New Roman"/>
        </w:rPr>
        <w:fldChar w:fldCharType="begin"/>
      </w:r>
      <w:r w:rsidR="005B5115" w:rsidRPr="009A7CC7">
        <w:rPr>
          <w:rFonts w:ascii="Times New Roman" w:hAnsi="Times New Roman" w:cs="Times New Roman"/>
        </w:rPr>
        <w:instrText xml:space="preserve"> ADDIN PAPERS2_CITATIONS &lt;papers2_bibliography/&gt;</w:instrText>
      </w:r>
      <w:r w:rsidRPr="009A7CC7">
        <w:rPr>
          <w:rFonts w:ascii="Times New Roman" w:hAnsi="Times New Roman" w:cs="Times New Roman"/>
        </w:rPr>
        <w:fldChar w:fldCharType="separate"/>
      </w:r>
      <w:r w:rsidR="006541A5">
        <w:rPr>
          <w:rFonts w:ascii="Times New Roman" w:hAnsi="Times New Roman" w:cs="Times New Roman"/>
        </w:rPr>
        <w:t xml:space="preserve">1. Morin RD, O'Connor MD, Griffith M, Kuchenbauer F, Delaney A, Prabhu AL, Zhao Y, McDonald H, Zeng T, Hirst M, Eaves CJ, Marra MA: </w:t>
      </w:r>
      <w:r w:rsidR="006541A5">
        <w:rPr>
          <w:rFonts w:ascii="Times New Roman" w:hAnsi="Times New Roman" w:cs="Times New Roman"/>
          <w:b/>
          <w:bCs/>
        </w:rPr>
        <w:t>Application of massively parallel sequencing to microRNA profiling and discovery in human embryonic stem cells</w:t>
      </w:r>
      <w:r w:rsidR="006541A5">
        <w:rPr>
          <w:rFonts w:ascii="Times New Roman" w:hAnsi="Times New Roman" w:cs="Times New Roman"/>
        </w:rPr>
        <w:t xml:space="preserve">. </w:t>
      </w:r>
      <w:proofErr w:type="gramStart"/>
      <w:r w:rsidR="006541A5">
        <w:rPr>
          <w:rFonts w:ascii="Times New Roman" w:hAnsi="Times New Roman" w:cs="Times New Roman"/>
          <w:i/>
          <w:iCs/>
        </w:rPr>
        <w:t>Genome Res</w:t>
      </w:r>
      <w:r w:rsidR="006541A5">
        <w:rPr>
          <w:rFonts w:ascii="Times New Roman" w:hAnsi="Times New Roman" w:cs="Times New Roman"/>
        </w:rPr>
        <w:t xml:space="preserve"> 2008, </w:t>
      </w:r>
      <w:r w:rsidR="006541A5">
        <w:rPr>
          <w:rFonts w:ascii="Times New Roman" w:hAnsi="Times New Roman" w:cs="Times New Roman"/>
          <w:b/>
          <w:bCs/>
        </w:rPr>
        <w:t>18</w:t>
      </w:r>
      <w:r w:rsidR="006541A5">
        <w:rPr>
          <w:rFonts w:ascii="Times New Roman" w:hAnsi="Times New Roman" w:cs="Times New Roman"/>
        </w:rPr>
        <w:t>:610–621.</w:t>
      </w:r>
      <w:proofErr w:type="gramEnd"/>
    </w:p>
    <w:p w14:paraId="6FAB5167"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2. Lengner CJ, Camargo FD, Hochedlinger K, Welstead GG, Zaidi S, Gokhale S, Schöler HR, Tomilin A, Jaenisch R: </w:t>
      </w:r>
      <w:r>
        <w:rPr>
          <w:rFonts w:ascii="Times New Roman" w:hAnsi="Times New Roman" w:cs="Times New Roman"/>
          <w:b/>
          <w:bCs/>
        </w:rPr>
        <w:t>Oct4 Expression Is Not Required for Mouse Somatic Stem Cell Self-Renewal</w:t>
      </w:r>
      <w:r>
        <w:rPr>
          <w:rFonts w:ascii="Times New Roman" w:hAnsi="Times New Roman" w:cs="Times New Roman"/>
        </w:rPr>
        <w:t xml:space="preserve">. </w:t>
      </w:r>
      <w:r>
        <w:rPr>
          <w:rFonts w:ascii="Times New Roman" w:hAnsi="Times New Roman" w:cs="Times New Roman"/>
          <w:i/>
          <w:iCs/>
        </w:rPr>
        <w:t>Cell Stem Cell</w:t>
      </w:r>
      <w:r>
        <w:rPr>
          <w:rFonts w:ascii="Times New Roman" w:hAnsi="Times New Roman" w:cs="Times New Roman"/>
        </w:rPr>
        <w:t xml:space="preserve"> 2007, </w:t>
      </w:r>
      <w:r>
        <w:rPr>
          <w:rFonts w:ascii="Times New Roman" w:hAnsi="Times New Roman" w:cs="Times New Roman"/>
          <w:b/>
          <w:bCs/>
        </w:rPr>
        <w:t>1</w:t>
      </w:r>
      <w:r>
        <w:rPr>
          <w:rFonts w:ascii="Times New Roman" w:hAnsi="Times New Roman" w:cs="Times New Roman"/>
        </w:rPr>
        <w:t>:403–415.</w:t>
      </w:r>
    </w:p>
    <w:p w14:paraId="1A5ED4D5"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3. Brambrink T, Foreman R, Welstead G, Lengner C, Wernig M, Suh H, Jaenisch R: </w:t>
      </w:r>
      <w:r>
        <w:rPr>
          <w:rFonts w:ascii="Times New Roman" w:hAnsi="Times New Roman" w:cs="Times New Roman"/>
          <w:b/>
          <w:bCs/>
        </w:rPr>
        <w:t>Sequential expression of pluripotency markers during direct reprogramming of mouse somatic cells</w:t>
      </w:r>
      <w:r>
        <w:rPr>
          <w:rFonts w:ascii="Times New Roman" w:hAnsi="Times New Roman" w:cs="Times New Roman"/>
        </w:rPr>
        <w:t xml:space="preserve">. </w:t>
      </w:r>
      <w:r>
        <w:rPr>
          <w:rFonts w:ascii="Times New Roman" w:hAnsi="Times New Roman" w:cs="Times New Roman"/>
          <w:i/>
          <w:iCs/>
        </w:rPr>
        <w:t>Cell Stem Cell</w:t>
      </w:r>
      <w:r>
        <w:rPr>
          <w:rFonts w:ascii="Times New Roman" w:hAnsi="Times New Roman" w:cs="Times New Roman"/>
        </w:rPr>
        <w:t xml:space="preserve"> 2008, </w:t>
      </w:r>
      <w:r>
        <w:rPr>
          <w:rFonts w:ascii="Times New Roman" w:hAnsi="Times New Roman" w:cs="Times New Roman"/>
          <w:b/>
          <w:bCs/>
        </w:rPr>
        <w:t>2</w:t>
      </w:r>
      <w:r>
        <w:rPr>
          <w:rFonts w:ascii="Times New Roman" w:hAnsi="Times New Roman" w:cs="Times New Roman"/>
        </w:rPr>
        <w:t>:151–159.</w:t>
      </w:r>
    </w:p>
    <w:p w14:paraId="43179EF5"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4. Stadtfeld M, Maherali N, Breault D, Hochedlinger K: </w:t>
      </w:r>
      <w:r>
        <w:rPr>
          <w:rFonts w:ascii="Times New Roman" w:hAnsi="Times New Roman" w:cs="Times New Roman"/>
          <w:b/>
          <w:bCs/>
        </w:rPr>
        <w:t>Defining molecular cornerstones during fibroblast to iPS cell reprogramming in mouse</w:t>
      </w:r>
      <w:r>
        <w:rPr>
          <w:rFonts w:ascii="Times New Roman" w:hAnsi="Times New Roman" w:cs="Times New Roman"/>
        </w:rPr>
        <w:t xml:space="preserve">. </w:t>
      </w:r>
      <w:r>
        <w:rPr>
          <w:rFonts w:ascii="Times New Roman" w:hAnsi="Times New Roman" w:cs="Times New Roman"/>
          <w:i/>
          <w:iCs/>
        </w:rPr>
        <w:t>Cell Stem Cell</w:t>
      </w:r>
      <w:r>
        <w:rPr>
          <w:rFonts w:ascii="Times New Roman" w:hAnsi="Times New Roman" w:cs="Times New Roman"/>
        </w:rPr>
        <w:t xml:space="preserve"> 2008, </w:t>
      </w:r>
      <w:r>
        <w:rPr>
          <w:rFonts w:ascii="Times New Roman" w:hAnsi="Times New Roman" w:cs="Times New Roman"/>
          <w:b/>
          <w:bCs/>
        </w:rPr>
        <w:t>2</w:t>
      </w:r>
      <w:r>
        <w:rPr>
          <w:rFonts w:ascii="Times New Roman" w:hAnsi="Times New Roman" w:cs="Times New Roman"/>
        </w:rPr>
        <w:t>:230–240.</w:t>
      </w:r>
    </w:p>
    <w:p w14:paraId="7C3A03F4"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5. Polo JM, Anderssen E, Walsh RM, Schwarz BA, Nefzger CM, Lim SM, Borkent M, Apostolou E, Alaei S, Cloutier J, Bar-Nur O, Cheloufi S, Stadtfeld M, Figueroa ME, Robinton D, Natesan S, Melnick A, Zhu J, Ramaswamy S, Hochedlinger K: </w:t>
      </w:r>
      <w:r>
        <w:rPr>
          <w:rFonts w:ascii="Times New Roman" w:hAnsi="Times New Roman" w:cs="Times New Roman"/>
          <w:b/>
          <w:bCs/>
        </w:rPr>
        <w:t>A molecular roadmap of reprogramming somatic cells into iPS cells.</w:t>
      </w:r>
      <w:r>
        <w:rPr>
          <w:rFonts w:ascii="Times New Roman" w:hAnsi="Times New Roman" w:cs="Times New Roman"/>
        </w:rPr>
        <w:t xml:space="preserve"> </w:t>
      </w:r>
      <w:proofErr w:type="gramStart"/>
      <w:r>
        <w:rPr>
          <w:rFonts w:ascii="Times New Roman" w:hAnsi="Times New Roman" w:cs="Times New Roman"/>
          <w:i/>
          <w:iCs/>
        </w:rPr>
        <w:t>Cell</w:t>
      </w:r>
      <w:r>
        <w:rPr>
          <w:rFonts w:ascii="Times New Roman" w:hAnsi="Times New Roman" w:cs="Times New Roman"/>
        </w:rPr>
        <w:t xml:space="preserve"> 2012, </w:t>
      </w:r>
      <w:r>
        <w:rPr>
          <w:rFonts w:ascii="Times New Roman" w:hAnsi="Times New Roman" w:cs="Times New Roman"/>
          <w:b/>
          <w:bCs/>
        </w:rPr>
        <w:t>151</w:t>
      </w:r>
      <w:r>
        <w:rPr>
          <w:rFonts w:ascii="Times New Roman" w:hAnsi="Times New Roman" w:cs="Times New Roman"/>
        </w:rPr>
        <w:t>:1617–1632.</w:t>
      </w:r>
      <w:proofErr w:type="gramEnd"/>
    </w:p>
    <w:p w14:paraId="58B69782"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6. Zhou H, Arcila ML, Li Z, Lee EJ, Henzler C, Liu J, Rana TM, Kosik KS: </w:t>
      </w:r>
      <w:r>
        <w:rPr>
          <w:rFonts w:ascii="Times New Roman" w:hAnsi="Times New Roman" w:cs="Times New Roman"/>
          <w:b/>
          <w:bCs/>
        </w:rPr>
        <w:t>Deep annotation of mouse iso-miR and iso-moR variation</w:t>
      </w:r>
      <w:r>
        <w:rPr>
          <w:rFonts w:ascii="Times New Roman" w:hAnsi="Times New Roman" w:cs="Times New Roman"/>
        </w:rPr>
        <w:t xml:space="preserve">. </w:t>
      </w:r>
      <w:proofErr w:type="gramStart"/>
      <w:r>
        <w:rPr>
          <w:rFonts w:ascii="Times New Roman" w:hAnsi="Times New Roman" w:cs="Times New Roman"/>
          <w:i/>
          <w:iCs/>
        </w:rPr>
        <w:t>Nucleic Acids Res</w:t>
      </w:r>
      <w:r>
        <w:rPr>
          <w:rFonts w:ascii="Times New Roman" w:hAnsi="Times New Roman" w:cs="Times New Roman"/>
        </w:rPr>
        <w:t xml:space="preserve"> 2012, </w:t>
      </w:r>
      <w:r>
        <w:rPr>
          <w:rFonts w:ascii="Times New Roman" w:hAnsi="Times New Roman" w:cs="Times New Roman"/>
          <w:b/>
          <w:bCs/>
        </w:rPr>
        <w:t>40</w:t>
      </w:r>
      <w:r>
        <w:rPr>
          <w:rFonts w:ascii="Times New Roman" w:hAnsi="Times New Roman" w:cs="Times New Roman"/>
        </w:rPr>
        <w:t>:5864–5875.</w:t>
      </w:r>
      <w:proofErr w:type="gramEnd"/>
    </w:p>
    <w:p w14:paraId="6FDF3768"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7. Lewis BP, Burge CB, Bartel DP: </w:t>
      </w:r>
      <w:r>
        <w:rPr>
          <w:rFonts w:ascii="Times New Roman" w:hAnsi="Times New Roman" w:cs="Times New Roman"/>
          <w:b/>
          <w:bCs/>
        </w:rPr>
        <w:t>Conserved seed pairing, often flanked by adenosines, indicates that thousands of human genes are microRNA targets.</w:t>
      </w:r>
      <w:r>
        <w:rPr>
          <w:rFonts w:ascii="Times New Roman" w:hAnsi="Times New Roman" w:cs="Times New Roman"/>
        </w:rPr>
        <w:t xml:space="preserve"> </w:t>
      </w:r>
      <w:proofErr w:type="gramStart"/>
      <w:r>
        <w:rPr>
          <w:rFonts w:ascii="Times New Roman" w:hAnsi="Times New Roman" w:cs="Times New Roman"/>
          <w:i/>
          <w:iCs/>
        </w:rPr>
        <w:t>Cell</w:t>
      </w:r>
      <w:r>
        <w:rPr>
          <w:rFonts w:ascii="Times New Roman" w:hAnsi="Times New Roman" w:cs="Times New Roman"/>
        </w:rPr>
        <w:t xml:space="preserve"> 2005, </w:t>
      </w:r>
      <w:r>
        <w:rPr>
          <w:rFonts w:ascii="Times New Roman" w:hAnsi="Times New Roman" w:cs="Times New Roman"/>
          <w:b/>
          <w:bCs/>
        </w:rPr>
        <w:t>120</w:t>
      </w:r>
      <w:r>
        <w:rPr>
          <w:rFonts w:ascii="Times New Roman" w:hAnsi="Times New Roman" w:cs="Times New Roman"/>
        </w:rPr>
        <w:t>:15–20.</w:t>
      </w:r>
      <w:proofErr w:type="gramEnd"/>
    </w:p>
    <w:p w14:paraId="615D812C"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8. Conaco CC, Bassett DSD, Zhou HH, Arcila MLM, Degnan SMS, Degnan BMB, Kosik KSK: </w:t>
      </w:r>
      <w:r>
        <w:rPr>
          <w:rFonts w:ascii="Times New Roman" w:hAnsi="Times New Roman" w:cs="Times New Roman"/>
          <w:b/>
          <w:bCs/>
        </w:rPr>
        <w:t>Functionalization of a protosynaptic gene expression network.</w:t>
      </w:r>
      <w:r>
        <w:rPr>
          <w:rFonts w:ascii="Times New Roman" w:hAnsi="Times New Roman" w:cs="Times New Roman"/>
        </w:rPr>
        <w:t xml:space="preserve"> </w:t>
      </w:r>
      <w:proofErr w:type="gramStart"/>
      <w:r>
        <w:rPr>
          <w:rFonts w:ascii="Times New Roman" w:hAnsi="Times New Roman" w:cs="Times New Roman"/>
          <w:i/>
          <w:iCs/>
        </w:rPr>
        <w:t>Proc Natl Acad Sci USA</w:t>
      </w:r>
      <w:r>
        <w:rPr>
          <w:rFonts w:ascii="Times New Roman" w:hAnsi="Times New Roman" w:cs="Times New Roman"/>
        </w:rPr>
        <w:t xml:space="preserve"> 2012, </w:t>
      </w:r>
      <w:r>
        <w:rPr>
          <w:rFonts w:ascii="Times New Roman" w:hAnsi="Times New Roman" w:cs="Times New Roman"/>
          <w:b/>
          <w:bCs/>
        </w:rPr>
        <w:t>109 Suppl 1</w:t>
      </w:r>
      <w:r>
        <w:rPr>
          <w:rFonts w:ascii="Times New Roman" w:hAnsi="Times New Roman" w:cs="Times New Roman"/>
        </w:rPr>
        <w:t>:10612–10618.</w:t>
      </w:r>
      <w:proofErr w:type="gramEnd"/>
    </w:p>
    <w:p w14:paraId="5B316081"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9. Li Z, Yang C-S, Nakashima K, Rana TM: </w:t>
      </w:r>
      <w:r>
        <w:rPr>
          <w:rFonts w:ascii="Times New Roman" w:hAnsi="Times New Roman" w:cs="Times New Roman"/>
          <w:b/>
          <w:bCs/>
        </w:rPr>
        <w:t>Small RNA-mediated regulation of iPS cell generation</w:t>
      </w:r>
      <w:r>
        <w:rPr>
          <w:rFonts w:ascii="Times New Roman" w:hAnsi="Times New Roman" w:cs="Times New Roman"/>
        </w:rPr>
        <w:t xml:space="preserve">. </w:t>
      </w:r>
      <w:proofErr w:type="gramStart"/>
      <w:r>
        <w:rPr>
          <w:rFonts w:ascii="Times New Roman" w:hAnsi="Times New Roman" w:cs="Times New Roman"/>
          <w:i/>
          <w:iCs/>
        </w:rPr>
        <w:t>The EMBO Journal</w:t>
      </w:r>
      <w:r>
        <w:rPr>
          <w:rFonts w:ascii="Times New Roman" w:hAnsi="Times New Roman" w:cs="Times New Roman"/>
        </w:rPr>
        <w:t xml:space="preserve"> 2011, </w:t>
      </w:r>
      <w:r>
        <w:rPr>
          <w:rFonts w:ascii="Times New Roman" w:hAnsi="Times New Roman" w:cs="Times New Roman"/>
          <w:b/>
          <w:bCs/>
        </w:rPr>
        <w:t>30</w:t>
      </w:r>
      <w:r>
        <w:rPr>
          <w:rFonts w:ascii="Times New Roman" w:hAnsi="Times New Roman" w:cs="Times New Roman"/>
        </w:rPr>
        <w:t>:823–834.</w:t>
      </w:r>
      <w:proofErr w:type="gramEnd"/>
    </w:p>
    <w:p w14:paraId="105027CE"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10. Samavarchi-Tehrani P, Golipour A, David L, Sung H-K, Beyer TA, Datti A, Woltjen K, Nagy A, Wrana JL: </w:t>
      </w:r>
      <w:r>
        <w:rPr>
          <w:rFonts w:ascii="Times New Roman" w:hAnsi="Times New Roman" w:cs="Times New Roman"/>
          <w:b/>
          <w:bCs/>
        </w:rPr>
        <w:t>Functional genomics reveals a BMP-driven mesenchymal-to-epithelial transition in the initiation of somatic cell reprogramming.</w:t>
      </w:r>
      <w:r>
        <w:rPr>
          <w:rFonts w:ascii="Times New Roman" w:hAnsi="Times New Roman" w:cs="Times New Roman"/>
        </w:rPr>
        <w:t xml:space="preserve"> </w:t>
      </w:r>
      <w:r>
        <w:rPr>
          <w:rFonts w:ascii="Times New Roman" w:hAnsi="Times New Roman" w:cs="Times New Roman"/>
          <w:i/>
          <w:iCs/>
        </w:rPr>
        <w:t>Cell Stem Cell</w:t>
      </w:r>
      <w:r>
        <w:rPr>
          <w:rFonts w:ascii="Times New Roman" w:hAnsi="Times New Roman" w:cs="Times New Roman"/>
        </w:rPr>
        <w:t xml:space="preserve"> 2010, </w:t>
      </w:r>
      <w:r>
        <w:rPr>
          <w:rFonts w:ascii="Times New Roman" w:hAnsi="Times New Roman" w:cs="Times New Roman"/>
          <w:b/>
          <w:bCs/>
        </w:rPr>
        <w:t>7</w:t>
      </w:r>
      <w:r>
        <w:rPr>
          <w:rFonts w:ascii="Times New Roman" w:hAnsi="Times New Roman" w:cs="Times New Roman"/>
        </w:rPr>
        <w:t>:64–77.</w:t>
      </w:r>
    </w:p>
    <w:p w14:paraId="6E13D5BC"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11. Houbaviy H, Murray M, Sharp P: </w:t>
      </w:r>
      <w:r>
        <w:rPr>
          <w:rFonts w:ascii="Times New Roman" w:hAnsi="Times New Roman" w:cs="Times New Roman"/>
          <w:b/>
          <w:bCs/>
        </w:rPr>
        <w:t>Embryonic stem cell-specific MicroRNAs</w:t>
      </w:r>
      <w:r>
        <w:rPr>
          <w:rFonts w:ascii="Times New Roman" w:hAnsi="Times New Roman" w:cs="Times New Roman"/>
        </w:rPr>
        <w:t xml:space="preserve">. </w:t>
      </w:r>
      <w:proofErr w:type="gramStart"/>
      <w:r>
        <w:rPr>
          <w:rFonts w:ascii="Times New Roman" w:hAnsi="Times New Roman" w:cs="Times New Roman"/>
          <w:i/>
          <w:iCs/>
        </w:rPr>
        <w:t>Developmental Cell</w:t>
      </w:r>
      <w:r>
        <w:rPr>
          <w:rFonts w:ascii="Times New Roman" w:hAnsi="Times New Roman" w:cs="Times New Roman"/>
        </w:rPr>
        <w:t xml:space="preserve"> 2003, </w:t>
      </w:r>
      <w:r>
        <w:rPr>
          <w:rFonts w:ascii="Times New Roman" w:hAnsi="Times New Roman" w:cs="Times New Roman"/>
          <w:b/>
          <w:bCs/>
        </w:rPr>
        <w:t>5</w:t>
      </w:r>
      <w:r>
        <w:rPr>
          <w:rFonts w:ascii="Times New Roman" w:hAnsi="Times New Roman" w:cs="Times New Roman"/>
        </w:rPr>
        <w:t>:351–358.</w:t>
      </w:r>
      <w:proofErr w:type="gramEnd"/>
    </w:p>
    <w:p w14:paraId="09FB8D94"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12. Marson A, Levine SS, Cole MF, Frampton GM, Brambrink T, Johnstone S, Guenther MG, Johnston WK, Wernig M, Newman J, Calabrese JM, Dennis LM, Volkert TL, Gupta S, Love J, Hannett N, Sharp PA, Bartel DP, Jaenisch R, Young RA: </w:t>
      </w:r>
      <w:r>
        <w:rPr>
          <w:rFonts w:ascii="Times New Roman" w:hAnsi="Times New Roman" w:cs="Times New Roman"/>
          <w:b/>
          <w:bCs/>
        </w:rPr>
        <w:t>Connecting microRNA genes to the core transcriptional regulatory circuitry of embryonic stem cells.</w:t>
      </w:r>
      <w:r>
        <w:rPr>
          <w:rFonts w:ascii="Times New Roman" w:hAnsi="Times New Roman" w:cs="Times New Roman"/>
        </w:rPr>
        <w:t xml:space="preserve"> </w:t>
      </w:r>
      <w:proofErr w:type="gramStart"/>
      <w:r>
        <w:rPr>
          <w:rFonts w:ascii="Times New Roman" w:hAnsi="Times New Roman" w:cs="Times New Roman"/>
          <w:i/>
          <w:iCs/>
        </w:rPr>
        <w:t>Cell</w:t>
      </w:r>
      <w:r>
        <w:rPr>
          <w:rFonts w:ascii="Times New Roman" w:hAnsi="Times New Roman" w:cs="Times New Roman"/>
        </w:rPr>
        <w:t xml:space="preserve"> 2008, </w:t>
      </w:r>
      <w:r>
        <w:rPr>
          <w:rFonts w:ascii="Times New Roman" w:hAnsi="Times New Roman" w:cs="Times New Roman"/>
          <w:b/>
          <w:bCs/>
        </w:rPr>
        <w:t>134</w:t>
      </w:r>
      <w:r>
        <w:rPr>
          <w:rFonts w:ascii="Times New Roman" w:hAnsi="Times New Roman" w:cs="Times New Roman"/>
        </w:rPr>
        <w:t>:521–533.</w:t>
      </w:r>
      <w:proofErr w:type="gramEnd"/>
    </w:p>
    <w:p w14:paraId="1273190C"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13. Judson R, Babiarz J, Venere M, Blelloch R: </w:t>
      </w:r>
      <w:r>
        <w:rPr>
          <w:rFonts w:ascii="Times New Roman" w:hAnsi="Times New Roman" w:cs="Times New Roman"/>
          <w:b/>
          <w:bCs/>
        </w:rPr>
        <w:t>Embryonic stem cell–specific microRNAs promote induced pluripotency</w:t>
      </w:r>
      <w:r>
        <w:rPr>
          <w:rFonts w:ascii="Times New Roman" w:hAnsi="Times New Roman" w:cs="Times New Roman"/>
        </w:rPr>
        <w:t xml:space="preserve">. </w:t>
      </w:r>
      <w:proofErr w:type="gramStart"/>
      <w:r>
        <w:rPr>
          <w:rFonts w:ascii="Times New Roman" w:hAnsi="Times New Roman" w:cs="Times New Roman"/>
          <w:i/>
          <w:iCs/>
        </w:rPr>
        <w:t>Nat Biotechnol</w:t>
      </w:r>
      <w:r>
        <w:rPr>
          <w:rFonts w:ascii="Times New Roman" w:hAnsi="Times New Roman" w:cs="Times New Roman"/>
        </w:rPr>
        <w:t xml:space="preserve"> 2009, </w:t>
      </w:r>
      <w:r>
        <w:rPr>
          <w:rFonts w:ascii="Times New Roman" w:hAnsi="Times New Roman" w:cs="Times New Roman"/>
          <w:b/>
          <w:bCs/>
        </w:rPr>
        <w:t>27</w:t>
      </w:r>
      <w:r>
        <w:rPr>
          <w:rFonts w:ascii="Times New Roman" w:hAnsi="Times New Roman" w:cs="Times New Roman"/>
        </w:rPr>
        <w:t>:459–461.</w:t>
      </w:r>
      <w:proofErr w:type="gramEnd"/>
    </w:p>
    <w:p w14:paraId="64949043"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14. Li R, Liang J, Ni S, Zhou T, Qing X, Li H, He W, Chen J, Li F, Zhuang Q, Qin B, Xu J, Li W, Yang J, Gan Y, Qin D, Feng S, Song H, Yang D, Zhang B, Zeng L, Lai L, Esteban MA, Pei D: </w:t>
      </w:r>
      <w:r>
        <w:rPr>
          <w:rFonts w:ascii="Times New Roman" w:hAnsi="Times New Roman" w:cs="Times New Roman"/>
          <w:b/>
          <w:bCs/>
        </w:rPr>
        <w:t>A mesenchymal-to-epithelial transition initiates and is required for the nuclear reprogramming of mouse fibroblasts.</w:t>
      </w:r>
      <w:r>
        <w:rPr>
          <w:rFonts w:ascii="Times New Roman" w:hAnsi="Times New Roman" w:cs="Times New Roman"/>
        </w:rPr>
        <w:t xml:space="preserve"> </w:t>
      </w:r>
      <w:r>
        <w:rPr>
          <w:rFonts w:ascii="Times New Roman" w:hAnsi="Times New Roman" w:cs="Times New Roman"/>
          <w:i/>
          <w:iCs/>
        </w:rPr>
        <w:t>Cell Stem Cell</w:t>
      </w:r>
      <w:r>
        <w:rPr>
          <w:rFonts w:ascii="Times New Roman" w:hAnsi="Times New Roman" w:cs="Times New Roman"/>
        </w:rPr>
        <w:t xml:space="preserve"> 2010, </w:t>
      </w:r>
      <w:r>
        <w:rPr>
          <w:rFonts w:ascii="Times New Roman" w:hAnsi="Times New Roman" w:cs="Times New Roman"/>
          <w:b/>
          <w:bCs/>
        </w:rPr>
        <w:t>7</w:t>
      </w:r>
      <w:r>
        <w:rPr>
          <w:rFonts w:ascii="Times New Roman" w:hAnsi="Times New Roman" w:cs="Times New Roman"/>
        </w:rPr>
        <w:t>:51–63.</w:t>
      </w:r>
    </w:p>
    <w:p w14:paraId="326F4F4E"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15. Melton C, Judson RL, Blelloch R: </w:t>
      </w:r>
      <w:r>
        <w:rPr>
          <w:rFonts w:ascii="Times New Roman" w:hAnsi="Times New Roman" w:cs="Times New Roman"/>
          <w:b/>
          <w:bCs/>
        </w:rPr>
        <w:t>Opposing microRNA families regulate self-renewal in mouse embryonic stem cells</w:t>
      </w:r>
      <w:r>
        <w:rPr>
          <w:rFonts w:ascii="Times New Roman" w:hAnsi="Times New Roman" w:cs="Times New Roman"/>
        </w:rPr>
        <w:t xml:space="preserve">. </w:t>
      </w:r>
      <w:proofErr w:type="gramStart"/>
      <w:r>
        <w:rPr>
          <w:rFonts w:ascii="Times New Roman" w:hAnsi="Times New Roman" w:cs="Times New Roman"/>
          <w:i/>
          <w:iCs/>
        </w:rPr>
        <w:t>Nature</w:t>
      </w:r>
      <w:r>
        <w:rPr>
          <w:rFonts w:ascii="Times New Roman" w:hAnsi="Times New Roman" w:cs="Times New Roman"/>
        </w:rPr>
        <w:t xml:space="preserve"> 2010, </w:t>
      </w:r>
      <w:r>
        <w:rPr>
          <w:rFonts w:ascii="Times New Roman" w:hAnsi="Times New Roman" w:cs="Times New Roman"/>
          <w:b/>
          <w:bCs/>
        </w:rPr>
        <w:t>463</w:t>
      </w:r>
      <w:r>
        <w:rPr>
          <w:rFonts w:ascii="Times New Roman" w:hAnsi="Times New Roman" w:cs="Times New Roman"/>
        </w:rPr>
        <w:t>:621–626.</w:t>
      </w:r>
      <w:proofErr w:type="gramEnd"/>
    </w:p>
    <w:p w14:paraId="73422B90"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16. Anokye-Danso F, Trivedi CM, Juhr D, Gupta M, Cui Z, Tian Y, Zhang Y, Yang W, Gruber PJ, Epstein JA, Morrisey EE: </w:t>
      </w:r>
      <w:r>
        <w:rPr>
          <w:rFonts w:ascii="Times New Roman" w:hAnsi="Times New Roman" w:cs="Times New Roman"/>
          <w:b/>
          <w:bCs/>
        </w:rPr>
        <w:t>Highly efficient miRNA-mediated reprogramming of mouse and human somatic cells to pluripotency.</w:t>
      </w:r>
      <w:r>
        <w:rPr>
          <w:rFonts w:ascii="Times New Roman" w:hAnsi="Times New Roman" w:cs="Times New Roman"/>
        </w:rPr>
        <w:t xml:space="preserve"> </w:t>
      </w:r>
      <w:r>
        <w:rPr>
          <w:rFonts w:ascii="Times New Roman" w:hAnsi="Times New Roman" w:cs="Times New Roman"/>
          <w:i/>
          <w:iCs/>
        </w:rPr>
        <w:t>Cell Stem Cell</w:t>
      </w:r>
      <w:r>
        <w:rPr>
          <w:rFonts w:ascii="Times New Roman" w:hAnsi="Times New Roman" w:cs="Times New Roman"/>
        </w:rPr>
        <w:t xml:space="preserve"> 2011, </w:t>
      </w:r>
      <w:r>
        <w:rPr>
          <w:rFonts w:ascii="Times New Roman" w:hAnsi="Times New Roman" w:cs="Times New Roman"/>
          <w:b/>
          <w:bCs/>
        </w:rPr>
        <w:t>8</w:t>
      </w:r>
      <w:r>
        <w:rPr>
          <w:rFonts w:ascii="Times New Roman" w:hAnsi="Times New Roman" w:cs="Times New Roman"/>
        </w:rPr>
        <w:t>:376–388.</w:t>
      </w:r>
    </w:p>
    <w:p w14:paraId="4C8E3769"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17. Choi YJ, Lin C-P, Ho JJ, He X, Okada N, Bu P, Zhong Y, Kim SY, Bennett MJ, Chen C, Ozturk A, Hicks GG, Hannon GJ, He L: </w:t>
      </w:r>
      <w:r>
        <w:rPr>
          <w:rFonts w:ascii="Times New Roman" w:hAnsi="Times New Roman" w:cs="Times New Roman"/>
          <w:b/>
          <w:bCs/>
        </w:rPr>
        <w:t>miR-34 miRNAs provide a barrier for somatic cell reprogramming.</w:t>
      </w:r>
      <w:r>
        <w:rPr>
          <w:rFonts w:ascii="Times New Roman" w:hAnsi="Times New Roman" w:cs="Times New Roman"/>
        </w:rPr>
        <w:t xml:space="preserve"> </w:t>
      </w:r>
      <w:r>
        <w:rPr>
          <w:rFonts w:ascii="Times New Roman" w:hAnsi="Times New Roman" w:cs="Times New Roman"/>
          <w:i/>
          <w:iCs/>
        </w:rPr>
        <w:t xml:space="preserve">Nat Cell </w:t>
      </w:r>
      <w:proofErr w:type="gramStart"/>
      <w:r>
        <w:rPr>
          <w:rFonts w:ascii="Times New Roman" w:hAnsi="Times New Roman" w:cs="Times New Roman"/>
          <w:i/>
          <w:iCs/>
        </w:rPr>
        <w:t xml:space="preserve">Biol </w:t>
      </w:r>
      <w:r>
        <w:rPr>
          <w:rFonts w:ascii="Times New Roman" w:hAnsi="Times New Roman" w:cs="Times New Roman"/>
        </w:rPr>
        <w:t xml:space="preserve"> 2011</w:t>
      </w:r>
      <w:proofErr w:type="gramEnd"/>
      <w:r>
        <w:rPr>
          <w:rFonts w:ascii="Times New Roman" w:hAnsi="Times New Roman" w:cs="Times New Roman"/>
        </w:rPr>
        <w:t xml:space="preserve">, </w:t>
      </w:r>
      <w:r>
        <w:rPr>
          <w:rFonts w:ascii="Times New Roman" w:hAnsi="Times New Roman" w:cs="Times New Roman"/>
          <w:b/>
          <w:bCs/>
        </w:rPr>
        <w:t>13</w:t>
      </w:r>
      <w:r>
        <w:rPr>
          <w:rFonts w:ascii="Times New Roman" w:hAnsi="Times New Roman" w:cs="Times New Roman"/>
        </w:rPr>
        <w:t>:1353–1360.</w:t>
      </w:r>
    </w:p>
    <w:p w14:paraId="06F099FB"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18. Liao B, Bao X, Liu L, Feng S, Zovoilis A, Liu W, Xue Y, Cai J, Guo X, Qin B, Zhang R, Wu J, Lai L, Teng M, Niu L, Zhang B, Esteban MA, Pei D: </w:t>
      </w:r>
      <w:r>
        <w:rPr>
          <w:rFonts w:ascii="Times New Roman" w:hAnsi="Times New Roman" w:cs="Times New Roman"/>
          <w:b/>
          <w:bCs/>
        </w:rPr>
        <w:t>MicroRNA Cluster 302-367 Enhances Somatic Cell Reprogramming by Accelerating a Mesenchymal-to-Epithelial Transition</w:t>
      </w:r>
      <w:r>
        <w:rPr>
          <w:rFonts w:ascii="Times New Roman" w:hAnsi="Times New Roman" w:cs="Times New Roman"/>
        </w:rPr>
        <w:t xml:space="preserve">. </w:t>
      </w:r>
      <w:proofErr w:type="gramStart"/>
      <w:r>
        <w:rPr>
          <w:rFonts w:ascii="Times New Roman" w:hAnsi="Times New Roman" w:cs="Times New Roman"/>
          <w:i/>
          <w:iCs/>
        </w:rPr>
        <w:t>J Biol Chem</w:t>
      </w:r>
      <w:r>
        <w:rPr>
          <w:rFonts w:ascii="Times New Roman" w:hAnsi="Times New Roman" w:cs="Times New Roman"/>
        </w:rPr>
        <w:t xml:space="preserve"> 2011, </w:t>
      </w:r>
      <w:r>
        <w:rPr>
          <w:rFonts w:ascii="Times New Roman" w:hAnsi="Times New Roman" w:cs="Times New Roman"/>
          <w:b/>
          <w:bCs/>
        </w:rPr>
        <w:t>286</w:t>
      </w:r>
      <w:r>
        <w:rPr>
          <w:rFonts w:ascii="Times New Roman" w:hAnsi="Times New Roman" w:cs="Times New Roman"/>
        </w:rPr>
        <w:t>:17359–17364.</w:t>
      </w:r>
      <w:proofErr w:type="gramEnd"/>
    </w:p>
    <w:p w14:paraId="574FD5B3"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19. Pfaff N, Fiedler J, Holzmann A, Schambach A, Moritz T, Cantz T, Thum T: </w:t>
      </w:r>
      <w:r>
        <w:rPr>
          <w:rFonts w:ascii="Times New Roman" w:hAnsi="Times New Roman" w:cs="Times New Roman"/>
          <w:b/>
          <w:bCs/>
        </w:rPr>
        <w:t>miRNA screening reveals a new miRNA family stimulating iPS cell generation via regulation of Meox2</w:t>
      </w:r>
      <w:r>
        <w:rPr>
          <w:rFonts w:ascii="Times New Roman" w:hAnsi="Times New Roman" w:cs="Times New Roman"/>
        </w:rPr>
        <w:t xml:space="preserve">. </w:t>
      </w:r>
      <w:proofErr w:type="gramStart"/>
      <w:r>
        <w:rPr>
          <w:rFonts w:ascii="Times New Roman" w:hAnsi="Times New Roman" w:cs="Times New Roman"/>
          <w:i/>
          <w:iCs/>
        </w:rPr>
        <w:t>Nature Publishing Group</w:t>
      </w:r>
      <w:r>
        <w:rPr>
          <w:rFonts w:ascii="Times New Roman" w:hAnsi="Times New Roman" w:cs="Times New Roman"/>
        </w:rPr>
        <w:t xml:space="preserve"> 2011, </w:t>
      </w:r>
      <w:r>
        <w:rPr>
          <w:rFonts w:ascii="Times New Roman" w:hAnsi="Times New Roman" w:cs="Times New Roman"/>
          <w:b/>
          <w:bCs/>
        </w:rPr>
        <w:t>12</w:t>
      </w:r>
      <w:r>
        <w:rPr>
          <w:rFonts w:ascii="Times New Roman" w:hAnsi="Times New Roman" w:cs="Times New Roman"/>
        </w:rPr>
        <w:t>:1154–1160.</w:t>
      </w:r>
      <w:proofErr w:type="gramEnd"/>
    </w:p>
    <w:p w14:paraId="2CC6119D"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20. Yang CS, Li Z, Rana TM: </w:t>
      </w:r>
      <w:r>
        <w:rPr>
          <w:rFonts w:ascii="Times New Roman" w:hAnsi="Times New Roman" w:cs="Times New Roman"/>
          <w:b/>
          <w:bCs/>
        </w:rPr>
        <w:t>microRNAs modulate iPS cell generation</w:t>
      </w:r>
      <w:r>
        <w:rPr>
          <w:rFonts w:ascii="Times New Roman" w:hAnsi="Times New Roman" w:cs="Times New Roman"/>
        </w:rPr>
        <w:t xml:space="preserve">. </w:t>
      </w:r>
      <w:proofErr w:type="gramStart"/>
      <w:r>
        <w:rPr>
          <w:rFonts w:ascii="Times New Roman" w:hAnsi="Times New Roman" w:cs="Times New Roman"/>
          <w:i/>
          <w:iCs/>
        </w:rPr>
        <w:t>RNA</w:t>
      </w:r>
      <w:r>
        <w:rPr>
          <w:rFonts w:ascii="Times New Roman" w:hAnsi="Times New Roman" w:cs="Times New Roman"/>
        </w:rPr>
        <w:t xml:space="preserve"> 2011, </w:t>
      </w:r>
      <w:r>
        <w:rPr>
          <w:rFonts w:ascii="Times New Roman" w:hAnsi="Times New Roman" w:cs="Times New Roman"/>
          <w:b/>
          <w:bCs/>
        </w:rPr>
        <w:t>17</w:t>
      </w:r>
      <w:r>
        <w:rPr>
          <w:rFonts w:ascii="Times New Roman" w:hAnsi="Times New Roman" w:cs="Times New Roman"/>
        </w:rPr>
        <w:t>:1451–1460.</w:t>
      </w:r>
      <w:proofErr w:type="gramEnd"/>
    </w:p>
    <w:p w14:paraId="459E88DB"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21. Wang J, He Q, Han C, Gu H, Jin L, Li Q, Mei Y, Wu M: </w:t>
      </w:r>
      <w:r>
        <w:rPr>
          <w:rFonts w:ascii="Times New Roman" w:hAnsi="Times New Roman" w:cs="Times New Roman"/>
          <w:b/>
          <w:bCs/>
        </w:rPr>
        <w:t>p53-facilitated miR-199a-3p regulates somatic cell reprogramming.</w:t>
      </w:r>
      <w:r>
        <w:rPr>
          <w:rFonts w:ascii="Times New Roman" w:hAnsi="Times New Roman" w:cs="Times New Roman"/>
        </w:rPr>
        <w:t xml:space="preserve"> </w:t>
      </w:r>
      <w:proofErr w:type="gramStart"/>
      <w:r>
        <w:rPr>
          <w:rFonts w:ascii="Times New Roman" w:hAnsi="Times New Roman" w:cs="Times New Roman"/>
          <w:i/>
          <w:iCs/>
        </w:rPr>
        <w:t>Stem Cells</w:t>
      </w:r>
      <w:r>
        <w:rPr>
          <w:rFonts w:ascii="Times New Roman" w:hAnsi="Times New Roman" w:cs="Times New Roman"/>
        </w:rPr>
        <w:t xml:space="preserve"> 2012, </w:t>
      </w:r>
      <w:r>
        <w:rPr>
          <w:rFonts w:ascii="Times New Roman" w:hAnsi="Times New Roman" w:cs="Times New Roman"/>
          <w:b/>
          <w:bCs/>
        </w:rPr>
        <w:t>30</w:t>
      </w:r>
      <w:r>
        <w:rPr>
          <w:rFonts w:ascii="Times New Roman" w:hAnsi="Times New Roman" w:cs="Times New Roman"/>
        </w:rPr>
        <w:t>:1405–1413.</w:t>
      </w:r>
      <w:proofErr w:type="gramEnd"/>
    </w:p>
    <w:p w14:paraId="6DF504B6"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22. Yu X, Cohen DM, Chen CS: </w:t>
      </w:r>
      <w:r>
        <w:rPr>
          <w:rFonts w:ascii="Times New Roman" w:hAnsi="Times New Roman" w:cs="Times New Roman"/>
          <w:b/>
          <w:bCs/>
        </w:rPr>
        <w:t xml:space="preserve">miR-125b </w:t>
      </w:r>
      <w:proofErr w:type="gramStart"/>
      <w:r>
        <w:rPr>
          <w:rFonts w:ascii="Times New Roman" w:hAnsi="Times New Roman" w:cs="Times New Roman"/>
          <w:b/>
          <w:bCs/>
        </w:rPr>
        <w:t>Is</w:t>
      </w:r>
      <w:proofErr w:type="gramEnd"/>
      <w:r>
        <w:rPr>
          <w:rFonts w:ascii="Times New Roman" w:hAnsi="Times New Roman" w:cs="Times New Roman"/>
          <w:b/>
          <w:bCs/>
        </w:rPr>
        <w:t xml:space="preserve"> an Adhesion-Regulated microRNA that Protects Mesenchymal Stem Cells from Anoikis</w:t>
      </w:r>
      <w:r>
        <w:rPr>
          <w:rFonts w:ascii="Times New Roman" w:hAnsi="Times New Roman" w:cs="Times New Roman"/>
        </w:rPr>
        <w:t xml:space="preserve">. </w:t>
      </w:r>
      <w:proofErr w:type="gramStart"/>
      <w:r>
        <w:rPr>
          <w:rFonts w:ascii="Times New Roman" w:hAnsi="Times New Roman" w:cs="Times New Roman"/>
          <w:i/>
          <w:iCs/>
        </w:rPr>
        <w:t>Stem Cells</w:t>
      </w:r>
      <w:r>
        <w:rPr>
          <w:rFonts w:ascii="Times New Roman" w:hAnsi="Times New Roman" w:cs="Times New Roman"/>
        </w:rPr>
        <w:t xml:space="preserve"> 2012, </w:t>
      </w:r>
      <w:r>
        <w:rPr>
          <w:rFonts w:ascii="Times New Roman" w:hAnsi="Times New Roman" w:cs="Times New Roman"/>
          <w:b/>
          <w:bCs/>
        </w:rPr>
        <w:t>30</w:t>
      </w:r>
      <w:r>
        <w:rPr>
          <w:rFonts w:ascii="Times New Roman" w:hAnsi="Times New Roman" w:cs="Times New Roman"/>
        </w:rPr>
        <w:t>:956–964.</w:t>
      </w:r>
      <w:proofErr w:type="gramEnd"/>
    </w:p>
    <w:p w14:paraId="6BC29B12"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23. Wilson KD, Venkatasubrahmanyam S, Jia F, Sun N, Butte AJ, Wu JC: </w:t>
      </w:r>
      <w:r>
        <w:rPr>
          <w:rFonts w:ascii="Times New Roman" w:hAnsi="Times New Roman" w:cs="Times New Roman"/>
          <w:b/>
          <w:bCs/>
        </w:rPr>
        <w:t>MicroRNA Profiling of Human-Induced Pluripotent Stem Cells</w:t>
      </w:r>
      <w:r>
        <w:rPr>
          <w:rFonts w:ascii="Times New Roman" w:hAnsi="Times New Roman" w:cs="Times New Roman"/>
        </w:rPr>
        <w:t xml:space="preserve">. </w:t>
      </w:r>
      <w:proofErr w:type="gramStart"/>
      <w:r>
        <w:rPr>
          <w:rFonts w:ascii="Times New Roman" w:hAnsi="Times New Roman" w:cs="Times New Roman"/>
          <w:i/>
          <w:iCs/>
        </w:rPr>
        <w:t>Stem Cells and Development</w:t>
      </w:r>
      <w:r>
        <w:rPr>
          <w:rFonts w:ascii="Times New Roman" w:hAnsi="Times New Roman" w:cs="Times New Roman"/>
        </w:rPr>
        <w:t xml:space="preserve"> 2009, </w:t>
      </w:r>
      <w:r>
        <w:rPr>
          <w:rFonts w:ascii="Times New Roman" w:hAnsi="Times New Roman" w:cs="Times New Roman"/>
          <w:b/>
          <w:bCs/>
        </w:rPr>
        <w:t>18</w:t>
      </w:r>
      <w:r>
        <w:rPr>
          <w:rFonts w:ascii="Times New Roman" w:hAnsi="Times New Roman" w:cs="Times New Roman"/>
        </w:rPr>
        <w:t>:749–758.</w:t>
      </w:r>
      <w:proofErr w:type="gramEnd"/>
    </w:p>
    <w:p w14:paraId="23C4038B"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24. Svoboda P, Flemr M: </w:t>
      </w:r>
      <w:r>
        <w:rPr>
          <w:rFonts w:ascii="Times New Roman" w:hAnsi="Times New Roman" w:cs="Times New Roman"/>
          <w:b/>
          <w:bCs/>
        </w:rPr>
        <w:t>The role of miRNAs and endogenous siRNAs in maternal-to-zygotic reprogramming and the establishment of pluripotency</w:t>
      </w:r>
      <w:r>
        <w:rPr>
          <w:rFonts w:ascii="Times New Roman" w:hAnsi="Times New Roman" w:cs="Times New Roman"/>
        </w:rPr>
        <w:t xml:space="preserve">. </w:t>
      </w:r>
      <w:proofErr w:type="gramStart"/>
      <w:r>
        <w:rPr>
          <w:rFonts w:ascii="Times New Roman" w:hAnsi="Times New Roman" w:cs="Times New Roman"/>
          <w:i/>
          <w:iCs/>
        </w:rPr>
        <w:t>Nature Publishing Group</w:t>
      </w:r>
      <w:r>
        <w:rPr>
          <w:rFonts w:ascii="Times New Roman" w:hAnsi="Times New Roman" w:cs="Times New Roman"/>
        </w:rPr>
        <w:t xml:space="preserve"> 2010, </w:t>
      </w:r>
      <w:r>
        <w:rPr>
          <w:rFonts w:ascii="Times New Roman" w:hAnsi="Times New Roman" w:cs="Times New Roman"/>
          <w:b/>
          <w:bCs/>
        </w:rPr>
        <w:t>11</w:t>
      </w:r>
      <w:r>
        <w:rPr>
          <w:rFonts w:ascii="Times New Roman" w:hAnsi="Times New Roman" w:cs="Times New Roman"/>
        </w:rPr>
        <w:t>:590–597.</w:t>
      </w:r>
      <w:proofErr w:type="gramEnd"/>
    </w:p>
    <w:p w14:paraId="31C8A4AB"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25. Houbaviy HB: </w:t>
      </w:r>
      <w:r>
        <w:rPr>
          <w:rFonts w:ascii="Times New Roman" w:hAnsi="Times New Roman" w:cs="Times New Roman"/>
          <w:b/>
          <w:bCs/>
        </w:rPr>
        <w:t>Characterization of a highly variable eutherian microRNA gene</w:t>
      </w:r>
      <w:r>
        <w:rPr>
          <w:rFonts w:ascii="Times New Roman" w:hAnsi="Times New Roman" w:cs="Times New Roman"/>
        </w:rPr>
        <w:t xml:space="preserve">. </w:t>
      </w:r>
      <w:proofErr w:type="gramStart"/>
      <w:r>
        <w:rPr>
          <w:rFonts w:ascii="Times New Roman" w:hAnsi="Times New Roman" w:cs="Times New Roman"/>
          <w:i/>
          <w:iCs/>
        </w:rPr>
        <w:t>RNA</w:t>
      </w:r>
      <w:r>
        <w:rPr>
          <w:rFonts w:ascii="Times New Roman" w:hAnsi="Times New Roman" w:cs="Times New Roman"/>
        </w:rPr>
        <w:t xml:space="preserve"> 2005, </w:t>
      </w:r>
      <w:r>
        <w:rPr>
          <w:rFonts w:ascii="Times New Roman" w:hAnsi="Times New Roman" w:cs="Times New Roman"/>
          <w:b/>
          <w:bCs/>
        </w:rPr>
        <w:t>11</w:t>
      </w:r>
      <w:r>
        <w:rPr>
          <w:rFonts w:ascii="Times New Roman" w:hAnsi="Times New Roman" w:cs="Times New Roman"/>
        </w:rPr>
        <w:t>:1245–1257.</w:t>
      </w:r>
      <w:proofErr w:type="gramEnd"/>
    </w:p>
    <w:p w14:paraId="7961FE4C"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26. Porter MA, Onnela J-P, Mucha PJ: </w:t>
      </w:r>
      <w:r>
        <w:rPr>
          <w:rFonts w:ascii="Times New Roman" w:hAnsi="Times New Roman" w:cs="Times New Roman"/>
          <w:b/>
          <w:bCs/>
        </w:rPr>
        <w:t>Communities in networks</w:t>
      </w:r>
      <w:r>
        <w:rPr>
          <w:rFonts w:ascii="Times New Roman" w:hAnsi="Times New Roman" w:cs="Times New Roman"/>
        </w:rPr>
        <w:t xml:space="preserve">. </w:t>
      </w:r>
      <w:proofErr w:type="gramStart"/>
      <w:r>
        <w:rPr>
          <w:rFonts w:ascii="Times New Roman" w:hAnsi="Times New Roman" w:cs="Times New Roman"/>
          <w:i/>
          <w:iCs/>
        </w:rPr>
        <w:t>Notices of the AMS</w:t>
      </w:r>
      <w:r>
        <w:rPr>
          <w:rFonts w:ascii="Times New Roman" w:hAnsi="Times New Roman" w:cs="Times New Roman"/>
        </w:rPr>
        <w:t xml:space="preserve"> 2009, </w:t>
      </w:r>
      <w:r>
        <w:rPr>
          <w:rFonts w:ascii="Times New Roman" w:hAnsi="Times New Roman" w:cs="Times New Roman"/>
          <w:b/>
          <w:bCs/>
        </w:rPr>
        <w:t>56</w:t>
      </w:r>
      <w:r>
        <w:rPr>
          <w:rFonts w:ascii="Times New Roman" w:hAnsi="Times New Roman" w:cs="Times New Roman"/>
        </w:rPr>
        <w:t>:1082–1097.</w:t>
      </w:r>
      <w:proofErr w:type="gramEnd"/>
    </w:p>
    <w:p w14:paraId="3F65A312"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27. Fortunato S: </w:t>
      </w:r>
      <w:r>
        <w:rPr>
          <w:rFonts w:ascii="Times New Roman" w:hAnsi="Times New Roman" w:cs="Times New Roman"/>
          <w:b/>
          <w:bCs/>
        </w:rPr>
        <w:t>Community detection in graphs</w:t>
      </w:r>
      <w:r>
        <w:rPr>
          <w:rFonts w:ascii="Times New Roman" w:hAnsi="Times New Roman" w:cs="Times New Roman"/>
        </w:rPr>
        <w:t xml:space="preserve">. </w:t>
      </w:r>
      <w:r>
        <w:rPr>
          <w:rFonts w:ascii="Times New Roman" w:hAnsi="Times New Roman" w:cs="Times New Roman"/>
          <w:i/>
          <w:iCs/>
        </w:rPr>
        <w:t>Phys Rep</w:t>
      </w:r>
      <w:r>
        <w:rPr>
          <w:rFonts w:ascii="Times New Roman" w:hAnsi="Times New Roman" w:cs="Times New Roman"/>
        </w:rPr>
        <w:t xml:space="preserve"> 2010, </w:t>
      </w:r>
      <w:r>
        <w:rPr>
          <w:rFonts w:ascii="Times New Roman" w:hAnsi="Times New Roman" w:cs="Times New Roman"/>
          <w:b/>
          <w:bCs/>
        </w:rPr>
        <w:t>486</w:t>
      </w:r>
      <w:r>
        <w:rPr>
          <w:rFonts w:ascii="Times New Roman" w:hAnsi="Times New Roman" w:cs="Times New Roman"/>
        </w:rPr>
        <w:t>:75–174.</w:t>
      </w:r>
    </w:p>
    <w:p w14:paraId="392DADF3"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28. Blondel VD, Guillaume JL, Lambiotte R, Lefebvre E: </w:t>
      </w:r>
      <w:r>
        <w:rPr>
          <w:rFonts w:ascii="Times New Roman" w:hAnsi="Times New Roman" w:cs="Times New Roman"/>
          <w:b/>
          <w:bCs/>
        </w:rPr>
        <w:t>Fast unfolding of communities in large networks</w:t>
      </w:r>
      <w:r>
        <w:rPr>
          <w:rFonts w:ascii="Times New Roman" w:hAnsi="Times New Roman" w:cs="Times New Roman"/>
        </w:rPr>
        <w:t xml:space="preserve">. </w:t>
      </w:r>
      <w:proofErr w:type="gramStart"/>
      <w:r>
        <w:rPr>
          <w:rFonts w:ascii="Times New Roman" w:hAnsi="Times New Roman" w:cs="Times New Roman"/>
          <w:i/>
          <w:iCs/>
        </w:rPr>
        <w:t>Journal of Statistical Mechanics: Theory and Experiment</w:t>
      </w:r>
      <w:r>
        <w:rPr>
          <w:rFonts w:ascii="Times New Roman" w:hAnsi="Times New Roman" w:cs="Times New Roman"/>
        </w:rPr>
        <w:t xml:space="preserve"> 2008, </w:t>
      </w:r>
      <w:r>
        <w:rPr>
          <w:rFonts w:ascii="Times New Roman" w:hAnsi="Times New Roman" w:cs="Times New Roman"/>
          <w:b/>
          <w:bCs/>
        </w:rPr>
        <w:t>2008</w:t>
      </w:r>
      <w:r>
        <w:rPr>
          <w:rFonts w:ascii="Times New Roman" w:hAnsi="Times New Roman" w:cs="Times New Roman"/>
        </w:rPr>
        <w:t>:P10008.</w:t>
      </w:r>
      <w:proofErr w:type="gramEnd"/>
    </w:p>
    <w:p w14:paraId="287716E6"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29. Newman MEJ, Girvan M: </w:t>
      </w:r>
      <w:r>
        <w:rPr>
          <w:rFonts w:ascii="Times New Roman" w:hAnsi="Times New Roman" w:cs="Times New Roman"/>
          <w:b/>
          <w:bCs/>
        </w:rPr>
        <w:t>Finding and evaluating community structure in networks.</w:t>
      </w:r>
      <w:r>
        <w:rPr>
          <w:rFonts w:ascii="Times New Roman" w:hAnsi="Times New Roman" w:cs="Times New Roman"/>
        </w:rPr>
        <w:t xml:space="preserve"> </w:t>
      </w:r>
      <w:r>
        <w:rPr>
          <w:rFonts w:ascii="Times New Roman" w:hAnsi="Times New Roman" w:cs="Times New Roman"/>
          <w:i/>
          <w:iCs/>
        </w:rPr>
        <w:t>Phys Rev E Stat Nonlin Soft Matter Phys</w:t>
      </w:r>
      <w:r>
        <w:rPr>
          <w:rFonts w:ascii="Times New Roman" w:hAnsi="Times New Roman" w:cs="Times New Roman"/>
        </w:rPr>
        <w:t xml:space="preserve"> 2004, </w:t>
      </w:r>
      <w:r>
        <w:rPr>
          <w:rFonts w:ascii="Times New Roman" w:hAnsi="Times New Roman" w:cs="Times New Roman"/>
          <w:b/>
          <w:bCs/>
        </w:rPr>
        <w:t>69</w:t>
      </w:r>
      <w:r>
        <w:rPr>
          <w:rFonts w:ascii="Times New Roman" w:hAnsi="Times New Roman" w:cs="Times New Roman"/>
        </w:rPr>
        <w:t>:026113.</w:t>
      </w:r>
    </w:p>
    <w:p w14:paraId="7BB6444D"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30. Newman MEJ: </w:t>
      </w:r>
      <w:r>
        <w:rPr>
          <w:rFonts w:ascii="Times New Roman" w:hAnsi="Times New Roman" w:cs="Times New Roman"/>
          <w:b/>
          <w:bCs/>
        </w:rPr>
        <w:t>Fast algorithm for detecting community structure in networks.</w:t>
      </w:r>
      <w:r>
        <w:rPr>
          <w:rFonts w:ascii="Times New Roman" w:hAnsi="Times New Roman" w:cs="Times New Roman"/>
        </w:rPr>
        <w:t xml:space="preserve"> </w:t>
      </w:r>
      <w:r>
        <w:rPr>
          <w:rFonts w:ascii="Times New Roman" w:hAnsi="Times New Roman" w:cs="Times New Roman"/>
          <w:i/>
          <w:iCs/>
        </w:rPr>
        <w:t>Phys Rev E Stat Nonlin Soft Matter Phys</w:t>
      </w:r>
      <w:r>
        <w:rPr>
          <w:rFonts w:ascii="Times New Roman" w:hAnsi="Times New Roman" w:cs="Times New Roman"/>
        </w:rPr>
        <w:t xml:space="preserve"> 2004, </w:t>
      </w:r>
      <w:r>
        <w:rPr>
          <w:rFonts w:ascii="Times New Roman" w:hAnsi="Times New Roman" w:cs="Times New Roman"/>
          <w:b/>
          <w:bCs/>
        </w:rPr>
        <w:t>69</w:t>
      </w:r>
      <w:r>
        <w:rPr>
          <w:rFonts w:ascii="Times New Roman" w:hAnsi="Times New Roman" w:cs="Times New Roman"/>
        </w:rPr>
        <w:t>:066133.</w:t>
      </w:r>
    </w:p>
    <w:p w14:paraId="1A673A82"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31. Traag VA, Bruggeman J: </w:t>
      </w:r>
      <w:r>
        <w:rPr>
          <w:rFonts w:ascii="Times New Roman" w:hAnsi="Times New Roman" w:cs="Times New Roman"/>
          <w:b/>
          <w:bCs/>
        </w:rPr>
        <w:t>Community detection in networks with positive and negative links.</w:t>
      </w:r>
      <w:r>
        <w:rPr>
          <w:rFonts w:ascii="Times New Roman" w:hAnsi="Times New Roman" w:cs="Times New Roman"/>
        </w:rPr>
        <w:t xml:space="preserve"> </w:t>
      </w:r>
      <w:r>
        <w:rPr>
          <w:rFonts w:ascii="Times New Roman" w:hAnsi="Times New Roman" w:cs="Times New Roman"/>
          <w:i/>
          <w:iCs/>
        </w:rPr>
        <w:t>Phys Rev E</w:t>
      </w:r>
      <w:r>
        <w:rPr>
          <w:rFonts w:ascii="Times New Roman" w:hAnsi="Times New Roman" w:cs="Times New Roman"/>
        </w:rPr>
        <w:t xml:space="preserve"> 2009, </w:t>
      </w:r>
      <w:r>
        <w:rPr>
          <w:rFonts w:ascii="Times New Roman" w:hAnsi="Times New Roman" w:cs="Times New Roman"/>
          <w:b/>
          <w:bCs/>
        </w:rPr>
        <w:t>80</w:t>
      </w:r>
      <w:r>
        <w:rPr>
          <w:rFonts w:ascii="Times New Roman" w:hAnsi="Times New Roman" w:cs="Times New Roman"/>
        </w:rPr>
        <w:t>:036115.</w:t>
      </w:r>
    </w:p>
    <w:p w14:paraId="053C3C83"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32. Gómez S, Jensen P, Arenas A: </w:t>
      </w:r>
      <w:r>
        <w:rPr>
          <w:rFonts w:ascii="Times New Roman" w:hAnsi="Times New Roman" w:cs="Times New Roman"/>
          <w:b/>
          <w:bCs/>
        </w:rPr>
        <w:t>Analysis of community structure in networks of correlated data</w:t>
      </w:r>
      <w:r>
        <w:rPr>
          <w:rFonts w:ascii="Times New Roman" w:hAnsi="Times New Roman" w:cs="Times New Roman"/>
        </w:rPr>
        <w:t xml:space="preserve">. </w:t>
      </w:r>
      <w:r>
        <w:rPr>
          <w:rFonts w:ascii="Times New Roman" w:hAnsi="Times New Roman" w:cs="Times New Roman"/>
          <w:i/>
          <w:iCs/>
        </w:rPr>
        <w:t>Phys Rev E</w:t>
      </w:r>
      <w:r>
        <w:rPr>
          <w:rFonts w:ascii="Times New Roman" w:hAnsi="Times New Roman" w:cs="Times New Roman"/>
        </w:rPr>
        <w:t xml:space="preserve"> 2009, </w:t>
      </w:r>
      <w:r>
        <w:rPr>
          <w:rFonts w:ascii="Times New Roman" w:hAnsi="Times New Roman" w:cs="Times New Roman"/>
          <w:b/>
          <w:bCs/>
        </w:rPr>
        <w:t>80</w:t>
      </w:r>
      <w:r>
        <w:rPr>
          <w:rFonts w:ascii="Times New Roman" w:hAnsi="Times New Roman" w:cs="Times New Roman"/>
        </w:rPr>
        <w:t>:016114.</w:t>
      </w:r>
    </w:p>
    <w:p w14:paraId="72EA124D"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33. Fortunato S, Barthélemy M: </w:t>
      </w:r>
      <w:r>
        <w:rPr>
          <w:rFonts w:ascii="Times New Roman" w:hAnsi="Times New Roman" w:cs="Times New Roman"/>
          <w:b/>
          <w:bCs/>
        </w:rPr>
        <w:t>Resolution limit in community detection.</w:t>
      </w:r>
      <w:r>
        <w:rPr>
          <w:rFonts w:ascii="Times New Roman" w:hAnsi="Times New Roman" w:cs="Times New Roman"/>
        </w:rPr>
        <w:t xml:space="preserve"> </w:t>
      </w:r>
      <w:r>
        <w:rPr>
          <w:rFonts w:ascii="Times New Roman" w:hAnsi="Times New Roman" w:cs="Times New Roman"/>
          <w:i/>
          <w:iCs/>
        </w:rPr>
        <w:t>Proc Natl Acad Sci USA</w:t>
      </w:r>
      <w:r>
        <w:rPr>
          <w:rFonts w:ascii="Times New Roman" w:hAnsi="Times New Roman" w:cs="Times New Roman"/>
        </w:rPr>
        <w:t xml:space="preserve"> 2007, </w:t>
      </w:r>
      <w:r>
        <w:rPr>
          <w:rFonts w:ascii="Times New Roman" w:hAnsi="Times New Roman" w:cs="Times New Roman"/>
          <w:b/>
          <w:bCs/>
        </w:rPr>
        <w:t>104</w:t>
      </w:r>
      <w:r>
        <w:rPr>
          <w:rFonts w:ascii="Times New Roman" w:hAnsi="Times New Roman" w:cs="Times New Roman"/>
        </w:rPr>
        <w:t>:36–41.</w:t>
      </w:r>
    </w:p>
    <w:p w14:paraId="18CD1454"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34. Bassett DS, Porter MA, Wymbs NF, Grafton ST, Carlson JM, Mucha PJ: </w:t>
      </w:r>
      <w:r>
        <w:rPr>
          <w:rFonts w:ascii="Times New Roman" w:hAnsi="Times New Roman" w:cs="Times New Roman"/>
          <w:b/>
          <w:bCs/>
        </w:rPr>
        <w:t>Robust detection of dynamic community structure in networks</w:t>
      </w:r>
      <w:r>
        <w:rPr>
          <w:rFonts w:ascii="Times New Roman" w:hAnsi="Times New Roman" w:cs="Times New Roman"/>
        </w:rPr>
        <w:t xml:space="preserve">. </w:t>
      </w:r>
      <w:r>
        <w:rPr>
          <w:rFonts w:ascii="Times New Roman" w:hAnsi="Times New Roman" w:cs="Times New Roman"/>
          <w:i/>
          <w:iCs/>
        </w:rPr>
        <w:t>Chaos</w:t>
      </w:r>
      <w:r>
        <w:rPr>
          <w:rFonts w:ascii="Times New Roman" w:hAnsi="Times New Roman" w:cs="Times New Roman"/>
        </w:rPr>
        <w:t xml:space="preserve"> 2013, </w:t>
      </w:r>
      <w:r>
        <w:rPr>
          <w:rFonts w:ascii="Times New Roman" w:hAnsi="Times New Roman" w:cs="Times New Roman"/>
          <w:b/>
          <w:bCs/>
        </w:rPr>
        <w:t>23</w:t>
      </w:r>
      <w:r>
        <w:rPr>
          <w:rFonts w:ascii="Times New Roman" w:hAnsi="Times New Roman" w:cs="Times New Roman"/>
        </w:rPr>
        <w:t>:013142.</w:t>
      </w:r>
    </w:p>
    <w:p w14:paraId="0E9193D7"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35. Traud AL, Mucha PJ, Porter MA: </w:t>
      </w:r>
      <w:r>
        <w:rPr>
          <w:rFonts w:ascii="Times New Roman" w:hAnsi="Times New Roman" w:cs="Times New Roman"/>
          <w:b/>
          <w:bCs/>
        </w:rPr>
        <w:t>Social structure of Facebook networks</w:t>
      </w:r>
      <w:r>
        <w:rPr>
          <w:rFonts w:ascii="Times New Roman" w:hAnsi="Times New Roman" w:cs="Times New Roman"/>
        </w:rPr>
        <w:t xml:space="preserve">. </w:t>
      </w:r>
      <w:r>
        <w:rPr>
          <w:rFonts w:ascii="Times New Roman" w:hAnsi="Times New Roman" w:cs="Times New Roman"/>
          <w:i/>
          <w:iCs/>
        </w:rPr>
        <w:t>Physica A: Statistical Mechanics and its Applications</w:t>
      </w:r>
      <w:r>
        <w:rPr>
          <w:rFonts w:ascii="Times New Roman" w:hAnsi="Times New Roman" w:cs="Times New Roman"/>
        </w:rPr>
        <w:t xml:space="preserve"> 2012, </w:t>
      </w:r>
      <w:r>
        <w:rPr>
          <w:rFonts w:ascii="Times New Roman" w:hAnsi="Times New Roman" w:cs="Times New Roman"/>
          <w:b/>
          <w:bCs/>
        </w:rPr>
        <w:t>391</w:t>
      </w:r>
      <w:r>
        <w:rPr>
          <w:rFonts w:ascii="Times New Roman" w:hAnsi="Times New Roman" w:cs="Times New Roman"/>
        </w:rPr>
        <w:t>:4165–4180.</w:t>
      </w:r>
    </w:p>
    <w:p w14:paraId="01E150DD" w14:textId="77777777" w:rsidR="006541A5" w:rsidRDefault="006541A5" w:rsidP="00654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New Roman" w:hAnsi="Times New Roman" w:cs="Times New Roman"/>
        </w:rPr>
      </w:pPr>
      <w:r>
        <w:rPr>
          <w:rFonts w:ascii="Times New Roman" w:hAnsi="Times New Roman" w:cs="Times New Roman"/>
        </w:rPr>
        <w:t xml:space="preserve">36. Mendell JT: </w:t>
      </w:r>
      <w:r>
        <w:rPr>
          <w:rFonts w:ascii="Times New Roman" w:hAnsi="Times New Roman" w:cs="Times New Roman"/>
          <w:b/>
          <w:bCs/>
        </w:rPr>
        <w:t>miRiad roles for the miR-17-92 cluster in development and disease.</w:t>
      </w:r>
      <w:r>
        <w:rPr>
          <w:rFonts w:ascii="Times New Roman" w:hAnsi="Times New Roman" w:cs="Times New Roman"/>
        </w:rPr>
        <w:t xml:space="preserve"> </w:t>
      </w:r>
      <w:proofErr w:type="gramStart"/>
      <w:r>
        <w:rPr>
          <w:rFonts w:ascii="Times New Roman" w:hAnsi="Times New Roman" w:cs="Times New Roman"/>
          <w:i/>
          <w:iCs/>
        </w:rPr>
        <w:t>Cell</w:t>
      </w:r>
      <w:r>
        <w:rPr>
          <w:rFonts w:ascii="Times New Roman" w:hAnsi="Times New Roman" w:cs="Times New Roman"/>
        </w:rPr>
        <w:t xml:space="preserve"> 2008, </w:t>
      </w:r>
      <w:r>
        <w:rPr>
          <w:rFonts w:ascii="Times New Roman" w:hAnsi="Times New Roman" w:cs="Times New Roman"/>
          <w:b/>
          <w:bCs/>
        </w:rPr>
        <w:t>133</w:t>
      </w:r>
      <w:r>
        <w:rPr>
          <w:rFonts w:ascii="Times New Roman" w:hAnsi="Times New Roman" w:cs="Times New Roman"/>
        </w:rPr>
        <w:t>:217–222.</w:t>
      </w:r>
      <w:proofErr w:type="gramEnd"/>
    </w:p>
    <w:p w14:paraId="25670006" w14:textId="3D5572D6" w:rsidR="00505290" w:rsidRPr="008802C8" w:rsidRDefault="00775673" w:rsidP="003404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Times" w:hAnsi="Times"/>
        </w:rPr>
      </w:pPr>
      <w:r w:rsidRPr="009A7CC7">
        <w:rPr>
          <w:rFonts w:ascii="Times New Roman" w:hAnsi="Times New Roman" w:cs="Times New Roman"/>
        </w:rPr>
        <w:fldChar w:fldCharType="end"/>
      </w:r>
    </w:p>
    <w:sectPr w:rsidR="00505290" w:rsidRPr="008802C8" w:rsidSect="008802C8">
      <w:pgSz w:w="12240" w:h="15840"/>
      <w:pgMar w:top="1440" w:right="1440" w:bottom="1440" w:left="1440" w:header="720" w:footer="720" w:gutter="0"/>
      <w:lnNumType w:countBy="1" w:restart="continuous"/>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286082" w14:textId="77777777" w:rsidR="00340477" w:rsidRDefault="00340477">
      <w:r>
        <w:separator/>
      </w:r>
    </w:p>
  </w:endnote>
  <w:endnote w:type="continuationSeparator" w:id="0">
    <w:p w14:paraId="6975A50E" w14:textId="77777777" w:rsidR="00340477" w:rsidRDefault="00340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6C4AD9" w14:textId="77777777" w:rsidR="00340477" w:rsidRDefault="00340477">
      <w:r>
        <w:separator/>
      </w:r>
    </w:p>
  </w:footnote>
  <w:footnote w:type="continuationSeparator" w:id="0">
    <w:p w14:paraId="2FC87FFD" w14:textId="77777777" w:rsidR="00340477" w:rsidRDefault="00340477">
      <w:r>
        <w:continuationSeparator/>
      </w:r>
    </w:p>
  </w:footnote>
  <w:footnote w:id="1">
    <w:p w14:paraId="554C16DD" w14:textId="77777777" w:rsidR="00340477" w:rsidRPr="00B65D87" w:rsidRDefault="00340477" w:rsidP="008802C8">
      <w:pPr>
        <w:pStyle w:val="FootnoteText"/>
        <w:rPr>
          <w:rFonts w:ascii="Times New Roman" w:hAnsi="Times New Roman" w:cs="Times New Roman"/>
        </w:rPr>
      </w:pPr>
      <w:r w:rsidRPr="00B65D87">
        <w:rPr>
          <w:rStyle w:val="FootnoteReference"/>
          <w:rFonts w:ascii="Times New Roman" w:hAnsi="Times New Roman" w:cs="Times New Roman"/>
        </w:rPr>
        <w:footnoteRef/>
      </w:r>
      <w:r w:rsidRPr="00B65D87">
        <w:rPr>
          <w:rFonts w:ascii="Times New Roman" w:hAnsi="Times New Roman" w:cs="Times New Roman"/>
        </w:rPr>
        <w:t xml:space="preserve"> 1000 randomly-permuted datasets created by permuting expression data for each miRNA across all treatments </w:t>
      </w:r>
    </w:p>
    <w:p w14:paraId="6316064F" w14:textId="77777777" w:rsidR="00340477" w:rsidRPr="00B65D87" w:rsidRDefault="00340477" w:rsidP="008802C8">
      <w:pPr>
        <w:pStyle w:val="FootnoteText"/>
        <w:rPr>
          <w:rFonts w:ascii="Times New Roman" w:hAnsi="Times New Roman" w:cs="Times New Roman"/>
        </w:rPr>
      </w:pPr>
    </w:p>
  </w:footnote>
  <w:footnote w:id="2">
    <w:p w14:paraId="5EFCDF5C" w14:textId="77777777" w:rsidR="00340477" w:rsidRPr="00B65D87" w:rsidRDefault="00340477" w:rsidP="008802C8">
      <w:pPr>
        <w:pStyle w:val="FootnoteText"/>
        <w:ind w:left="180" w:hanging="180"/>
        <w:rPr>
          <w:rFonts w:ascii="Times New Roman" w:hAnsi="Times New Roman" w:cs="Times New Roman"/>
        </w:rPr>
      </w:pPr>
      <w:r w:rsidRPr="00B65D87">
        <w:rPr>
          <w:rStyle w:val="FootnoteReference"/>
          <w:rFonts w:ascii="Times New Roman" w:hAnsi="Times New Roman" w:cs="Times New Roman"/>
        </w:rPr>
        <w:footnoteRef/>
      </w:r>
      <w:r w:rsidRPr="00B65D87">
        <w:rPr>
          <w:rFonts w:ascii="Times New Roman" w:hAnsi="Times New Roman" w:cs="Times New Roman"/>
        </w:rPr>
        <w:t xml:space="preserve"> 1000 randomly-permuted datasets created by permuting expression data for each miRNA across treatments within each replicate</w:t>
      </w:r>
    </w:p>
  </w:footnote>
  <w:footnote w:id="3">
    <w:p w14:paraId="2611C462" w14:textId="77777777" w:rsidR="00340477" w:rsidRPr="00B65D87" w:rsidRDefault="00340477" w:rsidP="008802C8">
      <w:pPr>
        <w:pStyle w:val="FootnoteText"/>
        <w:rPr>
          <w:rFonts w:ascii="Times New Roman" w:hAnsi="Times New Roman" w:cs="Times New Roman"/>
        </w:rPr>
      </w:pPr>
      <w:r w:rsidRPr="00B65D87">
        <w:rPr>
          <w:rStyle w:val="FootnoteReference"/>
          <w:rFonts w:ascii="Times New Roman" w:hAnsi="Times New Roman" w:cs="Times New Roman"/>
        </w:rPr>
        <w:footnoteRef/>
      </w:r>
      <w:r w:rsidRPr="00B65D87">
        <w:rPr>
          <w:rFonts w:ascii="Times New Roman" w:hAnsi="Times New Roman" w:cs="Times New Roman"/>
        </w:rPr>
        <w:t xml:space="preserve"> Mean z-score between 100 optimizations of the algorithm</w:t>
      </w:r>
    </w:p>
  </w:footnote>
  <w:footnote w:id="4">
    <w:p w14:paraId="12A7B607" w14:textId="77777777" w:rsidR="00340477" w:rsidRDefault="00340477" w:rsidP="008802C8">
      <w:pPr>
        <w:pStyle w:val="FootnoteText"/>
      </w:pPr>
      <w:r w:rsidRPr="00B65D87">
        <w:rPr>
          <w:rStyle w:val="FootnoteReference"/>
          <w:rFonts w:ascii="Times New Roman" w:hAnsi="Times New Roman" w:cs="Times New Roman"/>
        </w:rPr>
        <w:footnoteRef/>
      </w:r>
      <w:r w:rsidRPr="00B65D87">
        <w:rPr>
          <w:rFonts w:ascii="Times New Roman" w:hAnsi="Times New Roman" w:cs="Times New Roman"/>
        </w:rPr>
        <w:t xml:space="preserve"> </w:t>
      </w:r>
      <w:proofErr w:type="gramStart"/>
      <w:r w:rsidRPr="00B65D87">
        <w:rPr>
          <w:rFonts w:ascii="Times New Roman" w:hAnsi="Times New Roman" w:cs="Times New Roman"/>
        </w:rPr>
        <w:t>two</w:t>
      </w:r>
      <w:proofErr w:type="gramEnd"/>
      <w:r w:rsidRPr="00B65D87">
        <w:rPr>
          <w:rFonts w:ascii="Times New Roman" w:hAnsi="Times New Roman" w:cs="Times New Roman"/>
        </w:rPr>
        <w:t>-tailed t-test</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79EB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AF0AC6B2"/>
    <w:lvl w:ilvl="0">
      <w:start w:val="1"/>
      <w:numFmt w:val="decimal"/>
      <w:lvlText w:val="%1."/>
      <w:lvlJc w:val="left"/>
      <w:pPr>
        <w:tabs>
          <w:tab w:val="num" w:pos="1800"/>
        </w:tabs>
        <w:ind w:left="1800" w:hanging="360"/>
      </w:pPr>
    </w:lvl>
  </w:abstractNum>
  <w:abstractNum w:abstractNumId="2">
    <w:nsid w:val="FFFFFF7D"/>
    <w:multiLevelType w:val="singleLevel"/>
    <w:tmpl w:val="8F02A416"/>
    <w:lvl w:ilvl="0">
      <w:start w:val="1"/>
      <w:numFmt w:val="decimal"/>
      <w:lvlText w:val="%1."/>
      <w:lvlJc w:val="left"/>
      <w:pPr>
        <w:tabs>
          <w:tab w:val="num" w:pos="1440"/>
        </w:tabs>
        <w:ind w:left="1440" w:hanging="360"/>
      </w:pPr>
    </w:lvl>
  </w:abstractNum>
  <w:abstractNum w:abstractNumId="3">
    <w:nsid w:val="FFFFFF7E"/>
    <w:multiLevelType w:val="singleLevel"/>
    <w:tmpl w:val="717AD200"/>
    <w:lvl w:ilvl="0">
      <w:start w:val="1"/>
      <w:numFmt w:val="decimal"/>
      <w:lvlText w:val="%1."/>
      <w:lvlJc w:val="left"/>
      <w:pPr>
        <w:tabs>
          <w:tab w:val="num" w:pos="1080"/>
        </w:tabs>
        <w:ind w:left="1080" w:hanging="360"/>
      </w:pPr>
    </w:lvl>
  </w:abstractNum>
  <w:abstractNum w:abstractNumId="4">
    <w:nsid w:val="FFFFFF7F"/>
    <w:multiLevelType w:val="singleLevel"/>
    <w:tmpl w:val="F1FCFB2E"/>
    <w:lvl w:ilvl="0">
      <w:start w:val="1"/>
      <w:numFmt w:val="decimal"/>
      <w:lvlText w:val="%1."/>
      <w:lvlJc w:val="left"/>
      <w:pPr>
        <w:tabs>
          <w:tab w:val="num" w:pos="720"/>
        </w:tabs>
        <w:ind w:left="720" w:hanging="360"/>
      </w:pPr>
    </w:lvl>
  </w:abstractNum>
  <w:abstractNum w:abstractNumId="5">
    <w:nsid w:val="FFFFFF80"/>
    <w:multiLevelType w:val="singleLevel"/>
    <w:tmpl w:val="039CF884"/>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EFF40EEE"/>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3182A79E"/>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F822DAD0"/>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02F6035A"/>
    <w:lvl w:ilvl="0">
      <w:start w:val="1"/>
      <w:numFmt w:val="decimal"/>
      <w:lvlText w:val="%1."/>
      <w:lvlJc w:val="left"/>
      <w:pPr>
        <w:tabs>
          <w:tab w:val="num" w:pos="360"/>
        </w:tabs>
        <w:ind w:left="360" w:hanging="360"/>
      </w:pPr>
    </w:lvl>
  </w:abstractNum>
  <w:abstractNum w:abstractNumId="10">
    <w:nsid w:val="FFFFFF89"/>
    <w:multiLevelType w:val="singleLevel"/>
    <w:tmpl w:val="749ACF16"/>
    <w:lvl w:ilvl="0">
      <w:start w:val="1"/>
      <w:numFmt w:val="bullet"/>
      <w:lvlText w:val=""/>
      <w:lvlJc w:val="left"/>
      <w:pPr>
        <w:tabs>
          <w:tab w:val="num" w:pos="360"/>
        </w:tabs>
        <w:ind w:left="360" w:hanging="360"/>
      </w:pPr>
      <w:rPr>
        <w:rFonts w:ascii="Symbol" w:hAnsi="Symbol" w:hint="default"/>
      </w:rPr>
    </w:lvl>
  </w:abstractNum>
  <w:abstractNum w:abstractNumId="11">
    <w:nsid w:val="06A640B4"/>
    <w:multiLevelType w:val="multilevel"/>
    <w:tmpl w:val="6AFE291A"/>
    <w:lvl w:ilvl="0">
      <w:start w:val="1"/>
      <w:numFmt w:val="decimal"/>
      <w:lvlText w:val="%1."/>
      <w:lvlJc w:val="left"/>
      <w:pPr>
        <w:ind w:left="810" w:hanging="360"/>
      </w:pPr>
      <w:rPr>
        <w:rFonts w:hint="default"/>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12">
    <w:nsid w:val="1BA82592"/>
    <w:multiLevelType w:val="hybridMultilevel"/>
    <w:tmpl w:val="D2DA9DD8"/>
    <w:lvl w:ilvl="0" w:tplc="E3BAF81C">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1D230AB3"/>
    <w:multiLevelType w:val="hybridMultilevel"/>
    <w:tmpl w:val="C9EA96D6"/>
    <w:lvl w:ilvl="0" w:tplc="9D74063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9356425"/>
    <w:multiLevelType w:val="hybridMultilevel"/>
    <w:tmpl w:val="6AFE291A"/>
    <w:lvl w:ilvl="0" w:tplc="0409000F">
      <w:start w:val="1"/>
      <w:numFmt w:val="decimal"/>
      <w:lvlText w:val="%1."/>
      <w:lvlJc w:val="left"/>
      <w:pPr>
        <w:ind w:left="810" w:hanging="360"/>
      </w:pPr>
      <w:rPr>
        <w:rFonts w:hint="default"/>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nsid w:val="613D3D81"/>
    <w:multiLevelType w:val="hybridMultilevel"/>
    <w:tmpl w:val="07EA0584"/>
    <w:lvl w:ilvl="0" w:tplc="D9CE6A64">
      <w:start w:val="2"/>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35026AB"/>
    <w:multiLevelType w:val="hybridMultilevel"/>
    <w:tmpl w:val="0EF891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6"/>
  </w:num>
  <w:num w:numId="3">
    <w:abstractNumId w:val="12"/>
  </w:num>
  <w:num w:numId="4">
    <w:abstractNumId w:val="13"/>
  </w:num>
  <w:num w:numId="5">
    <w:abstractNumId w:val="15"/>
  </w:num>
  <w:num w:numId="6">
    <w:abstractNumId w:val="10"/>
  </w:num>
  <w:num w:numId="7">
    <w:abstractNumId w:val="8"/>
  </w:num>
  <w:num w:numId="8">
    <w:abstractNumId w:val="7"/>
  </w:num>
  <w:num w:numId="9">
    <w:abstractNumId w:val="6"/>
  </w:num>
  <w:num w:numId="10">
    <w:abstractNumId w:val="5"/>
  </w:num>
  <w:num w:numId="11">
    <w:abstractNumId w:val="9"/>
  </w:num>
  <w:num w:numId="12">
    <w:abstractNumId w:val="4"/>
  </w:num>
  <w:num w:numId="13">
    <w:abstractNumId w:val="3"/>
  </w:num>
  <w:num w:numId="14">
    <w:abstractNumId w:val="2"/>
  </w:num>
  <w:num w:numId="15">
    <w:abstractNumId w:val="1"/>
  </w:num>
  <w:num w:numId="16">
    <w:abstractNumId w:val="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115"/>
    <w:rsid w:val="000348E5"/>
    <w:rsid w:val="000646E3"/>
    <w:rsid w:val="000668FB"/>
    <w:rsid w:val="00121840"/>
    <w:rsid w:val="00154C6A"/>
    <w:rsid w:val="001729C6"/>
    <w:rsid w:val="001C63F7"/>
    <w:rsid w:val="001E23E1"/>
    <w:rsid w:val="002B41A1"/>
    <w:rsid w:val="00340477"/>
    <w:rsid w:val="0036488F"/>
    <w:rsid w:val="00386314"/>
    <w:rsid w:val="00386C6A"/>
    <w:rsid w:val="004702FA"/>
    <w:rsid w:val="004B7DB5"/>
    <w:rsid w:val="004C134A"/>
    <w:rsid w:val="00505290"/>
    <w:rsid w:val="005626DB"/>
    <w:rsid w:val="005B5115"/>
    <w:rsid w:val="005E4463"/>
    <w:rsid w:val="00635776"/>
    <w:rsid w:val="006541A5"/>
    <w:rsid w:val="00665DE1"/>
    <w:rsid w:val="00767E4E"/>
    <w:rsid w:val="00775673"/>
    <w:rsid w:val="007D29A6"/>
    <w:rsid w:val="008802C8"/>
    <w:rsid w:val="008B589C"/>
    <w:rsid w:val="008C7145"/>
    <w:rsid w:val="00916E24"/>
    <w:rsid w:val="00933269"/>
    <w:rsid w:val="00997395"/>
    <w:rsid w:val="009A7CC7"/>
    <w:rsid w:val="009B5BDC"/>
    <w:rsid w:val="00A243EE"/>
    <w:rsid w:val="00A308A5"/>
    <w:rsid w:val="00A62F9B"/>
    <w:rsid w:val="00AD3FBE"/>
    <w:rsid w:val="00B65D87"/>
    <w:rsid w:val="00B95348"/>
    <w:rsid w:val="00C45A50"/>
    <w:rsid w:val="00C57BBE"/>
    <w:rsid w:val="00C63606"/>
    <w:rsid w:val="00CC55C6"/>
    <w:rsid w:val="00D2765A"/>
    <w:rsid w:val="00D57345"/>
    <w:rsid w:val="00DE079D"/>
    <w:rsid w:val="00E363E2"/>
    <w:rsid w:val="00E67329"/>
    <w:rsid w:val="00E70766"/>
    <w:rsid w:val="00E81A73"/>
    <w:rsid w:val="00EF4F25"/>
    <w:rsid w:val="00F34E2D"/>
    <w:rsid w:val="00F95A8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9143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76">
    <w:lsdException w:name="Table Grid" w:uiPriority="59"/>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5B5115"/>
  </w:style>
  <w:style w:type="paragraph" w:styleId="ListParagraph">
    <w:name w:val="List Paragraph"/>
    <w:basedOn w:val="Normal"/>
    <w:uiPriority w:val="34"/>
    <w:qFormat/>
    <w:rsid w:val="005B5115"/>
    <w:pPr>
      <w:ind w:left="720"/>
      <w:contextualSpacing/>
    </w:pPr>
  </w:style>
  <w:style w:type="character" w:styleId="CommentReference">
    <w:name w:val="annotation reference"/>
    <w:basedOn w:val="DefaultParagraphFont"/>
    <w:rsid w:val="005B5115"/>
    <w:rPr>
      <w:sz w:val="18"/>
      <w:szCs w:val="18"/>
    </w:rPr>
  </w:style>
  <w:style w:type="paragraph" w:styleId="CommentText">
    <w:name w:val="annotation text"/>
    <w:basedOn w:val="Normal"/>
    <w:link w:val="CommentTextChar"/>
    <w:rsid w:val="005B5115"/>
  </w:style>
  <w:style w:type="character" w:customStyle="1" w:styleId="CommentTextChar">
    <w:name w:val="Comment Text Char"/>
    <w:basedOn w:val="DefaultParagraphFont"/>
    <w:link w:val="CommentText"/>
    <w:rsid w:val="005B5115"/>
  </w:style>
  <w:style w:type="paragraph" w:styleId="CommentSubject">
    <w:name w:val="annotation subject"/>
    <w:basedOn w:val="CommentText"/>
    <w:next w:val="CommentText"/>
    <w:link w:val="CommentSubjectChar"/>
    <w:rsid w:val="005B5115"/>
    <w:rPr>
      <w:b/>
      <w:bCs/>
      <w:sz w:val="20"/>
      <w:szCs w:val="20"/>
    </w:rPr>
  </w:style>
  <w:style w:type="character" w:customStyle="1" w:styleId="CommentSubjectChar">
    <w:name w:val="Comment Subject Char"/>
    <w:basedOn w:val="CommentTextChar"/>
    <w:link w:val="CommentSubject"/>
    <w:rsid w:val="005B5115"/>
    <w:rPr>
      <w:b/>
      <w:bCs/>
      <w:sz w:val="20"/>
      <w:szCs w:val="20"/>
    </w:rPr>
  </w:style>
  <w:style w:type="paragraph" w:styleId="BalloonText">
    <w:name w:val="Balloon Text"/>
    <w:basedOn w:val="Normal"/>
    <w:link w:val="BalloonTextChar"/>
    <w:rsid w:val="005B5115"/>
    <w:rPr>
      <w:rFonts w:ascii="Lucida Grande" w:hAnsi="Lucida Grande"/>
      <w:sz w:val="18"/>
      <w:szCs w:val="18"/>
    </w:rPr>
  </w:style>
  <w:style w:type="character" w:customStyle="1" w:styleId="BalloonTextChar">
    <w:name w:val="Balloon Text Char"/>
    <w:basedOn w:val="DefaultParagraphFont"/>
    <w:link w:val="BalloonText"/>
    <w:rsid w:val="005B5115"/>
    <w:rPr>
      <w:rFonts w:ascii="Lucida Grande" w:hAnsi="Lucida Grande"/>
      <w:sz w:val="18"/>
      <w:szCs w:val="18"/>
    </w:rPr>
  </w:style>
  <w:style w:type="character" w:styleId="Hyperlink">
    <w:name w:val="Hyperlink"/>
    <w:basedOn w:val="DefaultParagraphFont"/>
    <w:rsid w:val="005B5115"/>
    <w:rPr>
      <w:color w:val="0000FF" w:themeColor="hyperlink"/>
      <w:u w:val="single"/>
    </w:rPr>
  </w:style>
  <w:style w:type="character" w:customStyle="1" w:styleId="apple-converted-space">
    <w:name w:val="apple-converted-space"/>
    <w:basedOn w:val="DefaultParagraphFont"/>
    <w:rsid w:val="005B5115"/>
  </w:style>
  <w:style w:type="paragraph" w:customStyle="1" w:styleId="title">
    <w:name w:val="title"/>
    <w:basedOn w:val="Normal"/>
    <w:rsid w:val="005B5115"/>
    <w:pPr>
      <w:spacing w:before="100" w:beforeAutospacing="1" w:after="100" w:afterAutospacing="1"/>
    </w:pPr>
    <w:rPr>
      <w:rFonts w:ascii="Times New Roman" w:eastAsia="Times New Roman" w:hAnsi="Times New Roman" w:cs="Times New Roman"/>
    </w:rPr>
  </w:style>
  <w:style w:type="paragraph" w:customStyle="1" w:styleId="desc">
    <w:name w:val="desc"/>
    <w:basedOn w:val="Normal"/>
    <w:rsid w:val="005B5115"/>
    <w:pPr>
      <w:spacing w:before="100" w:beforeAutospacing="1" w:after="100" w:afterAutospacing="1"/>
    </w:pPr>
    <w:rPr>
      <w:rFonts w:ascii="Times New Roman" w:eastAsia="Times New Roman" w:hAnsi="Times New Roman" w:cs="Times New Roman"/>
    </w:rPr>
  </w:style>
  <w:style w:type="paragraph" w:customStyle="1" w:styleId="details">
    <w:name w:val="details"/>
    <w:basedOn w:val="Normal"/>
    <w:rsid w:val="005B5115"/>
    <w:pPr>
      <w:spacing w:before="100" w:beforeAutospacing="1" w:after="100" w:afterAutospacing="1"/>
    </w:pPr>
    <w:rPr>
      <w:rFonts w:ascii="Times New Roman" w:eastAsia="Times New Roman" w:hAnsi="Times New Roman" w:cs="Times New Roman"/>
    </w:rPr>
  </w:style>
  <w:style w:type="character" w:customStyle="1" w:styleId="jrnl">
    <w:name w:val="jrnl"/>
    <w:basedOn w:val="DefaultParagraphFont"/>
    <w:rsid w:val="005B5115"/>
  </w:style>
  <w:style w:type="paragraph" w:customStyle="1" w:styleId="MTDisplayEquation">
    <w:name w:val="MTDisplayEquation"/>
    <w:basedOn w:val="Normal"/>
    <w:next w:val="Normal"/>
    <w:link w:val="MTDisplayEquationChar"/>
    <w:rsid w:val="005B5115"/>
    <w:pPr>
      <w:tabs>
        <w:tab w:val="center" w:pos="4320"/>
        <w:tab w:val="right" w:pos="8640"/>
      </w:tabs>
      <w:spacing w:line="480" w:lineRule="auto"/>
      <w:ind w:firstLine="720"/>
    </w:pPr>
    <w:rPr>
      <w:rFonts w:ascii="Times" w:hAnsi="Times"/>
    </w:rPr>
  </w:style>
  <w:style w:type="character" w:customStyle="1" w:styleId="MTDisplayEquationChar">
    <w:name w:val="MTDisplayEquation Char"/>
    <w:basedOn w:val="DefaultParagraphFont"/>
    <w:link w:val="MTDisplayEquation"/>
    <w:rsid w:val="005B5115"/>
    <w:rPr>
      <w:rFonts w:ascii="Times" w:hAnsi="Times"/>
    </w:rPr>
  </w:style>
  <w:style w:type="table" w:styleId="TableGrid">
    <w:name w:val="Table Grid"/>
    <w:basedOn w:val="TableNormal"/>
    <w:uiPriority w:val="59"/>
    <w:rsid w:val="008802C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8802C8"/>
  </w:style>
  <w:style w:type="character" w:customStyle="1" w:styleId="FootnoteTextChar">
    <w:name w:val="Footnote Text Char"/>
    <w:basedOn w:val="DefaultParagraphFont"/>
    <w:link w:val="FootnoteText"/>
    <w:rsid w:val="008802C8"/>
  </w:style>
  <w:style w:type="character" w:styleId="FootnoteReference">
    <w:name w:val="footnote reference"/>
    <w:basedOn w:val="DefaultParagraphFont"/>
    <w:rsid w:val="008802C8"/>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76">
    <w:lsdException w:name="Table Grid" w:uiPriority="59"/>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5B5115"/>
  </w:style>
  <w:style w:type="paragraph" w:styleId="ListParagraph">
    <w:name w:val="List Paragraph"/>
    <w:basedOn w:val="Normal"/>
    <w:uiPriority w:val="34"/>
    <w:qFormat/>
    <w:rsid w:val="005B5115"/>
    <w:pPr>
      <w:ind w:left="720"/>
      <w:contextualSpacing/>
    </w:pPr>
  </w:style>
  <w:style w:type="character" w:styleId="CommentReference">
    <w:name w:val="annotation reference"/>
    <w:basedOn w:val="DefaultParagraphFont"/>
    <w:rsid w:val="005B5115"/>
    <w:rPr>
      <w:sz w:val="18"/>
      <w:szCs w:val="18"/>
    </w:rPr>
  </w:style>
  <w:style w:type="paragraph" w:styleId="CommentText">
    <w:name w:val="annotation text"/>
    <w:basedOn w:val="Normal"/>
    <w:link w:val="CommentTextChar"/>
    <w:rsid w:val="005B5115"/>
  </w:style>
  <w:style w:type="character" w:customStyle="1" w:styleId="CommentTextChar">
    <w:name w:val="Comment Text Char"/>
    <w:basedOn w:val="DefaultParagraphFont"/>
    <w:link w:val="CommentText"/>
    <w:rsid w:val="005B5115"/>
  </w:style>
  <w:style w:type="paragraph" w:styleId="CommentSubject">
    <w:name w:val="annotation subject"/>
    <w:basedOn w:val="CommentText"/>
    <w:next w:val="CommentText"/>
    <w:link w:val="CommentSubjectChar"/>
    <w:rsid w:val="005B5115"/>
    <w:rPr>
      <w:b/>
      <w:bCs/>
      <w:sz w:val="20"/>
      <w:szCs w:val="20"/>
    </w:rPr>
  </w:style>
  <w:style w:type="character" w:customStyle="1" w:styleId="CommentSubjectChar">
    <w:name w:val="Comment Subject Char"/>
    <w:basedOn w:val="CommentTextChar"/>
    <w:link w:val="CommentSubject"/>
    <w:rsid w:val="005B5115"/>
    <w:rPr>
      <w:b/>
      <w:bCs/>
      <w:sz w:val="20"/>
      <w:szCs w:val="20"/>
    </w:rPr>
  </w:style>
  <w:style w:type="paragraph" w:styleId="BalloonText">
    <w:name w:val="Balloon Text"/>
    <w:basedOn w:val="Normal"/>
    <w:link w:val="BalloonTextChar"/>
    <w:rsid w:val="005B5115"/>
    <w:rPr>
      <w:rFonts w:ascii="Lucida Grande" w:hAnsi="Lucida Grande"/>
      <w:sz w:val="18"/>
      <w:szCs w:val="18"/>
    </w:rPr>
  </w:style>
  <w:style w:type="character" w:customStyle="1" w:styleId="BalloonTextChar">
    <w:name w:val="Balloon Text Char"/>
    <w:basedOn w:val="DefaultParagraphFont"/>
    <w:link w:val="BalloonText"/>
    <w:rsid w:val="005B5115"/>
    <w:rPr>
      <w:rFonts w:ascii="Lucida Grande" w:hAnsi="Lucida Grande"/>
      <w:sz w:val="18"/>
      <w:szCs w:val="18"/>
    </w:rPr>
  </w:style>
  <w:style w:type="character" w:styleId="Hyperlink">
    <w:name w:val="Hyperlink"/>
    <w:basedOn w:val="DefaultParagraphFont"/>
    <w:rsid w:val="005B5115"/>
    <w:rPr>
      <w:color w:val="0000FF" w:themeColor="hyperlink"/>
      <w:u w:val="single"/>
    </w:rPr>
  </w:style>
  <w:style w:type="character" w:customStyle="1" w:styleId="apple-converted-space">
    <w:name w:val="apple-converted-space"/>
    <w:basedOn w:val="DefaultParagraphFont"/>
    <w:rsid w:val="005B5115"/>
  </w:style>
  <w:style w:type="paragraph" w:customStyle="1" w:styleId="title">
    <w:name w:val="title"/>
    <w:basedOn w:val="Normal"/>
    <w:rsid w:val="005B5115"/>
    <w:pPr>
      <w:spacing w:before="100" w:beforeAutospacing="1" w:after="100" w:afterAutospacing="1"/>
    </w:pPr>
    <w:rPr>
      <w:rFonts w:ascii="Times New Roman" w:eastAsia="Times New Roman" w:hAnsi="Times New Roman" w:cs="Times New Roman"/>
    </w:rPr>
  </w:style>
  <w:style w:type="paragraph" w:customStyle="1" w:styleId="desc">
    <w:name w:val="desc"/>
    <w:basedOn w:val="Normal"/>
    <w:rsid w:val="005B5115"/>
    <w:pPr>
      <w:spacing w:before="100" w:beforeAutospacing="1" w:after="100" w:afterAutospacing="1"/>
    </w:pPr>
    <w:rPr>
      <w:rFonts w:ascii="Times New Roman" w:eastAsia="Times New Roman" w:hAnsi="Times New Roman" w:cs="Times New Roman"/>
    </w:rPr>
  </w:style>
  <w:style w:type="paragraph" w:customStyle="1" w:styleId="details">
    <w:name w:val="details"/>
    <w:basedOn w:val="Normal"/>
    <w:rsid w:val="005B5115"/>
    <w:pPr>
      <w:spacing w:before="100" w:beforeAutospacing="1" w:after="100" w:afterAutospacing="1"/>
    </w:pPr>
    <w:rPr>
      <w:rFonts w:ascii="Times New Roman" w:eastAsia="Times New Roman" w:hAnsi="Times New Roman" w:cs="Times New Roman"/>
    </w:rPr>
  </w:style>
  <w:style w:type="character" w:customStyle="1" w:styleId="jrnl">
    <w:name w:val="jrnl"/>
    <w:basedOn w:val="DefaultParagraphFont"/>
    <w:rsid w:val="005B5115"/>
  </w:style>
  <w:style w:type="paragraph" w:customStyle="1" w:styleId="MTDisplayEquation">
    <w:name w:val="MTDisplayEquation"/>
    <w:basedOn w:val="Normal"/>
    <w:next w:val="Normal"/>
    <w:link w:val="MTDisplayEquationChar"/>
    <w:rsid w:val="005B5115"/>
    <w:pPr>
      <w:tabs>
        <w:tab w:val="center" w:pos="4320"/>
        <w:tab w:val="right" w:pos="8640"/>
      </w:tabs>
      <w:spacing w:line="480" w:lineRule="auto"/>
      <w:ind w:firstLine="720"/>
    </w:pPr>
    <w:rPr>
      <w:rFonts w:ascii="Times" w:hAnsi="Times"/>
    </w:rPr>
  </w:style>
  <w:style w:type="character" w:customStyle="1" w:styleId="MTDisplayEquationChar">
    <w:name w:val="MTDisplayEquation Char"/>
    <w:basedOn w:val="DefaultParagraphFont"/>
    <w:link w:val="MTDisplayEquation"/>
    <w:rsid w:val="005B5115"/>
    <w:rPr>
      <w:rFonts w:ascii="Times" w:hAnsi="Times"/>
    </w:rPr>
  </w:style>
  <w:style w:type="table" w:styleId="TableGrid">
    <w:name w:val="Table Grid"/>
    <w:basedOn w:val="TableNormal"/>
    <w:uiPriority w:val="59"/>
    <w:rsid w:val="008802C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8802C8"/>
  </w:style>
  <w:style w:type="character" w:customStyle="1" w:styleId="FootnoteTextChar">
    <w:name w:val="Footnote Text Char"/>
    <w:basedOn w:val="DefaultParagraphFont"/>
    <w:link w:val="FootnoteText"/>
    <w:rsid w:val="008802C8"/>
  </w:style>
  <w:style w:type="character" w:styleId="FootnoteReference">
    <w:name w:val="footnote reference"/>
    <w:basedOn w:val="DefaultParagraphFont"/>
    <w:rsid w:val="008802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pixelsPerInch w:val="300"/>
</w:webSettings>
</file>

<file path=word/_rels/document.xml.rels><?xml version="1.0" encoding="UTF-8" standalone="yes"?>
<Relationships xmlns="http://schemas.openxmlformats.org/package/2006/relationships"><Relationship Id="rId11" Type="http://schemas.openxmlformats.org/officeDocument/2006/relationships/image" Target="media/image3.tiff"/><Relationship Id="rId12" Type="http://schemas.openxmlformats.org/officeDocument/2006/relationships/image" Target="media/image4.tiff"/><Relationship Id="rId13" Type="http://schemas.openxmlformats.org/officeDocument/2006/relationships/image" Target="media/image5.tiff"/><Relationship Id="rId14" Type="http://schemas.openxmlformats.org/officeDocument/2006/relationships/image" Target="media/image6.tiff"/><Relationship Id="rId15" Type="http://schemas.openxmlformats.org/officeDocument/2006/relationships/image" Target="media/image7.tiff"/><Relationship Id="rId16" Type="http://schemas.openxmlformats.org/officeDocument/2006/relationships/image" Target="media/image8.tiff"/><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ncbi.nlm.nih.gov/geo/" TargetMode="External"/><Relationship Id="rId9" Type="http://schemas.openxmlformats.org/officeDocument/2006/relationships/image" Target="media/image1.wmf"/><Relationship Id="rId10"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30</Pages>
  <Words>18039</Words>
  <Characters>102828</Characters>
  <Application>Microsoft Macintosh Word</Application>
  <DocSecurity>0</DocSecurity>
  <Lines>856</Lines>
  <Paragraphs>241</Paragraphs>
  <ScaleCrop>false</ScaleCrop>
  <Company/>
  <LinksUpToDate>false</LinksUpToDate>
  <CharactersWithSpaces>120626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Henzler</dc:creator>
  <cp:keywords/>
  <cp:lastModifiedBy>Christine Henzler</cp:lastModifiedBy>
  <cp:revision>4</cp:revision>
  <dcterms:created xsi:type="dcterms:W3CDTF">2013-08-10T00:20:00Z</dcterms:created>
  <dcterms:modified xsi:type="dcterms:W3CDTF">2013-08-10T00:32:00Z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id="http://www.zotero.org/styles/genome-biology"/&gt;&lt;hasBiblio/&gt;&lt;format class="21"/&gt;&lt;count citations="27" publications="36"/&gt;&lt;/info&gt;PAPERS2_INFO_END</vt:lpwstr>
  </property>
</Properties>
</file>