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F7BF605" w14:textId="77777777" w:rsidR="007528B3" w:rsidRPr="00ED3879" w:rsidRDefault="007528B3" w:rsidP="007528B3">
      <w:pPr>
        <w:pStyle w:val="1"/>
        <w:spacing w:before="0" w:after="0"/>
        <w:rPr>
          <w:rFonts w:asciiTheme="majorHAnsi" w:hAnsiTheme="majorHAnsi" w:cstheme="majorHAnsi"/>
          <w:color w:val="auto"/>
          <w:sz w:val="30"/>
          <w:szCs w:val="30"/>
        </w:rPr>
      </w:pPr>
      <w:r w:rsidRPr="00ED3879">
        <w:rPr>
          <w:rFonts w:asciiTheme="majorHAnsi" w:hAnsiTheme="majorHAnsi" w:cstheme="majorHAnsi"/>
          <w:color w:val="auto"/>
          <w:sz w:val="30"/>
          <w:szCs w:val="30"/>
        </w:rPr>
        <w:t>Supplementary Notes</w:t>
      </w:r>
    </w:p>
    <w:p w14:paraId="519A140D" w14:textId="77777777" w:rsidR="007528B3" w:rsidRPr="00ED3879" w:rsidRDefault="007528B3" w:rsidP="007528B3">
      <w:pPr>
        <w:pStyle w:val="Normal1"/>
        <w:rPr>
          <w:rFonts w:asciiTheme="majorHAnsi" w:hAnsiTheme="majorHAnsi" w:cstheme="majorHAnsi"/>
          <w:color w:val="auto"/>
        </w:rPr>
      </w:pPr>
    </w:p>
    <w:p w14:paraId="1F0028D7" w14:textId="77777777" w:rsidR="007528B3" w:rsidRPr="00ED3879" w:rsidRDefault="007528B3" w:rsidP="007528B3">
      <w:pPr>
        <w:pStyle w:val="Normal1"/>
        <w:rPr>
          <w:rFonts w:asciiTheme="majorHAnsi" w:hAnsiTheme="majorHAnsi" w:cstheme="majorHAnsi"/>
          <w:b/>
          <w:color w:val="auto"/>
        </w:rPr>
      </w:pPr>
      <w:r w:rsidRPr="00ED3879">
        <w:rPr>
          <w:rFonts w:asciiTheme="majorHAnsi" w:hAnsiTheme="majorHAnsi" w:cstheme="majorHAnsi"/>
          <w:b/>
          <w:color w:val="auto"/>
        </w:rPr>
        <w:t>Detailed technical development of whole-transcript amplification for Quartz-</w:t>
      </w:r>
      <w:proofErr w:type="spellStart"/>
      <w:r w:rsidRPr="00ED3879">
        <w:rPr>
          <w:rFonts w:asciiTheme="majorHAnsi" w:eastAsia="MS Mincho" w:hAnsiTheme="majorHAnsi" w:cstheme="majorHAnsi"/>
          <w:b/>
          <w:color w:val="auto"/>
        </w:rPr>
        <w:t>S</w:t>
      </w:r>
      <w:r w:rsidRPr="00ED3879">
        <w:rPr>
          <w:rFonts w:asciiTheme="majorHAnsi" w:hAnsiTheme="majorHAnsi" w:cstheme="majorHAnsi"/>
          <w:b/>
          <w:color w:val="auto"/>
        </w:rPr>
        <w:t>eq</w:t>
      </w:r>
      <w:proofErr w:type="spellEnd"/>
    </w:p>
    <w:p w14:paraId="642B8C15" w14:textId="77777777" w:rsidR="007528B3" w:rsidRPr="00ED3879" w:rsidRDefault="007528B3" w:rsidP="007528B3">
      <w:pPr>
        <w:pStyle w:val="Normal1"/>
        <w:rPr>
          <w:rFonts w:asciiTheme="majorHAnsi" w:hAnsiTheme="majorHAnsi" w:cstheme="majorHAnsi"/>
          <w:color w:val="auto"/>
        </w:rPr>
      </w:pPr>
    </w:p>
    <w:p w14:paraId="05DF6BE5" w14:textId="77777777" w:rsidR="007528B3" w:rsidRPr="00ED3879" w:rsidRDefault="007528B3" w:rsidP="007528B3">
      <w:pPr>
        <w:pStyle w:val="Normal1"/>
        <w:rPr>
          <w:rFonts w:asciiTheme="majorHAnsi" w:hAnsiTheme="majorHAnsi" w:cstheme="majorHAnsi"/>
          <w:b/>
          <w:color w:val="auto"/>
        </w:rPr>
      </w:pPr>
      <w:r w:rsidRPr="00ED3879">
        <w:rPr>
          <w:rFonts w:asciiTheme="majorHAnsi" w:hAnsiTheme="majorHAnsi" w:cstheme="majorHAnsi"/>
          <w:b/>
          <w:color w:val="auto"/>
        </w:rPr>
        <w:t>PCR enzyme selection</w:t>
      </w:r>
    </w:p>
    <w:p w14:paraId="5A2E5DEE" w14:textId="34C421FA" w:rsidR="007528B3" w:rsidRPr="007528B3" w:rsidRDefault="007528B3" w:rsidP="007528B3">
      <w:pPr>
        <w:spacing w:line="276" w:lineRule="auto"/>
        <w:rPr>
          <w:rFonts w:ascii="Times" w:eastAsia="Times New Roman" w:hAnsi="Times"/>
          <w:kern w:val="0"/>
          <w:sz w:val="22"/>
        </w:rPr>
      </w:pPr>
      <w:r w:rsidRPr="00ED3879">
        <w:rPr>
          <w:rFonts w:asciiTheme="majorHAnsi" w:hAnsiTheme="majorHAnsi" w:cstheme="majorHAnsi"/>
          <w:sz w:val="22"/>
        </w:rPr>
        <w:t xml:space="preserve">The use of a purification-free single-tube reaction improved the sensitivity of the </w:t>
      </w:r>
      <w:proofErr w:type="spellStart"/>
      <w:r w:rsidRPr="00ED3879">
        <w:rPr>
          <w:rFonts w:asciiTheme="majorHAnsi" w:hAnsiTheme="majorHAnsi" w:cstheme="majorHAnsi"/>
          <w:sz w:val="22"/>
        </w:rPr>
        <w:t>ChIP</w:t>
      </w:r>
      <w:proofErr w:type="spellEnd"/>
      <w:r w:rsidRPr="00ED3879">
        <w:rPr>
          <w:rFonts w:asciiTheme="majorHAnsi" w:hAnsiTheme="majorHAnsi" w:cstheme="majorHAnsi"/>
          <w:sz w:val="22"/>
        </w:rPr>
        <w:t xml:space="preserve"> amplification method </w:t>
      </w:r>
      <w:r w:rsidR="004E03D9">
        <w:rPr>
          <w:rFonts w:asciiTheme="majorHAnsi" w:hAnsiTheme="majorHAnsi" w:cstheme="majorHAnsi"/>
          <w:sz w:val="22"/>
        </w:rPr>
        <w:fldChar w:fldCharType="begin"/>
      </w:r>
      <w:r w:rsidR="004E03D9">
        <w:rPr>
          <w:rFonts w:asciiTheme="majorHAnsi" w:hAnsiTheme="majorHAnsi" w:cstheme="majorHAnsi"/>
          <w:sz w:val="22"/>
        </w:rPr>
        <w:instrText xml:space="preserve"> ADDIN EN.CITE &lt;EndNote&gt;&lt;Cite&gt;&lt;Author&gt;Shankaranarayanan&lt;/Author&gt;&lt;Year&gt;2011&lt;/Year&gt;&lt;RecNum&gt;36&lt;/RecNum&gt;&lt;DisplayText&gt;[1]&lt;/DisplayText&gt;&lt;record&gt;&lt;rec-number&gt;36&lt;/rec-number&gt;&lt;foreign-keys&gt;&lt;key app="EN" db-id="zdz9wst080fad8eptrqxzddjz2ez2aswdefr"&gt;36&lt;/key&gt;&lt;/foreign-keys&gt;&lt;ref-type name="Journal Article"&gt;17&lt;/ref-type&gt;&lt;contributors&gt;&lt;authors&gt;&lt;author&gt;Shankaranarayanan, P.&lt;/author&gt;&lt;author&gt;Mendoza-Parra, M. A.&lt;/author&gt;&lt;author&gt;Walia, M.&lt;/author&gt;&lt;author&gt;Wang, L.&lt;/author&gt;&lt;author&gt;Li, N.&lt;/author&gt;&lt;author&gt;Trindade, L. M.&lt;/author&gt;&lt;author&gt;Gronemeyer, H.&lt;/author&gt;&lt;/authors&gt;&lt;/contributors&gt;&lt;auth-address&gt;Department of Cancer Biology, Institute of Genetics and Molecular and Cellular Biology, Strasbourg-Illkirch, France.&lt;/auth-address&gt;&lt;titles&gt;&lt;title&gt;Single-tube linear DNA amplification (LinDA) for robust ChIP-seq&lt;/title&gt;&lt;secondary-title&gt;Nat Methods&lt;/secondary-title&gt;&lt;/titles&gt;&lt;periodical&gt;&lt;full-title&gt;Nat Methods&lt;/full-title&gt;&lt;/periodical&gt;&lt;pages&gt;565-7&lt;/pages&gt;&lt;volume&gt;8&lt;/volume&gt;&lt;number&gt;7&lt;/number&gt;&lt;edition&gt;2011/06/07&lt;/edition&gt;&lt;keywords&gt;&lt;keyword&gt;Animals&lt;/keyword&gt;&lt;keyword&gt;Base Sequence&lt;/keyword&gt;&lt;keyword&gt;Cell Line, Tumor&lt;/keyword&gt;&lt;keyword&gt;Chromatin/genetics/*metabolism&lt;/keyword&gt;&lt;keyword&gt;*Chromatin Immunoprecipitation&lt;/keyword&gt;&lt;keyword&gt;DNA/*analysis/genetics&lt;/keyword&gt;&lt;keyword&gt;Humans&lt;/keyword&gt;&lt;keyword&gt;Mice&lt;/keyword&gt;&lt;keyword&gt;Nucleic Acid Amplification Techniques/*methods&lt;/keyword&gt;&lt;keyword&gt;Sequence Analysis, DNA/*methods&lt;/keyword&gt;&lt;keyword&gt;Transcription Factors/*metabolism&lt;/keyword&gt;&lt;/keywords&gt;&lt;dates&gt;&lt;year&gt;2011&lt;/year&gt;&lt;pub-dates&gt;&lt;date&gt;Jul&lt;/date&gt;&lt;/pub-dates&gt;&lt;/dates&gt;&lt;isbn&gt;1548-7105 (Electronic)&amp;#xD;1548-7091 (Linking)&lt;/isbn&gt;&lt;accession-num&gt;21642965&lt;/accession-num&gt;&lt;urls&gt;&lt;related-urls&gt;&lt;url&gt;http://www.ncbi.nlm.nih.gov/entrez/query.fcgi?cmd=Retrieve&amp;amp;db=PubMed&amp;amp;dopt=Citation&amp;amp;list_uids=21642965&lt;/url&gt;&lt;/related-urls&gt;&lt;/urls&gt;&lt;electronic-resource-num&gt;nmeth.1626 [pii]&amp;#xD;10.1038/nmeth.1626&lt;/electronic-resource-num&gt;&lt;language&gt;eng&lt;/language&gt;&lt;/record&gt;&lt;/Cite&gt;&lt;/EndNote&gt;</w:instrText>
      </w:r>
      <w:r w:rsidR="004E03D9">
        <w:rPr>
          <w:rFonts w:asciiTheme="majorHAnsi" w:hAnsiTheme="majorHAnsi" w:cstheme="majorHAnsi"/>
          <w:sz w:val="22"/>
        </w:rPr>
        <w:fldChar w:fldCharType="separate"/>
      </w:r>
      <w:r w:rsidR="004E03D9">
        <w:rPr>
          <w:rFonts w:asciiTheme="majorHAnsi" w:hAnsiTheme="majorHAnsi" w:cstheme="majorHAnsi"/>
          <w:noProof/>
          <w:sz w:val="22"/>
        </w:rPr>
        <w:t>[</w:t>
      </w:r>
      <w:hyperlink w:anchor="_ENREF_1" w:tooltip="Shankaranarayanan, 2011 #36" w:history="1">
        <w:r w:rsidR="004E03D9">
          <w:rPr>
            <w:rFonts w:asciiTheme="majorHAnsi" w:hAnsiTheme="majorHAnsi" w:cstheme="majorHAnsi"/>
            <w:noProof/>
            <w:sz w:val="22"/>
          </w:rPr>
          <w:t>1</w:t>
        </w:r>
      </w:hyperlink>
      <w:r w:rsidR="004E03D9">
        <w:rPr>
          <w:rFonts w:asciiTheme="majorHAnsi" w:hAnsiTheme="majorHAnsi" w:cstheme="majorHAnsi"/>
          <w:noProof/>
          <w:sz w:val="22"/>
        </w:rPr>
        <w:t>]</w:t>
      </w:r>
      <w:r w:rsidR="004E03D9">
        <w:rPr>
          <w:rFonts w:asciiTheme="majorHAnsi" w:hAnsiTheme="majorHAnsi" w:cstheme="majorHAnsi"/>
          <w:sz w:val="22"/>
        </w:rPr>
        <w:fldChar w:fldCharType="end"/>
      </w:r>
      <w:r w:rsidRPr="00ED3879">
        <w:rPr>
          <w:rFonts w:asciiTheme="majorHAnsi" w:hAnsiTheme="majorHAnsi" w:cstheme="majorHAnsi"/>
          <w:sz w:val="22"/>
        </w:rPr>
        <w:t xml:space="preserve">. We also adopted this approach in our method. In this approach, the buffer used in the previous steps is carried over into the following steps. </w:t>
      </w:r>
      <w:r w:rsidRPr="00ED3879">
        <w:rPr>
          <w:rFonts w:asciiTheme="majorHAnsi" w:eastAsia="Times New Roman" w:hAnsiTheme="majorHAnsi" w:cstheme="majorHAnsi"/>
          <w:color w:val="000000"/>
          <w:sz w:val="22"/>
        </w:rPr>
        <w:t xml:space="preserve">In general, carry-over (buffer, proteins, and so on) prevents PCR amplification. In fact, we confirmed that approximately 24 % of the carry-over for PCR amplification obviously reduces the </w:t>
      </w:r>
      <w:proofErr w:type="spellStart"/>
      <w:r w:rsidRPr="00ED3879">
        <w:rPr>
          <w:rFonts w:asciiTheme="majorHAnsi" w:eastAsia="Times New Roman" w:hAnsiTheme="majorHAnsi" w:cstheme="majorHAnsi"/>
          <w:color w:val="000000"/>
          <w:sz w:val="22"/>
        </w:rPr>
        <w:t>cDNA</w:t>
      </w:r>
      <w:proofErr w:type="spellEnd"/>
      <w:r w:rsidRPr="00ED3879">
        <w:rPr>
          <w:rFonts w:asciiTheme="majorHAnsi" w:eastAsia="Times New Roman" w:hAnsiTheme="majorHAnsi" w:cstheme="majorHAnsi"/>
          <w:color w:val="000000"/>
          <w:sz w:val="22"/>
        </w:rPr>
        <w:t xml:space="preserve"> yield</w:t>
      </w:r>
      <w:r w:rsidR="006C6678">
        <w:rPr>
          <w:rFonts w:asciiTheme="majorHAnsi" w:hAnsiTheme="majorHAnsi" w:cstheme="majorHAnsi"/>
          <w:sz w:val="22"/>
        </w:rPr>
        <w:t xml:space="preserve"> (</w:t>
      </w:r>
      <w:r w:rsidR="00CA7F78">
        <w:rPr>
          <w:rFonts w:asciiTheme="majorHAnsi" w:hAnsiTheme="majorHAnsi" w:cstheme="majorHAnsi"/>
          <w:sz w:val="22"/>
        </w:rPr>
        <w:t xml:space="preserve">see Additional file 1, </w:t>
      </w:r>
      <w:r w:rsidR="006C6678">
        <w:rPr>
          <w:rFonts w:asciiTheme="majorHAnsi" w:hAnsiTheme="majorHAnsi" w:cstheme="majorHAnsi"/>
          <w:sz w:val="22"/>
        </w:rPr>
        <w:t>Figure S18</w:t>
      </w:r>
      <w:r w:rsidRPr="00ED3879">
        <w:rPr>
          <w:rFonts w:asciiTheme="majorHAnsi" w:hAnsiTheme="majorHAnsi" w:cstheme="majorHAnsi"/>
          <w:sz w:val="22"/>
        </w:rPr>
        <w:t xml:space="preserve">). </w:t>
      </w:r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To avoid the carry-over effect, we designed our method to reduce the total volume of carry-over for the subsequent PCR reaction. Moreover, we tested two PCR enzymes (</w:t>
      </w:r>
      <w:r w:rsidR="00DC2AF8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KOD </w:t>
      </w:r>
      <w:proofErr w:type="spellStart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Fx</w:t>
      </w:r>
      <w:proofErr w:type="spellEnd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[Toyobo] and </w:t>
      </w:r>
      <w:proofErr w:type="spellStart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MightyAmp</w:t>
      </w:r>
      <w:proofErr w:type="spellEnd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[</w:t>
      </w:r>
      <w:proofErr w:type="spellStart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TaKaRa-Clontech</w:t>
      </w:r>
      <w:proofErr w:type="spellEnd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]) that are robust for crude sample and GC-rich sequences. </w:t>
      </w:r>
      <w:proofErr w:type="spellStart"/>
      <w:r w:rsidRPr="00ED3879">
        <w:rPr>
          <w:rFonts w:asciiTheme="majorHAnsi" w:hAnsiTheme="majorHAnsi" w:cstheme="majorHAnsi"/>
          <w:sz w:val="22"/>
        </w:rPr>
        <w:t>MightyAmp</w:t>
      </w:r>
      <w:proofErr w:type="spellEnd"/>
      <w:r w:rsidRPr="00ED3879">
        <w:rPr>
          <w:rFonts w:asciiTheme="majorHAnsi" w:hAnsiTheme="majorHAnsi" w:cstheme="majorHAnsi"/>
          <w:sz w:val="22"/>
        </w:rPr>
        <w:t xml:space="preserve"> DNA polymerase was able to achieve high sensitivity and reproducibility in a single-tube PCR amplifi</w:t>
      </w:r>
      <w:r w:rsidR="009B6661">
        <w:rPr>
          <w:rFonts w:asciiTheme="majorHAnsi" w:hAnsiTheme="majorHAnsi" w:cstheme="majorHAnsi"/>
          <w:sz w:val="22"/>
        </w:rPr>
        <w:t>cation (</w:t>
      </w:r>
      <w:r w:rsidR="00CA7F78">
        <w:rPr>
          <w:rFonts w:asciiTheme="majorHAnsi" w:hAnsiTheme="majorHAnsi" w:cstheme="majorHAnsi"/>
          <w:sz w:val="22"/>
        </w:rPr>
        <w:t xml:space="preserve">see Additional file 1, </w:t>
      </w:r>
      <w:r w:rsidR="009B6661">
        <w:rPr>
          <w:rFonts w:asciiTheme="majorHAnsi" w:hAnsiTheme="majorHAnsi" w:cstheme="majorHAnsi"/>
          <w:sz w:val="22"/>
        </w:rPr>
        <w:t>Figure S</w:t>
      </w:r>
      <w:r w:rsidR="00365A1F">
        <w:rPr>
          <w:rFonts w:asciiTheme="majorHAnsi" w:hAnsiTheme="majorHAnsi" w:cstheme="majorHAnsi"/>
          <w:sz w:val="22"/>
        </w:rPr>
        <w:t>5 and Figure S11</w:t>
      </w:r>
      <w:r w:rsidRPr="00ED3879">
        <w:rPr>
          <w:rFonts w:asciiTheme="majorHAnsi" w:hAnsiTheme="majorHAnsi" w:cstheme="majorHAnsi"/>
          <w:sz w:val="22"/>
        </w:rPr>
        <w:t xml:space="preserve">). </w:t>
      </w:r>
      <w:r w:rsidRPr="00ED3879">
        <w:rPr>
          <w:rFonts w:ascii="Arial" w:eastAsia="Times New Roman" w:hAnsi="Arial" w:cs="Arial"/>
          <w:color w:val="000000"/>
          <w:kern w:val="0"/>
          <w:sz w:val="22"/>
          <w:shd w:val="clear" w:color="auto" w:fill="FFFFFF"/>
        </w:rPr>
        <w:t>We designed the Quartz-</w:t>
      </w:r>
      <w:proofErr w:type="spellStart"/>
      <w:r w:rsidRPr="00ED3879">
        <w:rPr>
          <w:rFonts w:ascii="Arial" w:eastAsia="Times New Roman" w:hAnsi="Arial" w:cs="Arial"/>
          <w:color w:val="000000"/>
          <w:kern w:val="0"/>
          <w:sz w:val="22"/>
          <w:shd w:val="clear" w:color="auto" w:fill="FFFFFF"/>
        </w:rPr>
        <w:t>Seq</w:t>
      </w:r>
      <w:proofErr w:type="spellEnd"/>
      <w:r w:rsidRPr="00ED3879">
        <w:rPr>
          <w:rFonts w:ascii="Arial" w:eastAsia="Times New Roman" w:hAnsi="Arial" w:cs="Arial"/>
          <w:color w:val="000000"/>
          <w:kern w:val="0"/>
          <w:sz w:val="22"/>
          <w:shd w:val="clear" w:color="auto" w:fill="FFFFFF"/>
        </w:rPr>
        <w:t xml:space="preserve"> method to ensure that the length of almost all the resulting </w:t>
      </w:r>
      <w:proofErr w:type="spellStart"/>
      <w:r w:rsidRPr="00ED3879">
        <w:rPr>
          <w:rFonts w:ascii="Arial" w:eastAsia="Times New Roman" w:hAnsi="Arial" w:cs="Arial"/>
          <w:color w:val="000000"/>
          <w:kern w:val="0"/>
          <w:sz w:val="22"/>
          <w:shd w:val="clear" w:color="auto" w:fill="FFFFFF"/>
        </w:rPr>
        <w:t>cDNA</w:t>
      </w:r>
      <w:proofErr w:type="spellEnd"/>
      <w:r w:rsidRPr="00ED3879">
        <w:rPr>
          <w:rFonts w:ascii="Arial" w:eastAsia="Times New Roman" w:hAnsi="Arial" w:cs="Arial"/>
          <w:color w:val="000000"/>
          <w:kern w:val="0"/>
          <w:sz w:val="22"/>
          <w:shd w:val="clear" w:color="auto" w:fill="FFFFFF"/>
        </w:rPr>
        <w:t xml:space="preserve"> was less than approximat</w:t>
      </w:r>
      <w:r w:rsidR="00365A1F">
        <w:rPr>
          <w:rFonts w:ascii="Arial" w:eastAsia="Times New Roman" w:hAnsi="Arial" w:cs="Arial"/>
          <w:color w:val="000000"/>
          <w:kern w:val="0"/>
          <w:sz w:val="22"/>
          <w:shd w:val="clear" w:color="auto" w:fill="FFFFFF"/>
        </w:rPr>
        <w:t>ely 3,000 base pairs (</w:t>
      </w:r>
      <w:r w:rsidR="00CA7F78">
        <w:rPr>
          <w:rFonts w:asciiTheme="majorHAnsi" w:hAnsiTheme="majorHAnsi" w:cstheme="majorHAnsi"/>
          <w:sz w:val="22"/>
        </w:rPr>
        <w:t xml:space="preserve">see Additional file 1, </w:t>
      </w:r>
      <w:r w:rsidR="00365A1F">
        <w:rPr>
          <w:rFonts w:ascii="Arial" w:eastAsia="Times New Roman" w:hAnsi="Arial" w:cs="Arial"/>
          <w:color w:val="000000"/>
          <w:kern w:val="0"/>
          <w:sz w:val="22"/>
          <w:shd w:val="clear" w:color="auto" w:fill="FFFFFF"/>
        </w:rPr>
        <w:t>Figure S10</w:t>
      </w:r>
      <w:r w:rsidRPr="00ED3879">
        <w:rPr>
          <w:rFonts w:ascii="Arial" w:eastAsia="Times New Roman" w:hAnsi="Arial" w:cs="Arial"/>
          <w:color w:val="000000"/>
          <w:kern w:val="0"/>
          <w:sz w:val="22"/>
          <w:shd w:val="clear" w:color="auto" w:fill="FFFFFF"/>
        </w:rPr>
        <w:t xml:space="preserve">). </w:t>
      </w:r>
      <w:r w:rsidRPr="00ED3879">
        <w:rPr>
          <w:rFonts w:asciiTheme="majorHAnsi" w:hAnsiTheme="majorHAnsi" w:cstheme="majorHAnsi"/>
          <w:sz w:val="22"/>
        </w:rPr>
        <w:t xml:space="preserve">After a 21-cycle PCR enrichment of 10 </w:t>
      </w:r>
      <w:proofErr w:type="spellStart"/>
      <w:proofErr w:type="gramStart"/>
      <w:r w:rsidRPr="00ED3879">
        <w:rPr>
          <w:rFonts w:asciiTheme="majorHAnsi" w:hAnsiTheme="majorHAnsi" w:cstheme="majorHAnsi"/>
          <w:sz w:val="22"/>
        </w:rPr>
        <w:t>pg</w:t>
      </w:r>
      <w:proofErr w:type="spellEnd"/>
      <w:proofErr w:type="gramEnd"/>
      <w:r w:rsidRPr="00ED3879">
        <w:rPr>
          <w:rFonts w:asciiTheme="majorHAnsi" w:hAnsiTheme="majorHAnsi" w:cstheme="majorHAnsi"/>
          <w:sz w:val="22"/>
        </w:rPr>
        <w:t xml:space="preserve"> of total RNA, we obtained approximately 63 </w:t>
      </w:r>
      <w:proofErr w:type="spellStart"/>
      <w:r w:rsidRPr="00ED3879">
        <w:rPr>
          <w:rFonts w:asciiTheme="majorHAnsi" w:hAnsiTheme="majorHAnsi" w:cstheme="majorHAnsi"/>
          <w:sz w:val="22"/>
        </w:rPr>
        <w:t>ng</w:t>
      </w:r>
      <w:proofErr w:type="spellEnd"/>
      <w:r w:rsidRPr="00ED3879">
        <w:rPr>
          <w:rFonts w:asciiTheme="majorHAnsi" w:hAnsiTheme="majorHAnsi" w:cstheme="majorHAnsi"/>
          <w:sz w:val="22"/>
        </w:rPr>
        <w:t xml:space="preserve"> of amplified </w:t>
      </w:r>
      <w:proofErr w:type="spellStart"/>
      <w:r w:rsidRPr="00ED3879">
        <w:rPr>
          <w:rFonts w:asciiTheme="majorHAnsi" w:hAnsiTheme="majorHAnsi" w:cstheme="majorHAnsi"/>
          <w:sz w:val="22"/>
        </w:rPr>
        <w:t>cDNA</w:t>
      </w:r>
      <w:proofErr w:type="spellEnd"/>
      <w:r w:rsidRPr="00ED3879">
        <w:rPr>
          <w:rFonts w:asciiTheme="majorHAnsi" w:hAnsiTheme="majorHAnsi" w:cstheme="majorHAnsi"/>
          <w:sz w:val="22"/>
        </w:rPr>
        <w:t xml:space="preserve">. This </w:t>
      </w:r>
      <w:proofErr w:type="spellStart"/>
      <w:r w:rsidRPr="00ED3879">
        <w:rPr>
          <w:rFonts w:asciiTheme="majorHAnsi" w:hAnsiTheme="majorHAnsi" w:cstheme="majorHAnsi"/>
          <w:sz w:val="22"/>
        </w:rPr>
        <w:t>cDNA</w:t>
      </w:r>
      <w:proofErr w:type="spellEnd"/>
      <w:r w:rsidRPr="00ED3879">
        <w:rPr>
          <w:rFonts w:asciiTheme="majorHAnsi" w:hAnsiTheme="majorHAnsi" w:cstheme="majorHAnsi"/>
          <w:sz w:val="22"/>
        </w:rPr>
        <w:t xml:space="preserve"> amount is sufficient to perform all of the following applications: sequencing</w:t>
      </w:r>
      <w:r>
        <w:rPr>
          <w:rFonts w:asciiTheme="majorHAnsi" w:hAnsiTheme="majorHAnsi" w:cstheme="majorHAnsi"/>
          <w:sz w:val="22"/>
        </w:rPr>
        <w:t>;</w:t>
      </w:r>
      <w:r w:rsidRPr="00ED3879">
        <w:rPr>
          <w:rFonts w:asciiTheme="majorHAnsi" w:hAnsiTheme="majorHAnsi" w:cstheme="majorHAnsi"/>
          <w:sz w:val="22"/>
        </w:rPr>
        <w:t xml:space="preserve"> microarray analysis</w:t>
      </w:r>
      <w:r>
        <w:rPr>
          <w:rFonts w:asciiTheme="majorHAnsi" w:hAnsiTheme="majorHAnsi" w:cstheme="majorHAnsi"/>
          <w:sz w:val="22"/>
        </w:rPr>
        <w:t>;</w:t>
      </w:r>
      <w:r w:rsidRPr="00ED3879">
        <w:rPr>
          <w:rFonts w:asciiTheme="majorHAnsi" w:hAnsiTheme="majorHAnsi" w:cstheme="majorHAnsi"/>
          <w:sz w:val="22"/>
        </w:rPr>
        <w:t xml:space="preserve"> and quality checks, such as the </w:t>
      </w:r>
      <w:proofErr w:type="spellStart"/>
      <w:r w:rsidRPr="00ED3879">
        <w:rPr>
          <w:rFonts w:asciiTheme="majorHAnsi" w:hAnsiTheme="majorHAnsi" w:cstheme="majorHAnsi"/>
          <w:sz w:val="22"/>
        </w:rPr>
        <w:t>BioAnalyzer</w:t>
      </w:r>
      <w:proofErr w:type="spellEnd"/>
      <w:r w:rsidRPr="00ED3879">
        <w:rPr>
          <w:rFonts w:asciiTheme="majorHAnsi" w:hAnsiTheme="majorHAnsi" w:cstheme="majorHAnsi"/>
          <w:sz w:val="22"/>
        </w:rPr>
        <w:t xml:space="preserve">, </w:t>
      </w:r>
      <w:proofErr w:type="spellStart"/>
      <w:r w:rsidRPr="00ED3879">
        <w:rPr>
          <w:rFonts w:asciiTheme="majorHAnsi" w:hAnsiTheme="majorHAnsi" w:cstheme="majorHAnsi"/>
          <w:sz w:val="22"/>
        </w:rPr>
        <w:t>PicoGreen</w:t>
      </w:r>
      <w:proofErr w:type="spellEnd"/>
      <w:r w:rsidRPr="00ED3879">
        <w:rPr>
          <w:rFonts w:asciiTheme="majorHAnsi" w:hAnsiTheme="majorHAnsi" w:cstheme="majorHAnsi"/>
          <w:sz w:val="22"/>
        </w:rPr>
        <w:t xml:space="preserve">, and </w:t>
      </w:r>
      <w:proofErr w:type="spellStart"/>
      <w:r w:rsidRPr="00ED3879">
        <w:rPr>
          <w:rFonts w:asciiTheme="majorHAnsi" w:hAnsiTheme="majorHAnsi" w:cstheme="majorHAnsi"/>
          <w:sz w:val="22"/>
        </w:rPr>
        <w:t>qPCR</w:t>
      </w:r>
      <w:proofErr w:type="spellEnd"/>
      <w:r>
        <w:rPr>
          <w:rFonts w:asciiTheme="majorHAnsi" w:hAnsiTheme="majorHAnsi" w:cstheme="majorHAnsi"/>
          <w:sz w:val="22"/>
        </w:rPr>
        <w:t xml:space="preserve"> assays</w:t>
      </w:r>
      <w:r w:rsidRPr="00ED3879">
        <w:rPr>
          <w:rFonts w:asciiTheme="majorHAnsi" w:hAnsiTheme="majorHAnsi" w:cstheme="majorHAnsi"/>
          <w:sz w:val="22"/>
        </w:rPr>
        <w:t xml:space="preserve">. </w:t>
      </w:r>
    </w:p>
    <w:p w14:paraId="3FD64BF4" w14:textId="77777777" w:rsidR="007528B3" w:rsidRPr="00ED3879" w:rsidRDefault="007528B3" w:rsidP="007528B3">
      <w:pPr>
        <w:pStyle w:val="Normal1"/>
        <w:rPr>
          <w:rFonts w:asciiTheme="majorHAnsi" w:hAnsiTheme="majorHAnsi" w:cstheme="majorHAnsi"/>
          <w:color w:val="auto"/>
        </w:rPr>
      </w:pPr>
    </w:p>
    <w:p w14:paraId="1B2C96FA" w14:textId="77777777" w:rsidR="007528B3" w:rsidRPr="00ED3879" w:rsidRDefault="007528B3" w:rsidP="007528B3">
      <w:pPr>
        <w:pStyle w:val="Normal1"/>
        <w:rPr>
          <w:rFonts w:asciiTheme="majorHAnsi" w:hAnsiTheme="majorHAnsi" w:cstheme="majorHAnsi"/>
          <w:b/>
          <w:color w:val="auto"/>
        </w:rPr>
      </w:pPr>
      <w:r w:rsidRPr="00ED3879">
        <w:rPr>
          <w:rFonts w:asciiTheme="majorHAnsi" w:hAnsiTheme="majorHAnsi" w:cstheme="majorHAnsi"/>
          <w:b/>
          <w:color w:val="auto"/>
        </w:rPr>
        <w:t>Library preparation for Quartz-</w:t>
      </w:r>
      <w:proofErr w:type="spellStart"/>
      <w:r w:rsidRPr="00ED3879">
        <w:rPr>
          <w:rFonts w:asciiTheme="majorHAnsi" w:hAnsiTheme="majorHAnsi" w:cstheme="majorHAnsi"/>
          <w:b/>
          <w:color w:val="auto"/>
        </w:rPr>
        <w:t>Seq</w:t>
      </w:r>
      <w:proofErr w:type="spellEnd"/>
    </w:p>
    <w:p w14:paraId="18DA4275" w14:textId="234C707F" w:rsidR="007528B3" w:rsidRPr="00ED3879" w:rsidRDefault="007528B3" w:rsidP="007528B3">
      <w:pPr>
        <w:pStyle w:val="Normal1"/>
        <w:rPr>
          <w:rFonts w:asciiTheme="majorHAnsi" w:hAnsiTheme="majorHAnsi" w:cstheme="majorHAnsi"/>
          <w:color w:val="auto"/>
        </w:rPr>
      </w:pPr>
      <w:r w:rsidRPr="00ED3879">
        <w:rPr>
          <w:rFonts w:asciiTheme="majorHAnsi" w:hAnsiTheme="majorHAnsi" w:cstheme="majorHAnsi"/>
          <w:color w:val="auto"/>
        </w:rPr>
        <w:t xml:space="preserve">We used </w:t>
      </w:r>
      <w:proofErr w:type="spellStart"/>
      <w:r w:rsidRPr="00ED3879">
        <w:rPr>
          <w:rFonts w:asciiTheme="majorHAnsi" w:hAnsiTheme="majorHAnsi" w:cstheme="majorHAnsi"/>
          <w:color w:val="auto"/>
        </w:rPr>
        <w:t>aminated</w:t>
      </w:r>
      <w:proofErr w:type="spellEnd"/>
      <w:r w:rsidRPr="00ED3879">
        <w:rPr>
          <w:rFonts w:asciiTheme="majorHAnsi" w:hAnsiTheme="majorHAnsi" w:cstheme="majorHAnsi"/>
          <w:color w:val="auto"/>
        </w:rPr>
        <w:t xml:space="preserve"> PCR suppression primers for WTA, and the contamination rate from the WTA adaptor regions increased with the use of non-</w:t>
      </w:r>
      <w:proofErr w:type="spellStart"/>
      <w:r w:rsidRPr="00ED3879">
        <w:rPr>
          <w:rFonts w:asciiTheme="majorHAnsi" w:hAnsiTheme="majorHAnsi" w:cstheme="majorHAnsi"/>
          <w:color w:val="auto"/>
        </w:rPr>
        <w:t>aminated</w:t>
      </w:r>
      <w:proofErr w:type="spellEnd"/>
      <w:r w:rsidRPr="00ED3879">
        <w:rPr>
          <w:rFonts w:asciiTheme="majorHAnsi" w:hAnsiTheme="majorHAnsi" w:cstheme="majorHAnsi"/>
          <w:color w:val="auto"/>
        </w:rPr>
        <w:t xml:space="preserve"> primers (13.27 ± 0.13 %).</w:t>
      </w:r>
    </w:p>
    <w:p w14:paraId="083440EC" w14:textId="77777777" w:rsidR="007528B3" w:rsidRPr="00ED3879" w:rsidRDefault="007528B3" w:rsidP="007528B3">
      <w:pPr>
        <w:pStyle w:val="Normal1"/>
        <w:rPr>
          <w:rFonts w:asciiTheme="majorHAnsi" w:hAnsiTheme="majorHAnsi" w:cstheme="majorHAnsi"/>
          <w:color w:val="auto"/>
        </w:rPr>
      </w:pPr>
    </w:p>
    <w:p w14:paraId="57AB5CF9" w14:textId="77777777" w:rsidR="007528B3" w:rsidRPr="00ED3879" w:rsidRDefault="007528B3" w:rsidP="007528B3">
      <w:pPr>
        <w:pStyle w:val="Normal1"/>
        <w:rPr>
          <w:rFonts w:asciiTheme="majorHAnsi" w:hAnsiTheme="majorHAnsi" w:cstheme="majorHAnsi"/>
          <w:b/>
          <w:color w:val="auto"/>
        </w:rPr>
      </w:pPr>
      <w:r w:rsidRPr="00ED3879">
        <w:rPr>
          <w:rFonts w:asciiTheme="majorHAnsi" w:hAnsiTheme="majorHAnsi" w:cstheme="majorHAnsi"/>
          <w:b/>
          <w:color w:val="auto"/>
        </w:rPr>
        <w:t>Evaluation of Quartz-</w:t>
      </w:r>
      <w:proofErr w:type="spellStart"/>
      <w:r w:rsidRPr="00ED3879">
        <w:rPr>
          <w:rFonts w:asciiTheme="majorHAnsi" w:hAnsiTheme="majorHAnsi" w:cstheme="majorHAnsi"/>
          <w:b/>
          <w:color w:val="auto"/>
        </w:rPr>
        <w:t>Seq</w:t>
      </w:r>
      <w:proofErr w:type="spellEnd"/>
      <w:r w:rsidRPr="00ED3879">
        <w:rPr>
          <w:rFonts w:asciiTheme="majorHAnsi" w:hAnsiTheme="majorHAnsi" w:cstheme="majorHAnsi"/>
          <w:b/>
          <w:color w:val="auto"/>
        </w:rPr>
        <w:t xml:space="preserve"> with an unpurified single-cell-sized sample</w:t>
      </w:r>
    </w:p>
    <w:p w14:paraId="6147317D" w14:textId="0FF7633D" w:rsidR="007528B3" w:rsidRPr="00ED3879" w:rsidRDefault="007528B3" w:rsidP="007528B3">
      <w:pPr>
        <w:widowControl/>
        <w:tabs>
          <w:tab w:val="left" w:pos="5529"/>
        </w:tabs>
        <w:spacing w:line="276" w:lineRule="auto"/>
        <w:jc w:val="left"/>
        <w:rPr>
          <w:rFonts w:asciiTheme="majorHAnsi" w:eastAsia="Times New Roman" w:hAnsiTheme="majorHAnsi" w:cstheme="majorHAnsi"/>
          <w:color w:val="000000"/>
          <w:kern w:val="0"/>
          <w:sz w:val="22"/>
        </w:rPr>
      </w:pPr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We demonstrated the results of single-cell Quartz-</w:t>
      </w:r>
      <w:proofErr w:type="spellStart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Seq</w:t>
      </w:r>
      <w:proofErr w:type="spellEnd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with 10 </w:t>
      </w:r>
      <w:proofErr w:type="spellStart"/>
      <w:proofErr w:type="gramStart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pg</w:t>
      </w:r>
      <w:proofErr w:type="spellEnd"/>
      <w:proofErr w:type="gramEnd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of purified total RNA, which does not contain crude cell lysate. We should also evaluate single-cell Quartz-</w:t>
      </w:r>
      <w:proofErr w:type="spellStart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Seq</w:t>
      </w:r>
      <w:proofErr w:type="spellEnd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using a single-cell-sized sample containing crude cell lysate. We performed single-cell Quartz-</w:t>
      </w:r>
      <w:proofErr w:type="spellStart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Seq</w:t>
      </w:r>
      <w:proofErr w:type="spellEnd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with unpurified single-cell-sized samples of pooled cells. We present all of the evaluation data (e.g., Pearson correlation coefficient and the number of detected transcripts) in </w:t>
      </w:r>
      <w:r>
        <w:rPr>
          <w:rFonts w:asciiTheme="majorHAnsi" w:eastAsia="Times New Roman" w:hAnsiTheme="majorHAnsi" w:cstheme="majorHAnsi"/>
          <w:color w:val="000000"/>
          <w:kern w:val="0"/>
          <w:sz w:val="22"/>
        </w:rPr>
        <w:t>Supplementary</w:t>
      </w:r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table 1 (with an isolated single-cell sheet and a single-cell-level sample). </w:t>
      </w:r>
      <w:r w:rsidRPr="00ED3879">
        <w:rPr>
          <w:rFonts w:asciiTheme="majorHAnsi" w:hAnsiTheme="majorHAnsi" w:cstheme="majorHAnsi"/>
          <w:color w:val="000000"/>
          <w:kern w:val="0"/>
          <w:sz w:val="22"/>
        </w:rPr>
        <w:t>We prepared an unpurified single-cell-sized sample for Quartz-Seq</w:t>
      </w:r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. We used ES and </w:t>
      </w:r>
      <w:proofErr w:type="spellStart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PrE</w:t>
      </w:r>
      <w:proofErr w:type="spellEnd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cells in G1 phase, which contained approximately 6 </w:t>
      </w:r>
      <w:proofErr w:type="spellStart"/>
      <w:proofErr w:type="gramStart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pg</w:t>
      </w:r>
      <w:proofErr w:type="spellEnd"/>
      <w:proofErr w:type="gramEnd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o</w:t>
      </w:r>
      <w:r w:rsidR="00E8079A">
        <w:rPr>
          <w:rFonts w:asciiTheme="majorHAnsi" w:eastAsia="Times New Roman" w:hAnsiTheme="majorHAnsi" w:cstheme="majorHAnsi"/>
          <w:color w:val="000000"/>
          <w:kern w:val="0"/>
          <w:sz w:val="22"/>
        </w:rPr>
        <w:t>f total RNA per cell (</w:t>
      </w:r>
      <w:r w:rsidR="00574CF8">
        <w:rPr>
          <w:rFonts w:asciiTheme="majorHAnsi" w:hAnsiTheme="majorHAnsi" w:cstheme="majorHAnsi"/>
          <w:sz w:val="22"/>
        </w:rPr>
        <w:t xml:space="preserve">see Additional file 1, </w:t>
      </w:r>
      <w:bookmarkStart w:id="0" w:name="_GoBack"/>
      <w:r w:rsidR="00E8079A">
        <w:rPr>
          <w:rFonts w:asciiTheme="majorHAnsi" w:eastAsia="Times New Roman" w:hAnsiTheme="majorHAnsi" w:cstheme="majorHAnsi"/>
          <w:color w:val="000000"/>
          <w:kern w:val="0"/>
          <w:sz w:val="22"/>
        </w:rPr>
        <w:t>Figure S</w:t>
      </w:r>
      <w:bookmarkEnd w:id="0"/>
      <w:r w:rsidR="00E8079A">
        <w:rPr>
          <w:rFonts w:asciiTheme="majorHAnsi" w:eastAsia="Times New Roman" w:hAnsiTheme="majorHAnsi" w:cstheme="majorHAnsi"/>
          <w:color w:val="000000"/>
          <w:kern w:val="0"/>
          <w:sz w:val="22"/>
        </w:rPr>
        <w:t>14</w:t>
      </w:r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)</w:t>
      </w:r>
      <w:r w:rsidRPr="00ED3879">
        <w:rPr>
          <w:rFonts w:asciiTheme="majorHAnsi" w:hAnsiTheme="majorHAnsi" w:cstheme="majorHAnsi"/>
          <w:color w:val="000000"/>
          <w:kern w:val="0"/>
          <w:sz w:val="22"/>
        </w:rPr>
        <w:t xml:space="preserve">. Twelve single cells in G1 phase were dissolved in a 12-fold volume of </w:t>
      </w:r>
      <w:proofErr w:type="spellStart"/>
      <w:r w:rsidRPr="00ED3879">
        <w:rPr>
          <w:rFonts w:asciiTheme="majorHAnsi" w:hAnsiTheme="majorHAnsi" w:cstheme="majorHAnsi"/>
          <w:color w:val="000000"/>
          <w:kern w:val="0"/>
          <w:sz w:val="22"/>
        </w:rPr>
        <w:t>lysis</w:t>
      </w:r>
      <w:proofErr w:type="spellEnd"/>
      <w:r w:rsidRPr="00ED3879">
        <w:rPr>
          <w:rFonts w:asciiTheme="majorHAnsi" w:hAnsiTheme="majorHAnsi" w:cstheme="majorHAnsi"/>
          <w:color w:val="000000"/>
          <w:kern w:val="0"/>
          <w:sz w:val="22"/>
        </w:rPr>
        <w:t xml:space="preserve"> buffer. Subsequently, </w:t>
      </w:r>
      <w:r>
        <w:rPr>
          <w:rFonts w:asciiTheme="majorHAnsi" w:hAnsiTheme="majorHAnsi" w:cstheme="majorHAnsi"/>
          <w:color w:val="000000"/>
          <w:kern w:val="0"/>
          <w:sz w:val="22"/>
        </w:rPr>
        <w:t xml:space="preserve">a single-cell-sized </w:t>
      </w:r>
      <w:proofErr w:type="spellStart"/>
      <w:r>
        <w:rPr>
          <w:rFonts w:asciiTheme="majorHAnsi" w:hAnsiTheme="majorHAnsi" w:cstheme="majorHAnsi"/>
          <w:color w:val="000000"/>
          <w:kern w:val="0"/>
          <w:sz w:val="22"/>
        </w:rPr>
        <w:t>lysis</w:t>
      </w:r>
      <w:proofErr w:type="spellEnd"/>
      <w:r>
        <w:rPr>
          <w:rFonts w:asciiTheme="majorHAnsi" w:hAnsiTheme="majorHAnsi" w:cstheme="majorHAnsi"/>
          <w:color w:val="000000"/>
          <w:kern w:val="0"/>
          <w:sz w:val="22"/>
        </w:rPr>
        <w:t xml:space="preserve"> sample was dispensed into single PCR tube. </w:t>
      </w:r>
      <w:r w:rsidRPr="00ED3879">
        <w:rPr>
          <w:rFonts w:asciiTheme="majorHAnsi" w:hAnsiTheme="majorHAnsi" w:cstheme="majorHAnsi"/>
          <w:color w:val="000000"/>
          <w:kern w:val="0"/>
          <w:sz w:val="22"/>
        </w:rPr>
        <w:t>Quartz-</w:t>
      </w:r>
      <w:proofErr w:type="spellStart"/>
      <w:r w:rsidRPr="00ED3879">
        <w:rPr>
          <w:rFonts w:asciiTheme="majorHAnsi" w:hAnsiTheme="majorHAnsi" w:cstheme="majorHAnsi"/>
          <w:color w:val="000000"/>
          <w:kern w:val="0"/>
          <w:sz w:val="22"/>
        </w:rPr>
        <w:t>Seq</w:t>
      </w:r>
      <w:proofErr w:type="spellEnd"/>
      <w:r w:rsidRPr="00ED3879">
        <w:rPr>
          <w:rFonts w:asciiTheme="majorHAnsi" w:hAnsiTheme="majorHAnsi" w:cstheme="majorHAnsi"/>
          <w:color w:val="000000"/>
          <w:kern w:val="0"/>
          <w:sz w:val="22"/>
        </w:rPr>
        <w:t xml:space="preserve"> was capable of reproducibly detecting 6,977 ± 122.9 transcripts in a mouse ES single-cell-sized sample in G1 phase (n = 3) and 6,996.4 ± 40.8 transcripts in a mouse </w:t>
      </w:r>
      <w:proofErr w:type="spellStart"/>
      <w:r w:rsidRPr="00ED3879">
        <w:rPr>
          <w:rFonts w:asciiTheme="majorHAnsi" w:hAnsiTheme="majorHAnsi" w:cstheme="majorHAnsi"/>
          <w:color w:val="000000"/>
          <w:kern w:val="0"/>
          <w:sz w:val="22"/>
        </w:rPr>
        <w:t>PrE</w:t>
      </w:r>
      <w:proofErr w:type="spellEnd"/>
      <w:r w:rsidRPr="00ED3879">
        <w:rPr>
          <w:rFonts w:asciiTheme="majorHAnsi" w:hAnsiTheme="majorHAnsi" w:cstheme="majorHAnsi"/>
          <w:color w:val="000000"/>
          <w:kern w:val="0"/>
          <w:sz w:val="22"/>
        </w:rPr>
        <w:t xml:space="preserve"> single-cell-sized sample in G1 phase (n = 6). The Pearson correlation coefficient (PCC) between pairs of samples with a single-cell-sized sample was as follows: ES vs. ES, 0.85 ± 0.004; </w:t>
      </w:r>
      <w:proofErr w:type="spellStart"/>
      <w:r w:rsidRPr="00ED3879">
        <w:rPr>
          <w:rFonts w:asciiTheme="majorHAnsi" w:hAnsiTheme="majorHAnsi" w:cstheme="majorHAnsi"/>
          <w:color w:val="000000"/>
          <w:kern w:val="0"/>
          <w:sz w:val="22"/>
        </w:rPr>
        <w:t>PrE</w:t>
      </w:r>
      <w:proofErr w:type="spellEnd"/>
      <w:r w:rsidRPr="00ED3879">
        <w:rPr>
          <w:rFonts w:asciiTheme="majorHAnsi" w:hAnsiTheme="majorHAnsi" w:cstheme="majorHAnsi"/>
          <w:color w:val="000000"/>
          <w:kern w:val="0"/>
          <w:sz w:val="22"/>
        </w:rPr>
        <w:t xml:space="preserve"> vs. </w:t>
      </w:r>
      <w:proofErr w:type="spellStart"/>
      <w:r w:rsidRPr="00ED3879">
        <w:rPr>
          <w:rFonts w:asciiTheme="majorHAnsi" w:hAnsiTheme="majorHAnsi" w:cstheme="majorHAnsi"/>
          <w:color w:val="000000"/>
          <w:kern w:val="0"/>
          <w:sz w:val="22"/>
        </w:rPr>
        <w:t>PrE</w:t>
      </w:r>
      <w:proofErr w:type="spellEnd"/>
      <w:r w:rsidRPr="00ED3879">
        <w:rPr>
          <w:rFonts w:asciiTheme="majorHAnsi" w:hAnsiTheme="majorHAnsi" w:cstheme="majorHAnsi"/>
          <w:color w:val="000000"/>
          <w:kern w:val="0"/>
          <w:sz w:val="22"/>
        </w:rPr>
        <w:t xml:space="preserve">, 0.852 ± 0.003; and ES vs. </w:t>
      </w:r>
      <w:proofErr w:type="spellStart"/>
      <w:r w:rsidRPr="00ED3879">
        <w:rPr>
          <w:rFonts w:asciiTheme="majorHAnsi" w:hAnsiTheme="majorHAnsi" w:cstheme="majorHAnsi"/>
          <w:color w:val="000000"/>
          <w:kern w:val="0"/>
          <w:sz w:val="22"/>
        </w:rPr>
        <w:t>PrE</w:t>
      </w:r>
      <w:proofErr w:type="spellEnd"/>
      <w:r w:rsidRPr="00ED3879">
        <w:rPr>
          <w:rFonts w:asciiTheme="majorHAnsi" w:hAnsiTheme="majorHAnsi" w:cstheme="majorHAnsi"/>
          <w:color w:val="000000"/>
          <w:kern w:val="0"/>
          <w:sz w:val="22"/>
        </w:rPr>
        <w:t xml:space="preserve">, 0.782 ± 0.003. The PCC between pairs of samples using 10 </w:t>
      </w:r>
      <w:proofErr w:type="spellStart"/>
      <w:proofErr w:type="gramStart"/>
      <w:r w:rsidRPr="00ED3879">
        <w:rPr>
          <w:rFonts w:asciiTheme="majorHAnsi" w:hAnsiTheme="majorHAnsi" w:cstheme="majorHAnsi"/>
          <w:color w:val="000000"/>
          <w:kern w:val="0"/>
          <w:sz w:val="22"/>
        </w:rPr>
        <w:t>pg</w:t>
      </w:r>
      <w:proofErr w:type="spellEnd"/>
      <w:proofErr w:type="gramEnd"/>
      <w:r w:rsidRPr="00ED3879">
        <w:rPr>
          <w:rFonts w:asciiTheme="majorHAnsi" w:hAnsiTheme="majorHAnsi" w:cstheme="majorHAnsi"/>
          <w:color w:val="000000"/>
          <w:kern w:val="0"/>
          <w:sz w:val="22"/>
        </w:rPr>
        <w:t xml:space="preserve"> of purified total RNA was 0.93 ± 0.002. The PCC of Quartz-</w:t>
      </w:r>
      <w:proofErr w:type="spellStart"/>
      <w:r w:rsidRPr="00ED3879">
        <w:rPr>
          <w:rFonts w:asciiTheme="majorHAnsi" w:hAnsiTheme="majorHAnsi" w:cstheme="majorHAnsi"/>
          <w:color w:val="000000"/>
          <w:kern w:val="0"/>
          <w:sz w:val="22"/>
        </w:rPr>
        <w:t>Seq</w:t>
      </w:r>
      <w:proofErr w:type="spellEnd"/>
      <w:r w:rsidRPr="00ED3879">
        <w:rPr>
          <w:rFonts w:asciiTheme="majorHAnsi" w:hAnsiTheme="majorHAnsi" w:cstheme="majorHAnsi"/>
          <w:color w:val="000000"/>
          <w:kern w:val="0"/>
          <w:sz w:val="22"/>
        </w:rPr>
        <w:t xml:space="preserve"> with only 6 </w:t>
      </w:r>
      <w:proofErr w:type="spellStart"/>
      <w:proofErr w:type="gramStart"/>
      <w:r w:rsidRPr="00ED3879">
        <w:rPr>
          <w:rFonts w:asciiTheme="majorHAnsi" w:hAnsiTheme="majorHAnsi" w:cstheme="majorHAnsi"/>
          <w:color w:val="000000"/>
          <w:kern w:val="0"/>
          <w:sz w:val="22"/>
        </w:rPr>
        <w:t>pg</w:t>
      </w:r>
      <w:proofErr w:type="spellEnd"/>
      <w:proofErr w:type="gramEnd"/>
      <w:r w:rsidRPr="00ED3879">
        <w:rPr>
          <w:rFonts w:asciiTheme="majorHAnsi" w:hAnsiTheme="majorHAnsi" w:cstheme="majorHAnsi"/>
          <w:color w:val="000000"/>
          <w:kern w:val="0"/>
          <w:sz w:val="22"/>
        </w:rPr>
        <w:t xml:space="preserve"> of a single-cell-sized sample was sufficiently high to reveal non-genetic gene expression heterogeneity. </w:t>
      </w:r>
    </w:p>
    <w:p w14:paraId="03426ACC" w14:textId="77777777" w:rsidR="007528B3" w:rsidRPr="00D8526F" w:rsidRDefault="007528B3" w:rsidP="007528B3">
      <w:pPr>
        <w:pStyle w:val="Normal1"/>
        <w:rPr>
          <w:rFonts w:asciiTheme="majorHAnsi" w:hAnsiTheme="majorHAnsi" w:cstheme="majorHAnsi"/>
          <w:b/>
          <w:color w:val="auto"/>
        </w:rPr>
      </w:pPr>
      <w:r w:rsidRPr="00D8526F">
        <w:rPr>
          <w:rFonts w:asciiTheme="majorHAnsi" w:hAnsiTheme="majorHAnsi" w:cstheme="majorHAnsi"/>
          <w:b/>
          <w:kern w:val="0"/>
        </w:rPr>
        <w:lastRenderedPageBreak/>
        <w:t xml:space="preserve">The </w:t>
      </w:r>
      <w:r w:rsidRPr="00D8526F">
        <w:rPr>
          <w:rFonts w:asciiTheme="majorHAnsi" w:eastAsia="Times New Roman" w:hAnsiTheme="majorHAnsi" w:cstheme="majorHAnsi"/>
          <w:b/>
          <w:kern w:val="0"/>
        </w:rPr>
        <w:t xml:space="preserve">PCCs and numbers of detected transcripts </w:t>
      </w:r>
      <w:r w:rsidRPr="00D8526F">
        <w:rPr>
          <w:rFonts w:asciiTheme="majorHAnsi" w:hAnsiTheme="majorHAnsi" w:cstheme="majorHAnsi"/>
          <w:b/>
          <w:kern w:val="0"/>
        </w:rPr>
        <w:t>of single-cell RNA-</w:t>
      </w:r>
      <w:proofErr w:type="spellStart"/>
      <w:r w:rsidRPr="00D8526F">
        <w:rPr>
          <w:rFonts w:asciiTheme="majorHAnsi" w:hAnsiTheme="majorHAnsi" w:cstheme="majorHAnsi"/>
          <w:b/>
          <w:kern w:val="0"/>
        </w:rPr>
        <w:t>seq</w:t>
      </w:r>
      <w:proofErr w:type="spellEnd"/>
      <w:r w:rsidRPr="00D8526F">
        <w:rPr>
          <w:rFonts w:asciiTheme="majorHAnsi" w:hAnsiTheme="majorHAnsi" w:cstheme="majorHAnsi"/>
          <w:b/>
          <w:kern w:val="0"/>
        </w:rPr>
        <w:t xml:space="preserve"> data with isolated single cells</w:t>
      </w:r>
    </w:p>
    <w:p w14:paraId="2607B42E" w14:textId="4FED2811" w:rsidR="007528B3" w:rsidRPr="007528B3" w:rsidRDefault="007528B3" w:rsidP="007528B3">
      <w:pPr>
        <w:widowControl/>
        <w:spacing w:line="276" w:lineRule="auto"/>
        <w:jc w:val="left"/>
        <w:rPr>
          <w:rFonts w:asciiTheme="majorHAnsi" w:eastAsia="Times New Roman" w:hAnsiTheme="majorHAnsi" w:cstheme="majorHAnsi"/>
          <w:color w:val="000000"/>
          <w:kern w:val="0"/>
          <w:sz w:val="22"/>
        </w:rPr>
      </w:pPr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We also presented the variability of isolated single cells. Quartz-</w:t>
      </w:r>
      <w:proofErr w:type="spellStart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Seq</w:t>
      </w:r>
      <w:proofErr w:type="spellEnd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was capable of reproducibly detecting 5,758.8 ± 524.2 transcripts in mouse ES single cells in G1 phase (n = 12) and 6,298.8 ± 489.6 transcripts in mouse </w:t>
      </w:r>
      <w:proofErr w:type="spellStart"/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P</w:t>
      </w:r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>rE</w:t>
      </w:r>
      <w:proofErr w:type="spellEnd"/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single cells in G1 phase (n = 12). The PCC between pairs of real single-cells was as follows: ES vs. ES, 0.79 ± 0.01; </w:t>
      </w:r>
      <w:proofErr w:type="spellStart"/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>PrE</w:t>
      </w:r>
      <w:proofErr w:type="spellEnd"/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vs. </w:t>
      </w:r>
      <w:proofErr w:type="spellStart"/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>PrE</w:t>
      </w:r>
      <w:proofErr w:type="spellEnd"/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, 0.807 ± 0.02; and ES vs. </w:t>
      </w:r>
      <w:proofErr w:type="spellStart"/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>PrE</w:t>
      </w:r>
      <w:proofErr w:type="spellEnd"/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>, 0.729 ± 0.01. The PCC between pairs of single-cell Smart-</w:t>
      </w:r>
      <w:proofErr w:type="spellStart"/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>Seq</w:t>
      </w:r>
      <w:proofErr w:type="spellEnd"/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data with T24 cells has been reported to be approximately 0.74 </w:t>
      </w:r>
      <w:r w:rsidR="004E03D9">
        <w:rPr>
          <w:rFonts w:asciiTheme="majorHAnsi" w:hAnsiTheme="majorHAnsi" w:cstheme="majorHAnsi"/>
        </w:rPr>
        <w:fldChar w:fldCharType="begin"/>
      </w:r>
      <w:r w:rsidR="004E03D9">
        <w:rPr>
          <w:rFonts w:asciiTheme="majorHAnsi" w:hAnsiTheme="majorHAnsi" w:cstheme="majorHAnsi"/>
        </w:rPr>
        <w:instrText xml:space="preserve"> ADDIN EN.CITE &lt;EndNote&gt;&lt;Cite&gt;&lt;Author&gt;Ramskold&lt;/Author&gt;&lt;Year&gt;2012&lt;/Year&gt;&lt;RecNum&gt;14&lt;/RecNum&gt;&lt;DisplayText&gt;[2]&lt;/DisplayText&gt;&lt;record&gt;&lt;rec-number&gt;14&lt;/rec-number&gt;&lt;foreign-keys&gt;&lt;key app="EN" db-id="zdz9wst080fad8eptrqxzddjz2ez2aswdefr"&gt;14&lt;/key&gt;&lt;/foreign-keys&gt;&lt;ref-type name="Journal Article"&gt;17&lt;/ref-type&gt;&lt;contributors&gt;&lt;authors&gt;&lt;author&gt;Ramskold, D.&lt;/author&gt;&lt;author&gt;Luo, S.&lt;/author&gt;&lt;author&gt;Wang, Y. C.&lt;/author&gt;&lt;author&gt;Li, R.&lt;/author&gt;&lt;author&gt;Deng, Q.&lt;/author&gt;&lt;author&gt;Faridani, O. R.&lt;/author&gt;&lt;author&gt;Daniels, G. A.&lt;/author&gt;&lt;author&gt;Khrebtukova, I.&lt;/author&gt;&lt;author&gt;Loring, J. F.&lt;/author&gt;&lt;author&gt;Laurent, L. C.&lt;/author&gt;&lt;author&gt;Schroth, G. P.&lt;/author&gt;&lt;author&gt;Sandberg, R.&lt;/author&gt;&lt;/authors&gt;&lt;/contributors&gt;&lt;auth-address&gt;1] Ludwig Institute for Cancer Research, Stockholm, Sweden. [2] Department of Cell and Molecular Biology, Karolinska Institutet, Stockholm, Sweden. [3].&lt;/auth-address&gt;&lt;titles&gt;&lt;title&gt;Full-length mRNA-Seq from single-cell levels of RNA and individual circulating tumor cells&lt;/title&gt;&lt;secondary-title&gt;Nat Biotechnol&lt;/secondary-title&gt;&lt;/titles&gt;&lt;periodical&gt;&lt;full-title&gt;Nat Biotechnol&lt;/full-title&gt;&lt;/periodical&gt;&lt;edition&gt;2012/07/24&lt;/edition&gt;&lt;dates&gt;&lt;year&gt;2012&lt;/year&gt;&lt;pub-dates&gt;&lt;date&gt;Jul 22&lt;/date&gt;&lt;/pub-dates&gt;&lt;/dates&gt;&lt;isbn&gt;1546-1696 (Electronic)&amp;#xD;1087-0156 (Linking)&lt;/isbn&gt;&lt;accession-num&gt;22820318&lt;/accession-num&gt;&lt;urls&gt;&lt;related-urls&gt;&lt;url&gt;&lt;style face="underline" font="default" size="100%"&gt;http://www.ncbi.nlm.nih.gov/entrez/query.fcgi?cmd=Retrieve&amp;amp;db=PubMed&amp;amp;dopt=Citation&amp;amp;list_uids=22820318&lt;/style&gt;&lt;/url&gt;&lt;/related-urls&gt;&lt;/urls&gt;&lt;electronic-resource-num&gt;&lt;style face="underline" font="default" size="100%"&gt;nbt.2282 [pii]&lt;/style&gt;&lt;style face="normal" font="default" size="100%"&gt;&amp;#xD;&lt;/style&gt;&lt;style face="underline" font="default" size="100%"&gt;10.1038/nbt.2282&lt;/style&gt;&lt;/electronic-resource-num&gt;&lt;language&gt;Eng&lt;/language&gt;&lt;/record&gt;&lt;/Cite&gt;&lt;/EndNote&gt;</w:instrText>
      </w:r>
      <w:r w:rsidR="004E03D9">
        <w:rPr>
          <w:rFonts w:asciiTheme="majorHAnsi" w:hAnsiTheme="majorHAnsi" w:cstheme="majorHAnsi"/>
        </w:rPr>
        <w:fldChar w:fldCharType="separate"/>
      </w:r>
      <w:r w:rsidR="004E03D9">
        <w:rPr>
          <w:rFonts w:asciiTheme="majorHAnsi" w:hAnsiTheme="majorHAnsi" w:cstheme="majorHAnsi"/>
          <w:noProof/>
        </w:rPr>
        <w:t>[</w:t>
      </w:r>
      <w:hyperlink w:anchor="_ENREF_2" w:tooltip="Ramskold, 2012 #14" w:history="1">
        <w:r w:rsidR="004E03D9">
          <w:rPr>
            <w:rFonts w:asciiTheme="majorHAnsi" w:hAnsiTheme="majorHAnsi" w:cstheme="majorHAnsi"/>
            <w:noProof/>
          </w:rPr>
          <w:t>2</w:t>
        </w:r>
      </w:hyperlink>
      <w:r w:rsidR="004E03D9">
        <w:rPr>
          <w:rFonts w:asciiTheme="majorHAnsi" w:hAnsiTheme="majorHAnsi" w:cstheme="majorHAnsi"/>
          <w:noProof/>
        </w:rPr>
        <w:t>]</w:t>
      </w:r>
      <w:r w:rsidR="004E03D9">
        <w:rPr>
          <w:rFonts w:asciiTheme="majorHAnsi" w:hAnsiTheme="majorHAnsi" w:cstheme="majorHAnsi"/>
        </w:rPr>
        <w:fldChar w:fldCharType="end"/>
      </w:r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. T24 cells contained approximately 20 </w:t>
      </w:r>
      <w:proofErr w:type="spellStart"/>
      <w:proofErr w:type="gramStart"/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>pg</w:t>
      </w:r>
      <w:proofErr w:type="spellEnd"/>
      <w:proofErr w:type="gramEnd"/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of total RNA per cell. Our single-cell Quartz-</w:t>
      </w:r>
      <w:proofErr w:type="spellStart"/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>Seq</w:t>
      </w:r>
      <w:proofErr w:type="spellEnd"/>
      <w:r w:rsidRPr="007528B3">
        <w:rPr>
          <w:rFonts w:asciiTheme="majorHAnsi" w:eastAsia="Times New Roman" w:hAnsiTheme="majorHAnsi" w:cstheme="majorHAnsi"/>
          <w:color w:val="000000"/>
          <w:kern w:val="0"/>
          <w:sz w:val="22"/>
        </w:rPr>
        <w:t xml:space="preserve"> worked well for real single cells. </w:t>
      </w:r>
    </w:p>
    <w:p w14:paraId="109818AA" w14:textId="77777777" w:rsidR="007528B3" w:rsidRPr="00ED3879" w:rsidRDefault="007528B3" w:rsidP="007528B3">
      <w:pPr>
        <w:widowControl/>
        <w:spacing w:line="276" w:lineRule="auto"/>
        <w:ind w:firstLine="720"/>
        <w:jc w:val="left"/>
        <w:rPr>
          <w:rFonts w:asciiTheme="majorHAnsi" w:eastAsia="Times New Roman" w:hAnsiTheme="majorHAnsi" w:cstheme="majorHAnsi"/>
          <w:color w:val="000000"/>
          <w:kern w:val="0"/>
          <w:sz w:val="22"/>
        </w:rPr>
      </w:pPr>
      <w:r w:rsidRPr="007528B3">
        <w:rPr>
          <w:rFonts w:asciiTheme="majorHAnsi" w:hAnsiTheme="majorHAnsi" w:cstheme="majorHAnsi"/>
          <w:sz w:val="22"/>
        </w:rPr>
        <w:t>We reanalyzed the CEL-</w:t>
      </w:r>
      <w:proofErr w:type="spellStart"/>
      <w:r w:rsidRPr="007528B3">
        <w:rPr>
          <w:rFonts w:asciiTheme="majorHAnsi" w:hAnsiTheme="majorHAnsi" w:cstheme="majorHAnsi"/>
          <w:sz w:val="22"/>
        </w:rPr>
        <w:t>Seq</w:t>
      </w:r>
      <w:proofErr w:type="spellEnd"/>
      <w:r w:rsidRPr="007528B3">
        <w:rPr>
          <w:rFonts w:asciiTheme="majorHAnsi" w:hAnsiTheme="majorHAnsi" w:cstheme="majorHAnsi"/>
          <w:sz w:val="22"/>
        </w:rPr>
        <w:t xml:space="preserve"> data with a mouse ES cell. We counted the number of highly reproducible expressed transcripts that were larger than </w:t>
      </w:r>
      <w:r w:rsidRPr="00ED3879">
        <w:rPr>
          <w:rFonts w:asciiTheme="majorHAnsi" w:hAnsiTheme="majorHAnsi" w:cstheme="majorHAnsi"/>
          <w:sz w:val="22"/>
        </w:rPr>
        <w:t xml:space="preserve">1.0 in </w:t>
      </w:r>
      <w:proofErr w:type="spellStart"/>
      <w:r w:rsidRPr="00ED3879">
        <w:rPr>
          <w:rFonts w:asciiTheme="majorHAnsi" w:hAnsiTheme="majorHAnsi" w:cstheme="majorHAnsi"/>
          <w:sz w:val="22"/>
        </w:rPr>
        <w:t>tpm</w:t>
      </w:r>
      <w:proofErr w:type="spellEnd"/>
      <w:r w:rsidRPr="00ED3879">
        <w:rPr>
          <w:rFonts w:asciiTheme="majorHAnsi" w:hAnsiTheme="majorHAnsi" w:cstheme="majorHAnsi"/>
          <w:sz w:val="22"/>
        </w:rPr>
        <w:t xml:space="preserve"> using those data. CEL-</w:t>
      </w:r>
      <w:proofErr w:type="spellStart"/>
      <w:r w:rsidRPr="00ED3879">
        <w:rPr>
          <w:rFonts w:asciiTheme="majorHAnsi" w:hAnsiTheme="majorHAnsi" w:cstheme="majorHAnsi"/>
          <w:sz w:val="22"/>
        </w:rPr>
        <w:t>Seq</w:t>
      </w:r>
      <w:proofErr w:type="spellEnd"/>
      <w:r w:rsidRPr="00ED3879">
        <w:rPr>
          <w:rFonts w:asciiTheme="majorHAnsi" w:hAnsiTheme="majorHAnsi" w:cstheme="majorHAnsi"/>
          <w:sz w:val="22"/>
        </w:rPr>
        <w:t xml:space="preserve"> detected 4,070.3 ± 332.4 transcripts in mouse ES single-cells (n = 9). However, Quartz-</w:t>
      </w:r>
      <w:proofErr w:type="spellStart"/>
      <w:r w:rsidRPr="00ED3879">
        <w:rPr>
          <w:rFonts w:asciiTheme="majorHAnsi" w:hAnsiTheme="majorHAnsi" w:cstheme="majorHAnsi"/>
          <w:sz w:val="22"/>
        </w:rPr>
        <w:t>Seq</w:t>
      </w:r>
      <w:proofErr w:type="spellEnd"/>
      <w:r w:rsidRPr="00ED3879">
        <w:rPr>
          <w:rFonts w:asciiTheme="majorHAnsi" w:hAnsiTheme="majorHAnsi" w:cstheme="majorHAnsi"/>
          <w:sz w:val="22"/>
        </w:rPr>
        <w:t xml:space="preserve"> detected 6,069.1 ± 854.9 transcripts in mouse ES single-cells in all cell-cycle phases (n = 35). The PCC of Quartz-</w:t>
      </w:r>
      <w:proofErr w:type="spellStart"/>
      <w:r w:rsidRPr="00ED3879">
        <w:rPr>
          <w:rFonts w:asciiTheme="majorHAnsi" w:hAnsiTheme="majorHAnsi" w:cstheme="majorHAnsi"/>
          <w:sz w:val="22"/>
        </w:rPr>
        <w:t>Seq</w:t>
      </w:r>
      <w:proofErr w:type="spellEnd"/>
      <w:r w:rsidRPr="00ED3879">
        <w:rPr>
          <w:rFonts w:asciiTheme="majorHAnsi" w:hAnsiTheme="majorHAnsi" w:cstheme="majorHAnsi"/>
          <w:sz w:val="22"/>
        </w:rPr>
        <w:t xml:space="preserve"> was </w:t>
      </w:r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0.804 ± 0.02</w:t>
      </w:r>
      <w:r w:rsidRPr="00ED3879">
        <w:rPr>
          <w:rFonts w:asciiTheme="majorHAnsi" w:hAnsiTheme="majorHAnsi" w:cstheme="majorHAnsi"/>
          <w:sz w:val="22"/>
        </w:rPr>
        <w:t>, whereas the PCC of CEL-</w:t>
      </w:r>
      <w:proofErr w:type="spellStart"/>
      <w:r w:rsidRPr="00ED3879">
        <w:rPr>
          <w:rFonts w:asciiTheme="majorHAnsi" w:hAnsiTheme="majorHAnsi" w:cstheme="majorHAnsi"/>
          <w:sz w:val="22"/>
        </w:rPr>
        <w:t>Seq</w:t>
      </w:r>
      <w:proofErr w:type="spellEnd"/>
      <w:r w:rsidRPr="00ED3879">
        <w:rPr>
          <w:rFonts w:asciiTheme="majorHAnsi" w:hAnsiTheme="majorHAnsi" w:cstheme="majorHAnsi"/>
          <w:sz w:val="22"/>
        </w:rPr>
        <w:t xml:space="preserve"> was </w:t>
      </w:r>
      <w:r w:rsidRPr="00ED3879">
        <w:rPr>
          <w:rFonts w:asciiTheme="majorHAnsi" w:eastAsia="Times New Roman" w:hAnsiTheme="majorHAnsi" w:cstheme="majorHAnsi"/>
          <w:color w:val="000000"/>
          <w:kern w:val="0"/>
          <w:sz w:val="22"/>
        </w:rPr>
        <w:t>0.681 ± 0.03</w:t>
      </w:r>
      <w:r w:rsidRPr="00ED3879">
        <w:rPr>
          <w:rFonts w:asciiTheme="majorHAnsi" w:hAnsiTheme="majorHAnsi" w:cstheme="majorHAnsi"/>
          <w:sz w:val="22"/>
        </w:rPr>
        <w:t>. These results also suggested that single-cell Quartz-</w:t>
      </w:r>
      <w:proofErr w:type="spellStart"/>
      <w:r w:rsidRPr="00ED3879">
        <w:rPr>
          <w:rFonts w:asciiTheme="majorHAnsi" w:hAnsiTheme="majorHAnsi" w:cstheme="majorHAnsi"/>
          <w:sz w:val="22"/>
        </w:rPr>
        <w:t>Seq</w:t>
      </w:r>
      <w:proofErr w:type="spellEnd"/>
      <w:r w:rsidRPr="00ED3879">
        <w:rPr>
          <w:rFonts w:asciiTheme="majorHAnsi" w:hAnsiTheme="majorHAnsi" w:cstheme="majorHAnsi"/>
          <w:sz w:val="22"/>
        </w:rPr>
        <w:t xml:space="preserve"> has a better quantitative performance (reproducibility and sensitivity) for </w:t>
      </w:r>
      <w:r>
        <w:rPr>
          <w:rFonts w:asciiTheme="majorHAnsi" w:hAnsiTheme="majorHAnsi" w:cstheme="majorHAnsi"/>
          <w:sz w:val="22"/>
        </w:rPr>
        <w:t>real</w:t>
      </w:r>
      <w:r w:rsidRPr="00ED3879">
        <w:rPr>
          <w:rFonts w:asciiTheme="majorHAnsi" w:hAnsiTheme="majorHAnsi" w:cstheme="majorHAnsi"/>
          <w:sz w:val="22"/>
        </w:rPr>
        <w:t xml:space="preserve"> single cells.</w:t>
      </w:r>
    </w:p>
    <w:p w14:paraId="1669A2B1" w14:textId="77777777" w:rsidR="004E03D9" w:rsidRDefault="004E03D9" w:rsidP="004E03D9">
      <w:pPr>
        <w:widowControl/>
        <w:spacing w:line="276" w:lineRule="auto"/>
        <w:jc w:val="left"/>
        <w:rPr>
          <w:rFonts w:asciiTheme="majorHAnsi" w:eastAsia="Times New Roman" w:hAnsiTheme="majorHAnsi" w:cstheme="majorHAnsi"/>
          <w:kern w:val="0"/>
          <w:sz w:val="22"/>
        </w:rPr>
      </w:pPr>
    </w:p>
    <w:p w14:paraId="3EE90546" w14:textId="77777777" w:rsidR="004E03D9" w:rsidRDefault="004E03D9" w:rsidP="004E03D9">
      <w:pPr>
        <w:widowControl/>
        <w:spacing w:line="276" w:lineRule="auto"/>
        <w:jc w:val="left"/>
        <w:rPr>
          <w:rFonts w:asciiTheme="majorHAnsi" w:eastAsia="Times New Roman" w:hAnsiTheme="majorHAnsi" w:cstheme="majorHAnsi"/>
          <w:kern w:val="0"/>
          <w:sz w:val="22"/>
        </w:rPr>
      </w:pPr>
    </w:p>
    <w:p w14:paraId="1E4A1D57" w14:textId="77777777" w:rsidR="004E03D9" w:rsidRPr="004E03D9" w:rsidRDefault="004E03D9" w:rsidP="004E03D9">
      <w:pPr>
        <w:spacing w:line="276" w:lineRule="auto"/>
        <w:ind w:left="720" w:hanging="720"/>
        <w:jc w:val="left"/>
        <w:rPr>
          <w:rFonts w:ascii="Arial" w:eastAsia="Times New Roman" w:hAnsi="Arial" w:cs="Arial"/>
          <w:noProof/>
          <w:kern w:val="0"/>
          <w:sz w:val="22"/>
        </w:rPr>
      </w:pPr>
      <w:r>
        <w:rPr>
          <w:rFonts w:asciiTheme="majorHAnsi" w:eastAsia="Times New Roman" w:hAnsiTheme="majorHAnsi" w:cstheme="majorHAnsi"/>
          <w:kern w:val="0"/>
          <w:sz w:val="22"/>
        </w:rPr>
        <w:fldChar w:fldCharType="begin"/>
      </w:r>
      <w:r>
        <w:rPr>
          <w:rFonts w:asciiTheme="majorHAnsi" w:eastAsia="Times New Roman" w:hAnsiTheme="majorHAnsi" w:cstheme="majorHAnsi"/>
          <w:kern w:val="0"/>
          <w:sz w:val="22"/>
        </w:rPr>
        <w:instrText xml:space="preserve"> ADDIN EN.REFLIST </w:instrText>
      </w:r>
      <w:r>
        <w:rPr>
          <w:rFonts w:asciiTheme="majorHAnsi" w:eastAsia="Times New Roman" w:hAnsiTheme="majorHAnsi" w:cstheme="majorHAnsi"/>
          <w:kern w:val="0"/>
          <w:sz w:val="22"/>
        </w:rPr>
        <w:fldChar w:fldCharType="separate"/>
      </w:r>
      <w:bookmarkStart w:id="1" w:name="_ENREF_1"/>
      <w:r w:rsidRPr="004E03D9">
        <w:rPr>
          <w:rFonts w:ascii="Arial" w:eastAsia="Times New Roman" w:hAnsi="Arial" w:cs="Arial"/>
          <w:noProof/>
          <w:kern w:val="0"/>
          <w:sz w:val="22"/>
        </w:rPr>
        <w:t>1.</w:t>
      </w:r>
      <w:r w:rsidRPr="004E03D9">
        <w:rPr>
          <w:rFonts w:ascii="Arial" w:eastAsia="Times New Roman" w:hAnsi="Arial" w:cs="Arial"/>
          <w:noProof/>
          <w:kern w:val="0"/>
          <w:sz w:val="22"/>
        </w:rPr>
        <w:tab/>
        <w:t xml:space="preserve">Shankaranarayanan P, Mendoza-Parra MA, Walia M, Wang L, Li N, Trindade LM, Gronemeyer H: </w:t>
      </w:r>
      <w:r w:rsidRPr="004E03D9">
        <w:rPr>
          <w:rFonts w:ascii="Arial" w:eastAsia="Times New Roman" w:hAnsi="Arial" w:cs="Arial"/>
          <w:b/>
          <w:noProof/>
          <w:kern w:val="0"/>
          <w:sz w:val="22"/>
        </w:rPr>
        <w:t>Single-tube linear DNA amplification (LinDA) for robust ChIP-seq.</w:t>
      </w:r>
      <w:r w:rsidRPr="004E03D9">
        <w:rPr>
          <w:rFonts w:ascii="Arial" w:eastAsia="Times New Roman" w:hAnsi="Arial" w:cs="Arial"/>
          <w:noProof/>
          <w:kern w:val="0"/>
          <w:sz w:val="22"/>
        </w:rPr>
        <w:t xml:space="preserve"> </w:t>
      </w:r>
      <w:r w:rsidRPr="004E03D9">
        <w:rPr>
          <w:rFonts w:ascii="Arial" w:eastAsia="Times New Roman" w:hAnsi="Arial" w:cs="Arial"/>
          <w:i/>
          <w:noProof/>
          <w:kern w:val="0"/>
          <w:sz w:val="22"/>
        </w:rPr>
        <w:t xml:space="preserve">Nat Methods </w:t>
      </w:r>
      <w:r w:rsidRPr="004E03D9">
        <w:rPr>
          <w:rFonts w:ascii="Arial" w:eastAsia="Times New Roman" w:hAnsi="Arial" w:cs="Arial"/>
          <w:noProof/>
          <w:kern w:val="0"/>
          <w:sz w:val="22"/>
        </w:rPr>
        <w:t xml:space="preserve">2011, </w:t>
      </w:r>
      <w:r w:rsidRPr="004E03D9">
        <w:rPr>
          <w:rFonts w:ascii="Arial" w:eastAsia="Times New Roman" w:hAnsi="Arial" w:cs="Arial"/>
          <w:b/>
          <w:noProof/>
          <w:kern w:val="0"/>
          <w:sz w:val="22"/>
        </w:rPr>
        <w:t>8:</w:t>
      </w:r>
      <w:r w:rsidRPr="004E03D9">
        <w:rPr>
          <w:rFonts w:ascii="Arial" w:eastAsia="Times New Roman" w:hAnsi="Arial" w:cs="Arial"/>
          <w:noProof/>
          <w:kern w:val="0"/>
          <w:sz w:val="22"/>
        </w:rPr>
        <w:t>565-567.</w:t>
      </w:r>
      <w:bookmarkEnd w:id="1"/>
    </w:p>
    <w:p w14:paraId="4CCADFF3" w14:textId="77777777" w:rsidR="004E03D9" w:rsidRPr="004E03D9" w:rsidRDefault="004E03D9" w:rsidP="004E03D9">
      <w:pPr>
        <w:spacing w:line="276" w:lineRule="auto"/>
        <w:ind w:left="720" w:hanging="720"/>
        <w:jc w:val="left"/>
        <w:rPr>
          <w:rFonts w:ascii="Arial" w:eastAsia="Times New Roman" w:hAnsi="Arial" w:cs="Arial"/>
          <w:noProof/>
          <w:kern w:val="0"/>
          <w:sz w:val="22"/>
        </w:rPr>
      </w:pPr>
      <w:bookmarkStart w:id="2" w:name="_ENREF_2"/>
      <w:r w:rsidRPr="004E03D9">
        <w:rPr>
          <w:rFonts w:ascii="Arial" w:eastAsia="Times New Roman" w:hAnsi="Arial" w:cs="Arial"/>
          <w:noProof/>
          <w:kern w:val="0"/>
          <w:sz w:val="22"/>
        </w:rPr>
        <w:t>2.</w:t>
      </w:r>
      <w:r w:rsidRPr="004E03D9">
        <w:rPr>
          <w:rFonts w:ascii="Arial" w:eastAsia="Times New Roman" w:hAnsi="Arial" w:cs="Arial"/>
          <w:noProof/>
          <w:kern w:val="0"/>
          <w:sz w:val="22"/>
        </w:rPr>
        <w:tab/>
        <w:t xml:space="preserve">Ramskold D, Luo S, Wang YC, Li R, Deng Q, Faridani OR, Daniels GA, Khrebtukova I, Loring JF, Laurent LC, et al: </w:t>
      </w:r>
      <w:r w:rsidRPr="004E03D9">
        <w:rPr>
          <w:rFonts w:ascii="Arial" w:eastAsia="Times New Roman" w:hAnsi="Arial" w:cs="Arial"/>
          <w:b/>
          <w:noProof/>
          <w:kern w:val="0"/>
          <w:sz w:val="22"/>
        </w:rPr>
        <w:t>Full-length mRNA-Seq from single-cell levels of RNA and individual circulating tumor cells.</w:t>
      </w:r>
      <w:r w:rsidRPr="004E03D9">
        <w:rPr>
          <w:rFonts w:ascii="Arial" w:eastAsia="Times New Roman" w:hAnsi="Arial" w:cs="Arial"/>
          <w:noProof/>
          <w:kern w:val="0"/>
          <w:sz w:val="22"/>
        </w:rPr>
        <w:t xml:space="preserve"> </w:t>
      </w:r>
      <w:r w:rsidRPr="004E03D9">
        <w:rPr>
          <w:rFonts w:ascii="Arial" w:eastAsia="Times New Roman" w:hAnsi="Arial" w:cs="Arial"/>
          <w:i/>
          <w:noProof/>
          <w:kern w:val="0"/>
          <w:sz w:val="22"/>
        </w:rPr>
        <w:t xml:space="preserve">Nat Biotechnol </w:t>
      </w:r>
      <w:r w:rsidRPr="004E03D9">
        <w:rPr>
          <w:rFonts w:ascii="Arial" w:eastAsia="Times New Roman" w:hAnsi="Arial" w:cs="Arial"/>
          <w:noProof/>
          <w:kern w:val="0"/>
          <w:sz w:val="22"/>
        </w:rPr>
        <w:t>2012.</w:t>
      </w:r>
      <w:bookmarkEnd w:id="2"/>
    </w:p>
    <w:p w14:paraId="52B8FE0B" w14:textId="6A5EAAC9" w:rsidR="004E03D9" w:rsidRDefault="004E03D9" w:rsidP="004E03D9">
      <w:pPr>
        <w:spacing w:line="276" w:lineRule="auto"/>
        <w:jc w:val="left"/>
        <w:rPr>
          <w:rFonts w:ascii="Arial" w:eastAsia="Times New Roman" w:hAnsi="Arial" w:cs="Arial"/>
          <w:noProof/>
          <w:kern w:val="0"/>
          <w:sz w:val="22"/>
        </w:rPr>
      </w:pPr>
    </w:p>
    <w:p w14:paraId="35F6F4F8" w14:textId="0F412F1C" w:rsidR="007528B3" w:rsidRPr="00ED3879" w:rsidRDefault="004E03D9" w:rsidP="004E03D9">
      <w:pPr>
        <w:widowControl/>
        <w:spacing w:line="276" w:lineRule="auto"/>
        <w:jc w:val="left"/>
        <w:rPr>
          <w:rFonts w:asciiTheme="majorHAnsi" w:eastAsia="Times New Roman" w:hAnsiTheme="majorHAnsi" w:cstheme="majorHAnsi"/>
          <w:kern w:val="0"/>
          <w:sz w:val="22"/>
        </w:rPr>
      </w:pPr>
      <w:r>
        <w:rPr>
          <w:rFonts w:asciiTheme="majorHAnsi" w:eastAsia="Times New Roman" w:hAnsiTheme="majorHAnsi" w:cstheme="majorHAnsi"/>
          <w:kern w:val="0"/>
          <w:sz w:val="22"/>
        </w:rPr>
        <w:fldChar w:fldCharType="end"/>
      </w:r>
    </w:p>
    <w:sectPr w:rsidR="007528B3" w:rsidRPr="00ED3879" w:rsidSect="005D3932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C4B6D0" w14:textId="77777777" w:rsidR="00CA7F78" w:rsidRDefault="00CA7F78" w:rsidP="005D3932">
      <w:r>
        <w:separator/>
      </w:r>
    </w:p>
  </w:endnote>
  <w:endnote w:type="continuationSeparator" w:id="0">
    <w:p w14:paraId="3E1E5042" w14:textId="77777777" w:rsidR="00CA7F78" w:rsidRDefault="00CA7F78" w:rsidP="005D3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ヒラギノ角ゴ ProN W3">
    <w:panose1 w:val="020B0300000000000000"/>
    <w:charset w:val="4E"/>
    <w:family w:val="auto"/>
    <w:pitch w:val="variable"/>
    <w:sig w:usb0="E00002FF" w:usb1="7AC7FFFF" w:usb2="00000012" w:usb3="00000000" w:csb0="0002000D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E23EC4" w14:textId="77777777" w:rsidR="00CA7F78" w:rsidRDefault="00CA7F78" w:rsidP="005D3932">
      <w:r>
        <w:separator/>
      </w:r>
    </w:p>
  </w:footnote>
  <w:footnote w:type="continuationSeparator" w:id="0">
    <w:p w14:paraId="6999EB47" w14:textId="77777777" w:rsidR="00CA7F78" w:rsidRDefault="00CA7F78" w:rsidP="005D39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6EC47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Genome Biology&lt;/Style&gt;&lt;LeftDelim&gt;{&lt;/LeftDelim&gt;&lt;RightDelim&gt;}&lt;/RightDelim&gt;&lt;FontName&gt;Arial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zdz9wst080fad8eptrqxzddjz2ez2aswdefr&quot;&gt;singlecell_dev_ref&lt;record-ids&gt;&lt;item&gt;14&lt;/item&gt;&lt;item&gt;36&lt;/item&gt;&lt;/record-ids&gt;&lt;/item&gt;&lt;/Libraries&gt;"/>
  </w:docVars>
  <w:rsids>
    <w:rsidRoot w:val="005D3932"/>
    <w:rsid w:val="000013F9"/>
    <w:rsid w:val="00011A44"/>
    <w:rsid w:val="000129BF"/>
    <w:rsid w:val="0001494E"/>
    <w:rsid w:val="000171A0"/>
    <w:rsid w:val="000216E9"/>
    <w:rsid w:val="00021F9B"/>
    <w:rsid w:val="00022CDA"/>
    <w:rsid w:val="00024D4B"/>
    <w:rsid w:val="00027806"/>
    <w:rsid w:val="00030394"/>
    <w:rsid w:val="00031029"/>
    <w:rsid w:val="00033E6E"/>
    <w:rsid w:val="00036016"/>
    <w:rsid w:val="00036A61"/>
    <w:rsid w:val="00037DE7"/>
    <w:rsid w:val="000421CD"/>
    <w:rsid w:val="0005074B"/>
    <w:rsid w:val="00053BC6"/>
    <w:rsid w:val="00055B65"/>
    <w:rsid w:val="00056C69"/>
    <w:rsid w:val="00060D2C"/>
    <w:rsid w:val="00061462"/>
    <w:rsid w:val="00063503"/>
    <w:rsid w:val="000719E1"/>
    <w:rsid w:val="000720AA"/>
    <w:rsid w:val="00074143"/>
    <w:rsid w:val="000803CF"/>
    <w:rsid w:val="00081258"/>
    <w:rsid w:val="00087484"/>
    <w:rsid w:val="00091AAB"/>
    <w:rsid w:val="0009560A"/>
    <w:rsid w:val="00095B71"/>
    <w:rsid w:val="00096E21"/>
    <w:rsid w:val="000A5274"/>
    <w:rsid w:val="000A54DC"/>
    <w:rsid w:val="000B0C86"/>
    <w:rsid w:val="000B29B8"/>
    <w:rsid w:val="000B37F8"/>
    <w:rsid w:val="000B4AD6"/>
    <w:rsid w:val="000B5225"/>
    <w:rsid w:val="000C211E"/>
    <w:rsid w:val="000C5998"/>
    <w:rsid w:val="000D3432"/>
    <w:rsid w:val="000D5001"/>
    <w:rsid w:val="000D6E30"/>
    <w:rsid w:val="000E5B4A"/>
    <w:rsid w:val="000F36E6"/>
    <w:rsid w:val="000F758D"/>
    <w:rsid w:val="00106931"/>
    <w:rsid w:val="00111F9C"/>
    <w:rsid w:val="00111FA9"/>
    <w:rsid w:val="00113413"/>
    <w:rsid w:val="00114033"/>
    <w:rsid w:val="00114385"/>
    <w:rsid w:val="00117E38"/>
    <w:rsid w:val="0012775B"/>
    <w:rsid w:val="001311DB"/>
    <w:rsid w:val="00132A67"/>
    <w:rsid w:val="00134432"/>
    <w:rsid w:val="001408E5"/>
    <w:rsid w:val="00144D72"/>
    <w:rsid w:val="001470C2"/>
    <w:rsid w:val="00147634"/>
    <w:rsid w:val="00151F60"/>
    <w:rsid w:val="00156B61"/>
    <w:rsid w:val="00160FDE"/>
    <w:rsid w:val="00161B53"/>
    <w:rsid w:val="00161C26"/>
    <w:rsid w:val="00162918"/>
    <w:rsid w:val="00164590"/>
    <w:rsid w:val="00173011"/>
    <w:rsid w:val="0017371E"/>
    <w:rsid w:val="00176A53"/>
    <w:rsid w:val="00182F39"/>
    <w:rsid w:val="0018547C"/>
    <w:rsid w:val="00185949"/>
    <w:rsid w:val="00187B80"/>
    <w:rsid w:val="00190222"/>
    <w:rsid w:val="00191555"/>
    <w:rsid w:val="00191BA3"/>
    <w:rsid w:val="00193849"/>
    <w:rsid w:val="00196549"/>
    <w:rsid w:val="001973C7"/>
    <w:rsid w:val="001976B0"/>
    <w:rsid w:val="001A358A"/>
    <w:rsid w:val="001A6B27"/>
    <w:rsid w:val="001A6C70"/>
    <w:rsid w:val="001A74E3"/>
    <w:rsid w:val="001B187A"/>
    <w:rsid w:val="001B2830"/>
    <w:rsid w:val="001B6185"/>
    <w:rsid w:val="001B73F1"/>
    <w:rsid w:val="001C2E49"/>
    <w:rsid w:val="001C5E44"/>
    <w:rsid w:val="001C7490"/>
    <w:rsid w:val="001D360D"/>
    <w:rsid w:val="001E35A3"/>
    <w:rsid w:val="001E5855"/>
    <w:rsid w:val="001E61FE"/>
    <w:rsid w:val="001E6CC4"/>
    <w:rsid w:val="001F2DBE"/>
    <w:rsid w:val="001F413B"/>
    <w:rsid w:val="0020052F"/>
    <w:rsid w:val="00202BE2"/>
    <w:rsid w:val="00206F7F"/>
    <w:rsid w:val="002120A0"/>
    <w:rsid w:val="002122F6"/>
    <w:rsid w:val="00213D4F"/>
    <w:rsid w:val="0021555E"/>
    <w:rsid w:val="00217D0A"/>
    <w:rsid w:val="00226F86"/>
    <w:rsid w:val="002329E1"/>
    <w:rsid w:val="00243617"/>
    <w:rsid w:val="00243904"/>
    <w:rsid w:val="00250E81"/>
    <w:rsid w:val="0025696F"/>
    <w:rsid w:val="00261618"/>
    <w:rsid w:val="00264824"/>
    <w:rsid w:val="00265DBD"/>
    <w:rsid w:val="002674C3"/>
    <w:rsid w:val="00271D5F"/>
    <w:rsid w:val="002735C1"/>
    <w:rsid w:val="00273C57"/>
    <w:rsid w:val="00274FE7"/>
    <w:rsid w:val="0027530E"/>
    <w:rsid w:val="002763C3"/>
    <w:rsid w:val="00280AE4"/>
    <w:rsid w:val="00281790"/>
    <w:rsid w:val="002828B2"/>
    <w:rsid w:val="00290858"/>
    <w:rsid w:val="00291801"/>
    <w:rsid w:val="00295581"/>
    <w:rsid w:val="0029609E"/>
    <w:rsid w:val="00296700"/>
    <w:rsid w:val="00297B6E"/>
    <w:rsid w:val="002A3F04"/>
    <w:rsid w:val="002A42AC"/>
    <w:rsid w:val="002C15C8"/>
    <w:rsid w:val="002C2F90"/>
    <w:rsid w:val="002C53AF"/>
    <w:rsid w:val="002C60F0"/>
    <w:rsid w:val="002C7D97"/>
    <w:rsid w:val="002D111A"/>
    <w:rsid w:val="002D2B6A"/>
    <w:rsid w:val="002D323F"/>
    <w:rsid w:val="002D3C13"/>
    <w:rsid w:val="002D6929"/>
    <w:rsid w:val="002D773E"/>
    <w:rsid w:val="002E109D"/>
    <w:rsid w:val="002E114E"/>
    <w:rsid w:val="002E12BD"/>
    <w:rsid w:val="002E63C1"/>
    <w:rsid w:val="002E78E0"/>
    <w:rsid w:val="003067C8"/>
    <w:rsid w:val="00315B70"/>
    <w:rsid w:val="003165D9"/>
    <w:rsid w:val="0032110C"/>
    <w:rsid w:val="003220F9"/>
    <w:rsid w:val="0032397E"/>
    <w:rsid w:val="00324B7F"/>
    <w:rsid w:val="00333667"/>
    <w:rsid w:val="00342133"/>
    <w:rsid w:val="00342BE7"/>
    <w:rsid w:val="00343A14"/>
    <w:rsid w:val="0034461D"/>
    <w:rsid w:val="0035336D"/>
    <w:rsid w:val="0035429A"/>
    <w:rsid w:val="00356872"/>
    <w:rsid w:val="0035779F"/>
    <w:rsid w:val="00360833"/>
    <w:rsid w:val="00364929"/>
    <w:rsid w:val="00365A1F"/>
    <w:rsid w:val="0037604F"/>
    <w:rsid w:val="003764DA"/>
    <w:rsid w:val="00377E1D"/>
    <w:rsid w:val="00381F0D"/>
    <w:rsid w:val="0039030D"/>
    <w:rsid w:val="00390450"/>
    <w:rsid w:val="00390732"/>
    <w:rsid w:val="0039136C"/>
    <w:rsid w:val="00394684"/>
    <w:rsid w:val="00394ADE"/>
    <w:rsid w:val="00396185"/>
    <w:rsid w:val="00396742"/>
    <w:rsid w:val="00396869"/>
    <w:rsid w:val="003A2460"/>
    <w:rsid w:val="003A2B76"/>
    <w:rsid w:val="003A38FC"/>
    <w:rsid w:val="003A4E58"/>
    <w:rsid w:val="003B0D77"/>
    <w:rsid w:val="003B4779"/>
    <w:rsid w:val="003C3538"/>
    <w:rsid w:val="003D2943"/>
    <w:rsid w:val="003D36E1"/>
    <w:rsid w:val="003D380D"/>
    <w:rsid w:val="003E5CB1"/>
    <w:rsid w:val="003F1879"/>
    <w:rsid w:val="003F5334"/>
    <w:rsid w:val="00400F90"/>
    <w:rsid w:val="0040671E"/>
    <w:rsid w:val="00411CF0"/>
    <w:rsid w:val="0041297D"/>
    <w:rsid w:val="004146E2"/>
    <w:rsid w:val="00415EBD"/>
    <w:rsid w:val="00417111"/>
    <w:rsid w:val="00417CC6"/>
    <w:rsid w:val="004215C5"/>
    <w:rsid w:val="00421F12"/>
    <w:rsid w:val="004245C3"/>
    <w:rsid w:val="004278FA"/>
    <w:rsid w:val="0043134D"/>
    <w:rsid w:val="00431C0D"/>
    <w:rsid w:val="00437003"/>
    <w:rsid w:val="00437A7C"/>
    <w:rsid w:val="00440677"/>
    <w:rsid w:val="004475C3"/>
    <w:rsid w:val="00457D5C"/>
    <w:rsid w:val="00461A9F"/>
    <w:rsid w:val="004629D3"/>
    <w:rsid w:val="00464282"/>
    <w:rsid w:val="00466272"/>
    <w:rsid w:val="00470ACA"/>
    <w:rsid w:val="004734BC"/>
    <w:rsid w:val="00475B35"/>
    <w:rsid w:val="004765F0"/>
    <w:rsid w:val="004772DE"/>
    <w:rsid w:val="00482E66"/>
    <w:rsid w:val="00493007"/>
    <w:rsid w:val="004A1020"/>
    <w:rsid w:val="004A3889"/>
    <w:rsid w:val="004A6B65"/>
    <w:rsid w:val="004B123E"/>
    <w:rsid w:val="004B2050"/>
    <w:rsid w:val="004B6D50"/>
    <w:rsid w:val="004B710D"/>
    <w:rsid w:val="004C1009"/>
    <w:rsid w:val="004C35BD"/>
    <w:rsid w:val="004C45CE"/>
    <w:rsid w:val="004C7B40"/>
    <w:rsid w:val="004D0798"/>
    <w:rsid w:val="004D41F3"/>
    <w:rsid w:val="004E03D9"/>
    <w:rsid w:val="004E06A5"/>
    <w:rsid w:val="004E176B"/>
    <w:rsid w:val="004E2064"/>
    <w:rsid w:val="004E272D"/>
    <w:rsid w:val="004E2921"/>
    <w:rsid w:val="004E590A"/>
    <w:rsid w:val="004E6CB2"/>
    <w:rsid w:val="004E7E5B"/>
    <w:rsid w:val="004F1249"/>
    <w:rsid w:val="004F39CD"/>
    <w:rsid w:val="004F529E"/>
    <w:rsid w:val="004F655C"/>
    <w:rsid w:val="004F6A83"/>
    <w:rsid w:val="0050130D"/>
    <w:rsid w:val="005023BA"/>
    <w:rsid w:val="00507C5C"/>
    <w:rsid w:val="00512D4A"/>
    <w:rsid w:val="005240E5"/>
    <w:rsid w:val="00525652"/>
    <w:rsid w:val="00525F1B"/>
    <w:rsid w:val="0052732E"/>
    <w:rsid w:val="00530945"/>
    <w:rsid w:val="00530967"/>
    <w:rsid w:val="00532619"/>
    <w:rsid w:val="0053310B"/>
    <w:rsid w:val="00533F03"/>
    <w:rsid w:val="0053751D"/>
    <w:rsid w:val="005448B9"/>
    <w:rsid w:val="00551F2B"/>
    <w:rsid w:val="005537D5"/>
    <w:rsid w:val="00554260"/>
    <w:rsid w:val="00556DE5"/>
    <w:rsid w:val="00560CCE"/>
    <w:rsid w:val="00564864"/>
    <w:rsid w:val="00564AEC"/>
    <w:rsid w:val="00571A56"/>
    <w:rsid w:val="005736EA"/>
    <w:rsid w:val="0057423F"/>
    <w:rsid w:val="00574CF8"/>
    <w:rsid w:val="00581D6C"/>
    <w:rsid w:val="00582CB4"/>
    <w:rsid w:val="00585420"/>
    <w:rsid w:val="00586982"/>
    <w:rsid w:val="00591460"/>
    <w:rsid w:val="00592602"/>
    <w:rsid w:val="00593392"/>
    <w:rsid w:val="005964C1"/>
    <w:rsid w:val="005A0FB4"/>
    <w:rsid w:val="005A2FB5"/>
    <w:rsid w:val="005B4491"/>
    <w:rsid w:val="005B6A37"/>
    <w:rsid w:val="005C0951"/>
    <w:rsid w:val="005C0FF2"/>
    <w:rsid w:val="005C4458"/>
    <w:rsid w:val="005C5078"/>
    <w:rsid w:val="005D034A"/>
    <w:rsid w:val="005D3932"/>
    <w:rsid w:val="005D3E7D"/>
    <w:rsid w:val="005D598E"/>
    <w:rsid w:val="005D7978"/>
    <w:rsid w:val="005E0488"/>
    <w:rsid w:val="005E0B7C"/>
    <w:rsid w:val="005E1680"/>
    <w:rsid w:val="005E3685"/>
    <w:rsid w:val="005E62BD"/>
    <w:rsid w:val="005F062E"/>
    <w:rsid w:val="005F100B"/>
    <w:rsid w:val="005F204B"/>
    <w:rsid w:val="006017A0"/>
    <w:rsid w:val="00605D5A"/>
    <w:rsid w:val="00607079"/>
    <w:rsid w:val="00610B63"/>
    <w:rsid w:val="006110E5"/>
    <w:rsid w:val="006135BF"/>
    <w:rsid w:val="0062313F"/>
    <w:rsid w:val="006232E9"/>
    <w:rsid w:val="00631941"/>
    <w:rsid w:val="00631C1E"/>
    <w:rsid w:val="00633FFF"/>
    <w:rsid w:val="0063539B"/>
    <w:rsid w:val="00640067"/>
    <w:rsid w:val="00640964"/>
    <w:rsid w:val="00647DE5"/>
    <w:rsid w:val="00653D2A"/>
    <w:rsid w:val="00654EB8"/>
    <w:rsid w:val="00655D46"/>
    <w:rsid w:val="00656818"/>
    <w:rsid w:val="00656CE8"/>
    <w:rsid w:val="00656D92"/>
    <w:rsid w:val="00660746"/>
    <w:rsid w:val="00660F90"/>
    <w:rsid w:val="006613AA"/>
    <w:rsid w:val="006614ED"/>
    <w:rsid w:val="00661666"/>
    <w:rsid w:val="00672FA6"/>
    <w:rsid w:val="006738D4"/>
    <w:rsid w:val="00674D3E"/>
    <w:rsid w:val="0067558D"/>
    <w:rsid w:val="006817E5"/>
    <w:rsid w:val="00683534"/>
    <w:rsid w:val="00683D8B"/>
    <w:rsid w:val="00685713"/>
    <w:rsid w:val="00690064"/>
    <w:rsid w:val="006A3117"/>
    <w:rsid w:val="006B2563"/>
    <w:rsid w:val="006B40D0"/>
    <w:rsid w:val="006B59E4"/>
    <w:rsid w:val="006B7BF6"/>
    <w:rsid w:val="006C4C7E"/>
    <w:rsid w:val="006C4FEF"/>
    <w:rsid w:val="006C5917"/>
    <w:rsid w:val="006C5A65"/>
    <w:rsid w:val="006C5B0D"/>
    <w:rsid w:val="006C6678"/>
    <w:rsid w:val="006D1C26"/>
    <w:rsid w:val="006D1FFA"/>
    <w:rsid w:val="006E0829"/>
    <w:rsid w:val="006E40B4"/>
    <w:rsid w:val="006E4AFA"/>
    <w:rsid w:val="006F7432"/>
    <w:rsid w:val="007012B1"/>
    <w:rsid w:val="00703025"/>
    <w:rsid w:val="00707A2B"/>
    <w:rsid w:val="00710B8D"/>
    <w:rsid w:val="00714A75"/>
    <w:rsid w:val="00715857"/>
    <w:rsid w:val="00717D70"/>
    <w:rsid w:val="00720422"/>
    <w:rsid w:val="00723706"/>
    <w:rsid w:val="00725831"/>
    <w:rsid w:val="00737C7B"/>
    <w:rsid w:val="00737CDD"/>
    <w:rsid w:val="007424D3"/>
    <w:rsid w:val="00745ED6"/>
    <w:rsid w:val="00747053"/>
    <w:rsid w:val="00752013"/>
    <w:rsid w:val="007528B3"/>
    <w:rsid w:val="00752F17"/>
    <w:rsid w:val="00753AAE"/>
    <w:rsid w:val="00754817"/>
    <w:rsid w:val="00762018"/>
    <w:rsid w:val="00764242"/>
    <w:rsid w:val="007643A4"/>
    <w:rsid w:val="0076655A"/>
    <w:rsid w:val="0077252B"/>
    <w:rsid w:val="00773519"/>
    <w:rsid w:val="00777D98"/>
    <w:rsid w:val="00784A83"/>
    <w:rsid w:val="00786EA2"/>
    <w:rsid w:val="007931C2"/>
    <w:rsid w:val="007968ED"/>
    <w:rsid w:val="007B0CC4"/>
    <w:rsid w:val="007B459E"/>
    <w:rsid w:val="007B7904"/>
    <w:rsid w:val="007C3200"/>
    <w:rsid w:val="007C6C71"/>
    <w:rsid w:val="007C75C9"/>
    <w:rsid w:val="007D280A"/>
    <w:rsid w:val="007E619D"/>
    <w:rsid w:val="007F699E"/>
    <w:rsid w:val="007F7510"/>
    <w:rsid w:val="00800E8E"/>
    <w:rsid w:val="008014A1"/>
    <w:rsid w:val="00801BC2"/>
    <w:rsid w:val="00802213"/>
    <w:rsid w:val="00804A5A"/>
    <w:rsid w:val="00805B3C"/>
    <w:rsid w:val="00820E76"/>
    <w:rsid w:val="00827365"/>
    <w:rsid w:val="00832904"/>
    <w:rsid w:val="00845B4E"/>
    <w:rsid w:val="008472CA"/>
    <w:rsid w:val="00847F0E"/>
    <w:rsid w:val="008542ED"/>
    <w:rsid w:val="008615B5"/>
    <w:rsid w:val="008716A0"/>
    <w:rsid w:val="00874155"/>
    <w:rsid w:val="00875111"/>
    <w:rsid w:val="00880059"/>
    <w:rsid w:val="008859E6"/>
    <w:rsid w:val="0088611A"/>
    <w:rsid w:val="00887895"/>
    <w:rsid w:val="00892BAC"/>
    <w:rsid w:val="008A2BD0"/>
    <w:rsid w:val="008A78A4"/>
    <w:rsid w:val="008B0858"/>
    <w:rsid w:val="008B1A16"/>
    <w:rsid w:val="008B289D"/>
    <w:rsid w:val="008B6EFB"/>
    <w:rsid w:val="008C1C30"/>
    <w:rsid w:val="008C1D89"/>
    <w:rsid w:val="008D1E93"/>
    <w:rsid w:val="008D3BD9"/>
    <w:rsid w:val="008D5807"/>
    <w:rsid w:val="008D7991"/>
    <w:rsid w:val="008E12F0"/>
    <w:rsid w:val="008E3CF6"/>
    <w:rsid w:val="008E6FE5"/>
    <w:rsid w:val="008F2035"/>
    <w:rsid w:val="008F40C5"/>
    <w:rsid w:val="008F4AE9"/>
    <w:rsid w:val="008F5E9F"/>
    <w:rsid w:val="008F6EA6"/>
    <w:rsid w:val="008F7771"/>
    <w:rsid w:val="008F7CA4"/>
    <w:rsid w:val="009044F3"/>
    <w:rsid w:val="009062E1"/>
    <w:rsid w:val="00916EAB"/>
    <w:rsid w:val="009178AC"/>
    <w:rsid w:val="00921659"/>
    <w:rsid w:val="00925817"/>
    <w:rsid w:val="00926FE4"/>
    <w:rsid w:val="00932AA4"/>
    <w:rsid w:val="00934D4D"/>
    <w:rsid w:val="009359C4"/>
    <w:rsid w:val="009368D1"/>
    <w:rsid w:val="009377EE"/>
    <w:rsid w:val="0094093D"/>
    <w:rsid w:val="00940A19"/>
    <w:rsid w:val="009453D7"/>
    <w:rsid w:val="00950071"/>
    <w:rsid w:val="009503DD"/>
    <w:rsid w:val="0095060A"/>
    <w:rsid w:val="009508D5"/>
    <w:rsid w:val="00951713"/>
    <w:rsid w:val="00952C47"/>
    <w:rsid w:val="00960A2D"/>
    <w:rsid w:val="00963324"/>
    <w:rsid w:val="009660DE"/>
    <w:rsid w:val="009662B6"/>
    <w:rsid w:val="00970BD4"/>
    <w:rsid w:val="0097385D"/>
    <w:rsid w:val="00984407"/>
    <w:rsid w:val="009903B1"/>
    <w:rsid w:val="00994EEC"/>
    <w:rsid w:val="009951CC"/>
    <w:rsid w:val="009A3EF5"/>
    <w:rsid w:val="009A56DB"/>
    <w:rsid w:val="009A598C"/>
    <w:rsid w:val="009B6661"/>
    <w:rsid w:val="009B7893"/>
    <w:rsid w:val="009C061F"/>
    <w:rsid w:val="009C0AF5"/>
    <w:rsid w:val="009C1F0E"/>
    <w:rsid w:val="009C6DEB"/>
    <w:rsid w:val="009C736B"/>
    <w:rsid w:val="009D073B"/>
    <w:rsid w:val="009D2F4A"/>
    <w:rsid w:val="009D3F8E"/>
    <w:rsid w:val="009D51C8"/>
    <w:rsid w:val="009D7D43"/>
    <w:rsid w:val="009F3A76"/>
    <w:rsid w:val="009F71D7"/>
    <w:rsid w:val="00A0009B"/>
    <w:rsid w:val="00A00ACD"/>
    <w:rsid w:val="00A012B1"/>
    <w:rsid w:val="00A07266"/>
    <w:rsid w:val="00A1227B"/>
    <w:rsid w:val="00A1556A"/>
    <w:rsid w:val="00A21BE1"/>
    <w:rsid w:val="00A21E05"/>
    <w:rsid w:val="00A221CD"/>
    <w:rsid w:val="00A23225"/>
    <w:rsid w:val="00A23E30"/>
    <w:rsid w:val="00A24A34"/>
    <w:rsid w:val="00A26137"/>
    <w:rsid w:val="00A33A66"/>
    <w:rsid w:val="00A35916"/>
    <w:rsid w:val="00A374EC"/>
    <w:rsid w:val="00A37F97"/>
    <w:rsid w:val="00A45FDB"/>
    <w:rsid w:val="00A46838"/>
    <w:rsid w:val="00A631D1"/>
    <w:rsid w:val="00A67D82"/>
    <w:rsid w:val="00A713E1"/>
    <w:rsid w:val="00A71461"/>
    <w:rsid w:val="00A717AD"/>
    <w:rsid w:val="00A7583B"/>
    <w:rsid w:val="00A75A2F"/>
    <w:rsid w:val="00A7617C"/>
    <w:rsid w:val="00A7643D"/>
    <w:rsid w:val="00A7776E"/>
    <w:rsid w:val="00A81444"/>
    <w:rsid w:val="00A86BA9"/>
    <w:rsid w:val="00AA1E20"/>
    <w:rsid w:val="00AA3388"/>
    <w:rsid w:val="00AA7FE9"/>
    <w:rsid w:val="00AB0FAE"/>
    <w:rsid w:val="00AB1090"/>
    <w:rsid w:val="00AB12B2"/>
    <w:rsid w:val="00AC0CC0"/>
    <w:rsid w:val="00AC0CD8"/>
    <w:rsid w:val="00AC1E29"/>
    <w:rsid w:val="00AC29EA"/>
    <w:rsid w:val="00AC788F"/>
    <w:rsid w:val="00AD0D91"/>
    <w:rsid w:val="00AD4E62"/>
    <w:rsid w:val="00AD579D"/>
    <w:rsid w:val="00AD66A9"/>
    <w:rsid w:val="00AE4B28"/>
    <w:rsid w:val="00AE55F5"/>
    <w:rsid w:val="00AF1B41"/>
    <w:rsid w:val="00AF1C82"/>
    <w:rsid w:val="00AF2178"/>
    <w:rsid w:val="00AF3A9F"/>
    <w:rsid w:val="00AF3DDF"/>
    <w:rsid w:val="00AF7F1D"/>
    <w:rsid w:val="00B034AE"/>
    <w:rsid w:val="00B059D5"/>
    <w:rsid w:val="00B1039E"/>
    <w:rsid w:val="00B12F3D"/>
    <w:rsid w:val="00B203CD"/>
    <w:rsid w:val="00B21856"/>
    <w:rsid w:val="00B27010"/>
    <w:rsid w:val="00B30B4C"/>
    <w:rsid w:val="00B31783"/>
    <w:rsid w:val="00B326A9"/>
    <w:rsid w:val="00B333B4"/>
    <w:rsid w:val="00B45442"/>
    <w:rsid w:val="00B45689"/>
    <w:rsid w:val="00B457B5"/>
    <w:rsid w:val="00B45CD0"/>
    <w:rsid w:val="00B50C79"/>
    <w:rsid w:val="00B52627"/>
    <w:rsid w:val="00B551E7"/>
    <w:rsid w:val="00B6079E"/>
    <w:rsid w:val="00B647C4"/>
    <w:rsid w:val="00B6590E"/>
    <w:rsid w:val="00B6650D"/>
    <w:rsid w:val="00B6697A"/>
    <w:rsid w:val="00B67466"/>
    <w:rsid w:val="00B6787A"/>
    <w:rsid w:val="00B6799D"/>
    <w:rsid w:val="00B70631"/>
    <w:rsid w:val="00B75C19"/>
    <w:rsid w:val="00B77175"/>
    <w:rsid w:val="00B8168D"/>
    <w:rsid w:val="00B877D0"/>
    <w:rsid w:val="00B90928"/>
    <w:rsid w:val="00B9111A"/>
    <w:rsid w:val="00B93560"/>
    <w:rsid w:val="00B97328"/>
    <w:rsid w:val="00BA16C4"/>
    <w:rsid w:val="00BA60AA"/>
    <w:rsid w:val="00BB4776"/>
    <w:rsid w:val="00BB70F1"/>
    <w:rsid w:val="00BC67CF"/>
    <w:rsid w:val="00BC72A0"/>
    <w:rsid w:val="00BD00E7"/>
    <w:rsid w:val="00BD0596"/>
    <w:rsid w:val="00BD1EF6"/>
    <w:rsid w:val="00BD40A3"/>
    <w:rsid w:val="00BD4C1E"/>
    <w:rsid w:val="00BD4FF1"/>
    <w:rsid w:val="00BE2B3B"/>
    <w:rsid w:val="00BE395B"/>
    <w:rsid w:val="00BE4C77"/>
    <w:rsid w:val="00BE5007"/>
    <w:rsid w:val="00BE542C"/>
    <w:rsid w:val="00BE7DDE"/>
    <w:rsid w:val="00BF06F8"/>
    <w:rsid w:val="00BF331A"/>
    <w:rsid w:val="00BF6228"/>
    <w:rsid w:val="00BF7E2F"/>
    <w:rsid w:val="00C009C7"/>
    <w:rsid w:val="00C03E66"/>
    <w:rsid w:val="00C0588D"/>
    <w:rsid w:val="00C1065C"/>
    <w:rsid w:val="00C11843"/>
    <w:rsid w:val="00C11853"/>
    <w:rsid w:val="00C12206"/>
    <w:rsid w:val="00C127E1"/>
    <w:rsid w:val="00C201DC"/>
    <w:rsid w:val="00C2390D"/>
    <w:rsid w:val="00C24926"/>
    <w:rsid w:val="00C32839"/>
    <w:rsid w:val="00C35F87"/>
    <w:rsid w:val="00C418EF"/>
    <w:rsid w:val="00C46C12"/>
    <w:rsid w:val="00C50F88"/>
    <w:rsid w:val="00C52ADA"/>
    <w:rsid w:val="00C5630F"/>
    <w:rsid w:val="00C630A6"/>
    <w:rsid w:val="00C67598"/>
    <w:rsid w:val="00C71ACC"/>
    <w:rsid w:val="00C82792"/>
    <w:rsid w:val="00C83849"/>
    <w:rsid w:val="00C86182"/>
    <w:rsid w:val="00C8627D"/>
    <w:rsid w:val="00C90114"/>
    <w:rsid w:val="00C90950"/>
    <w:rsid w:val="00C939D7"/>
    <w:rsid w:val="00C97143"/>
    <w:rsid w:val="00CA0FC2"/>
    <w:rsid w:val="00CA1F80"/>
    <w:rsid w:val="00CA206D"/>
    <w:rsid w:val="00CA4CE2"/>
    <w:rsid w:val="00CA7B1E"/>
    <w:rsid w:val="00CA7F78"/>
    <w:rsid w:val="00CB2B08"/>
    <w:rsid w:val="00CB4562"/>
    <w:rsid w:val="00CC7E11"/>
    <w:rsid w:val="00CD1DE6"/>
    <w:rsid w:val="00CD3897"/>
    <w:rsid w:val="00CD61DF"/>
    <w:rsid w:val="00CE2884"/>
    <w:rsid w:val="00CE6338"/>
    <w:rsid w:val="00CE70FD"/>
    <w:rsid w:val="00CF2673"/>
    <w:rsid w:val="00CF4DC2"/>
    <w:rsid w:val="00CF5343"/>
    <w:rsid w:val="00CF7D87"/>
    <w:rsid w:val="00D07074"/>
    <w:rsid w:val="00D07FCF"/>
    <w:rsid w:val="00D20306"/>
    <w:rsid w:val="00D2178A"/>
    <w:rsid w:val="00D24F5A"/>
    <w:rsid w:val="00D26107"/>
    <w:rsid w:val="00D3143E"/>
    <w:rsid w:val="00D320A3"/>
    <w:rsid w:val="00D32E60"/>
    <w:rsid w:val="00D35314"/>
    <w:rsid w:val="00D40745"/>
    <w:rsid w:val="00D427B9"/>
    <w:rsid w:val="00D43B13"/>
    <w:rsid w:val="00D44B25"/>
    <w:rsid w:val="00D514A4"/>
    <w:rsid w:val="00D551B5"/>
    <w:rsid w:val="00D60939"/>
    <w:rsid w:val="00D63960"/>
    <w:rsid w:val="00D6644E"/>
    <w:rsid w:val="00D75958"/>
    <w:rsid w:val="00D76F49"/>
    <w:rsid w:val="00D806D9"/>
    <w:rsid w:val="00D837AA"/>
    <w:rsid w:val="00D87722"/>
    <w:rsid w:val="00D924E2"/>
    <w:rsid w:val="00D9733B"/>
    <w:rsid w:val="00DA2D28"/>
    <w:rsid w:val="00DA531F"/>
    <w:rsid w:val="00DA574E"/>
    <w:rsid w:val="00DB1730"/>
    <w:rsid w:val="00DB2055"/>
    <w:rsid w:val="00DB7422"/>
    <w:rsid w:val="00DC159E"/>
    <w:rsid w:val="00DC2036"/>
    <w:rsid w:val="00DC20DA"/>
    <w:rsid w:val="00DC2AF8"/>
    <w:rsid w:val="00DC4247"/>
    <w:rsid w:val="00DC6005"/>
    <w:rsid w:val="00DC6A69"/>
    <w:rsid w:val="00DE4CA6"/>
    <w:rsid w:val="00DE4FB5"/>
    <w:rsid w:val="00DE7C73"/>
    <w:rsid w:val="00DE7DE5"/>
    <w:rsid w:val="00DF49E5"/>
    <w:rsid w:val="00DF630E"/>
    <w:rsid w:val="00E0193B"/>
    <w:rsid w:val="00E03BBD"/>
    <w:rsid w:val="00E10DD4"/>
    <w:rsid w:val="00E14286"/>
    <w:rsid w:val="00E1471D"/>
    <w:rsid w:val="00E21C72"/>
    <w:rsid w:val="00E25341"/>
    <w:rsid w:val="00E2597B"/>
    <w:rsid w:val="00E272F2"/>
    <w:rsid w:val="00E3287B"/>
    <w:rsid w:val="00E328FA"/>
    <w:rsid w:val="00E32D5E"/>
    <w:rsid w:val="00E34122"/>
    <w:rsid w:val="00E359BA"/>
    <w:rsid w:val="00E36A48"/>
    <w:rsid w:val="00E4018D"/>
    <w:rsid w:val="00E406B1"/>
    <w:rsid w:val="00E41B3A"/>
    <w:rsid w:val="00E43ACD"/>
    <w:rsid w:val="00E43E0A"/>
    <w:rsid w:val="00E46351"/>
    <w:rsid w:val="00E47617"/>
    <w:rsid w:val="00E70D17"/>
    <w:rsid w:val="00E715F1"/>
    <w:rsid w:val="00E72040"/>
    <w:rsid w:val="00E750EF"/>
    <w:rsid w:val="00E8079A"/>
    <w:rsid w:val="00E83756"/>
    <w:rsid w:val="00E85DD8"/>
    <w:rsid w:val="00E86223"/>
    <w:rsid w:val="00E873F6"/>
    <w:rsid w:val="00E90C76"/>
    <w:rsid w:val="00E9536F"/>
    <w:rsid w:val="00EA138A"/>
    <w:rsid w:val="00EA36DD"/>
    <w:rsid w:val="00EB1783"/>
    <w:rsid w:val="00EB4CDA"/>
    <w:rsid w:val="00EB4F98"/>
    <w:rsid w:val="00EB6B12"/>
    <w:rsid w:val="00EC109E"/>
    <w:rsid w:val="00ED0B74"/>
    <w:rsid w:val="00ED6101"/>
    <w:rsid w:val="00ED72F5"/>
    <w:rsid w:val="00EE246C"/>
    <w:rsid w:val="00EE32B7"/>
    <w:rsid w:val="00EE3E59"/>
    <w:rsid w:val="00EE4680"/>
    <w:rsid w:val="00EE5D14"/>
    <w:rsid w:val="00EE65BC"/>
    <w:rsid w:val="00EF4328"/>
    <w:rsid w:val="00F00583"/>
    <w:rsid w:val="00F020EB"/>
    <w:rsid w:val="00F05A4A"/>
    <w:rsid w:val="00F078C6"/>
    <w:rsid w:val="00F11567"/>
    <w:rsid w:val="00F11B3A"/>
    <w:rsid w:val="00F1470B"/>
    <w:rsid w:val="00F15647"/>
    <w:rsid w:val="00F16B3A"/>
    <w:rsid w:val="00F212A3"/>
    <w:rsid w:val="00F22CA9"/>
    <w:rsid w:val="00F25E97"/>
    <w:rsid w:val="00F2685B"/>
    <w:rsid w:val="00F27E62"/>
    <w:rsid w:val="00F27E8D"/>
    <w:rsid w:val="00F30309"/>
    <w:rsid w:val="00F3116D"/>
    <w:rsid w:val="00F31AB0"/>
    <w:rsid w:val="00F3431E"/>
    <w:rsid w:val="00F36DAD"/>
    <w:rsid w:val="00F41E70"/>
    <w:rsid w:val="00F4379A"/>
    <w:rsid w:val="00F43939"/>
    <w:rsid w:val="00F43BC9"/>
    <w:rsid w:val="00F44934"/>
    <w:rsid w:val="00F50630"/>
    <w:rsid w:val="00F5288A"/>
    <w:rsid w:val="00F52B6B"/>
    <w:rsid w:val="00F55827"/>
    <w:rsid w:val="00F63FC3"/>
    <w:rsid w:val="00F646B7"/>
    <w:rsid w:val="00F64808"/>
    <w:rsid w:val="00F66147"/>
    <w:rsid w:val="00F67E7A"/>
    <w:rsid w:val="00F73180"/>
    <w:rsid w:val="00F76686"/>
    <w:rsid w:val="00F80818"/>
    <w:rsid w:val="00F80BD0"/>
    <w:rsid w:val="00F80F9F"/>
    <w:rsid w:val="00F81A2D"/>
    <w:rsid w:val="00F84234"/>
    <w:rsid w:val="00F91E05"/>
    <w:rsid w:val="00F94325"/>
    <w:rsid w:val="00FA0601"/>
    <w:rsid w:val="00FA1797"/>
    <w:rsid w:val="00FA302C"/>
    <w:rsid w:val="00FA32EC"/>
    <w:rsid w:val="00FA71CD"/>
    <w:rsid w:val="00FB1167"/>
    <w:rsid w:val="00FC06BE"/>
    <w:rsid w:val="00FC1C2E"/>
    <w:rsid w:val="00FC40A2"/>
    <w:rsid w:val="00FC5129"/>
    <w:rsid w:val="00FC5198"/>
    <w:rsid w:val="00FD04C4"/>
    <w:rsid w:val="00FD2A65"/>
    <w:rsid w:val="00FD432D"/>
    <w:rsid w:val="00FE2ECB"/>
    <w:rsid w:val="00FE5554"/>
    <w:rsid w:val="00FE5F41"/>
    <w:rsid w:val="00FE6E52"/>
    <w:rsid w:val="00FF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ocId w14:val="63A5DA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6A5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Normal1"/>
    <w:next w:val="Normal1"/>
    <w:link w:val="10"/>
    <w:qFormat/>
    <w:rsid w:val="005D3932"/>
    <w:pPr>
      <w:spacing w:before="480" w:after="120"/>
      <w:outlineLvl w:val="0"/>
    </w:pPr>
    <w:rPr>
      <w:b/>
      <w:sz w:val="36"/>
    </w:rPr>
  </w:style>
  <w:style w:type="paragraph" w:styleId="2">
    <w:name w:val="heading 2"/>
    <w:basedOn w:val="Normal1"/>
    <w:next w:val="Normal1"/>
    <w:qFormat/>
    <w:rsid w:val="005D3932"/>
    <w:pPr>
      <w:spacing w:before="360" w:after="80"/>
      <w:outlineLvl w:val="1"/>
    </w:pPr>
    <w:rPr>
      <w:b/>
      <w:sz w:val="28"/>
    </w:rPr>
  </w:style>
  <w:style w:type="paragraph" w:styleId="3">
    <w:name w:val="heading 3"/>
    <w:basedOn w:val="Normal1"/>
    <w:next w:val="Normal1"/>
    <w:qFormat/>
    <w:rsid w:val="005D3932"/>
    <w:pPr>
      <w:spacing w:before="280" w:after="80"/>
      <w:outlineLvl w:val="2"/>
    </w:pPr>
    <w:rPr>
      <w:b/>
      <w:color w:val="666666"/>
      <w:sz w:val="24"/>
    </w:rPr>
  </w:style>
  <w:style w:type="paragraph" w:styleId="4">
    <w:name w:val="heading 4"/>
    <w:basedOn w:val="Normal1"/>
    <w:next w:val="Normal1"/>
    <w:qFormat/>
    <w:rsid w:val="005D3932"/>
    <w:pPr>
      <w:spacing w:before="240" w:after="40"/>
      <w:outlineLvl w:val="3"/>
    </w:pPr>
    <w:rPr>
      <w:i/>
      <w:color w:val="666666"/>
    </w:rPr>
  </w:style>
  <w:style w:type="paragraph" w:styleId="5">
    <w:name w:val="heading 5"/>
    <w:basedOn w:val="Normal1"/>
    <w:next w:val="Normal1"/>
    <w:qFormat/>
    <w:rsid w:val="005D3932"/>
    <w:pPr>
      <w:spacing w:before="220" w:after="40"/>
      <w:outlineLvl w:val="4"/>
    </w:pPr>
    <w:rPr>
      <w:b/>
      <w:color w:val="666666"/>
      <w:sz w:val="20"/>
    </w:rPr>
  </w:style>
  <w:style w:type="paragraph" w:styleId="6">
    <w:name w:val="heading 6"/>
    <w:basedOn w:val="Normal1"/>
    <w:next w:val="Normal1"/>
    <w:qFormat/>
    <w:rsid w:val="005D3932"/>
    <w:pPr>
      <w:spacing w:before="200" w:after="40"/>
      <w:outlineLvl w:val="5"/>
    </w:pPr>
    <w:rPr>
      <w:i/>
      <w:color w:val="666666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D3932"/>
    <w:pPr>
      <w:spacing w:line="276" w:lineRule="auto"/>
    </w:pPr>
    <w:rPr>
      <w:rFonts w:ascii="Arial" w:eastAsia="Arial" w:hAnsi="Arial" w:cs="Arial"/>
      <w:color w:val="000000"/>
      <w:kern w:val="2"/>
      <w:sz w:val="22"/>
      <w:szCs w:val="22"/>
    </w:rPr>
  </w:style>
  <w:style w:type="paragraph" w:styleId="a3">
    <w:name w:val="Title"/>
    <w:basedOn w:val="Normal1"/>
    <w:next w:val="Normal1"/>
    <w:qFormat/>
    <w:rsid w:val="005D3932"/>
    <w:pPr>
      <w:spacing w:before="480" w:after="120"/>
    </w:pPr>
    <w:rPr>
      <w:b/>
      <w:sz w:val="72"/>
    </w:rPr>
  </w:style>
  <w:style w:type="paragraph" w:styleId="a4">
    <w:name w:val="Subtitle"/>
    <w:basedOn w:val="Normal1"/>
    <w:next w:val="Normal1"/>
    <w:qFormat/>
    <w:rsid w:val="005D3932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a5">
    <w:name w:val="header"/>
    <w:basedOn w:val="a"/>
    <w:link w:val="a6"/>
    <w:uiPriority w:val="99"/>
    <w:semiHidden/>
    <w:unhideWhenUsed/>
    <w:rsid w:val="00C2492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C24926"/>
  </w:style>
  <w:style w:type="paragraph" w:styleId="a7">
    <w:name w:val="footer"/>
    <w:basedOn w:val="a"/>
    <w:link w:val="a8"/>
    <w:uiPriority w:val="99"/>
    <w:semiHidden/>
    <w:unhideWhenUsed/>
    <w:rsid w:val="00C2492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C24926"/>
  </w:style>
  <w:style w:type="paragraph" w:styleId="a9">
    <w:name w:val="Balloon Text"/>
    <w:basedOn w:val="a"/>
    <w:link w:val="aa"/>
    <w:uiPriority w:val="99"/>
    <w:semiHidden/>
    <w:unhideWhenUsed/>
    <w:rsid w:val="00C24926"/>
    <w:pPr>
      <w:jc w:val="left"/>
    </w:pPr>
    <w:rPr>
      <w:rFonts w:ascii="Tahoma" w:eastAsia="ＭＳ ゴシック" w:hAnsi="Tahoma"/>
      <w:sz w:val="16"/>
      <w:szCs w:val="18"/>
      <w:lang w:val="x-none"/>
    </w:rPr>
  </w:style>
  <w:style w:type="character" w:customStyle="1" w:styleId="aa">
    <w:name w:val="吹き出し (文字)"/>
    <w:link w:val="a9"/>
    <w:uiPriority w:val="99"/>
    <w:semiHidden/>
    <w:rsid w:val="00C24926"/>
    <w:rPr>
      <w:rFonts w:ascii="Tahoma" w:eastAsia="ＭＳ ゴシック" w:hAnsi="Tahoma"/>
      <w:kern w:val="2"/>
      <w:sz w:val="16"/>
      <w:szCs w:val="18"/>
      <w:lang w:eastAsia="ja-JP"/>
    </w:rPr>
  </w:style>
  <w:style w:type="character" w:styleId="ab">
    <w:name w:val="annotation reference"/>
    <w:uiPriority w:val="99"/>
    <w:unhideWhenUsed/>
    <w:rsid w:val="00390450"/>
    <w:rPr>
      <w:sz w:val="18"/>
      <w:szCs w:val="18"/>
    </w:rPr>
  </w:style>
  <w:style w:type="paragraph" w:styleId="ac">
    <w:name w:val="annotation text"/>
    <w:basedOn w:val="a"/>
    <w:link w:val="ad"/>
    <w:unhideWhenUsed/>
    <w:rsid w:val="00390450"/>
    <w:rPr>
      <w:sz w:val="24"/>
      <w:szCs w:val="24"/>
      <w:lang w:val="x-none"/>
    </w:rPr>
  </w:style>
  <w:style w:type="character" w:customStyle="1" w:styleId="ad">
    <w:name w:val="コメント文字列 (文字)"/>
    <w:link w:val="ac"/>
    <w:rsid w:val="00390450"/>
    <w:rPr>
      <w:kern w:val="2"/>
      <w:sz w:val="24"/>
      <w:szCs w:val="24"/>
      <w:lang w:eastAsia="ja-JP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90450"/>
    <w:rPr>
      <w:b/>
      <w:bCs/>
    </w:rPr>
  </w:style>
  <w:style w:type="character" w:customStyle="1" w:styleId="af">
    <w:name w:val="コメント内容 (文字)"/>
    <w:link w:val="ae"/>
    <w:uiPriority w:val="99"/>
    <w:semiHidden/>
    <w:rsid w:val="00390450"/>
    <w:rPr>
      <w:b/>
      <w:bCs/>
      <w:kern w:val="2"/>
      <w:sz w:val="24"/>
      <w:szCs w:val="24"/>
      <w:lang w:eastAsia="ja-JP"/>
    </w:rPr>
  </w:style>
  <w:style w:type="paragraph" w:customStyle="1" w:styleId="121">
    <w:name w:val="表 (青) 121"/>
    <w:hidden/>
    <w:uiPriority w:val="99"/>
    <w:semiHidden/>
    <w:rsid w:val="00063503"/>
    <w:rPr>
      <w:kern w:val="2"/>
      <w:sz w:val="21"/>
      <w:szCs w:val="22"/>
    </w:rPr>
  </w:style>
  <w:style w:type="character" w:styleId="af0">
    <w:name w:val="Hyperlink"/>
    <w:uiPriority w:val="99"/>
    <w:unhideWhenUsed/>
    <w:rsid w:val="00AE55F5"/>
    <w:rPr>
      <w:color w:val="0000FF"/>
      <w:u w:val="single"/>
    </w:rPr>
  </w:style>
  <w:style w:type="paragraph" w:customStyle="1" w:styleId="122">
    <w:name w:val="表 (青) 122"/>
    <w:hidden/>
    <w:uiPriority w:val="99"/>
    <w:semiHidden/>
    <w:rsid w:val="005D034A"/>
    <w:rPr>
      <w:kern w:val="2"/>
      <w:sz w:val="21"/>
      <w:szCs w:val="22"/>
    </w:rPr>
  </w:style>
  <w:style w:type="character" w:styleId="af1">
    <w:name w:val="FollowedHyperlink"/>
    <w:uiPriority w:val="99"/>
    <w:semiHidden/>
    <w:unhideWhenUsed/>
    <w:rsid w:val="00551F2B"/>
    <w:rPr>
      <w:color w:val="800080"/>
      <w:u w:val="single"/>
    </w:rPr>
  </w:style>
  <w:style w:type="paragraph" w:styleId="af2">
    <w:name w:val="Document Map"/>
    <w:basedOn w:val="a"/>
    <w:link w:val="af3"/>
    <w:uiPriority w:val="99"/>
    <w:semiHidden/>
    <w:unhideWhenUsed/>
    <w:rsid w:val="00F3116D"/>
    <w:rPr>
      <w:rFonts w:ascii="ヒラギノ角ゴ ProN W3" w:eastAsia="ヒラギノ角ゴ ProN W3"/>
      <w:sz w:val="24"/>
      <w:szCs w:val="24"/>
      <w:lang w:val="x-none" w:eastAsia="x-none"/>
    </w:rPr>
  </w:style>
  <w:style w:type="character" w:customStyle="1" w:styleId="af3">
    <w:name w:val="見出しマップ (文字)"/>
    <w:link w:val="af2"/>
    <w:uiPriority w:val="99"/>
    <w:semiHidden/>
    <w:rsid w:val="00F3116D"/>
    <w:rPr>
      <w:rFonts w:ascii="ヒラギノ角ゴ ProN W3" w:eastAsia="ヒラギノ角ゴ ProN W3"/>
      <w:kern w:val="2"/>
      <w:sz w:val="24"/>
      <w:szCs w:val="24"/>
    </w:rPr>
  </w:style>
  <w:style w:type="paragraph" w:styleId="af4">
    <w:name w:val="Revision"/>
    <w:hidden/>
    <w:uiPriority w:val="99"/>
    <w:semiHidden/>
    <w:rsid w:val="00F91E05"/>
    <w:rPr>
      <w:kern w:val="2"/>
      <w:sz w:val="21"/>
      <w:szCs w:val="22"/>
    </w:rPr>
  </w:style>
  <w:style w:type="paragraph" w:styleId="Web">
    <w:name w:val="Normal (Web)"/>
    <w:basedOn w:val="a"/>
    <w:uiPriority w:val="99"/>
    <w:semiHidden/>
    <w:unhideWhenUsed/>
    <w:rsid w:val="005A0FB4"/>
    <w:pPr>
      <w:widowControl/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</w:rPr>
  </w:style>
  <w:style w:type="character" w:customStyle="1" w:styleId="10">
    <w:name w:val="見出し 1 (文字)"/>
    <w:basedOn w:val="a0"/>
    <w:link w:val="1"/>
    <w:rsid w:val="007528B3"/>
    <w:rPr>
      <w:rFonts w:ascii="Arial" w:eastAsia="Arial" w:hAnsi="Arial" w:cs="Arial"/>
      <w:b/>
      <w:color w:val="000000"/>
      <w:kern w:val="2"/>
      <w:sz w:val="36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6A5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Normal1"/>
    <w:next w:val="Normal1"/>
    <w:link w:val="10"/>
    <w:qFormat/>
    <w:rsid w:val="005D3932"/>
    <w:pPr>
      <w:spacing w:before="480" w:after="120"/>
      <w:outlineLvl w:val="0"/>
    </w:pPr>
    <w:rPr>
      <w:b/>
      <w:sz w:val="36"/>
    </w:rPr>
  </w:style>
  <w:style w:type="paragraph" w:styleId="2">
    <w:name w:val="heading 2"/>
    <w:basedOn w:val="Normal1"/>
    <w:next w:val="Normal1"/>
    <w:qFormat/>
    <w:rsid w:val="005D3932"/>
    <w:pPr>
      <w:spacing w:before="360" w:after="80"/>
      <w:outlineLvl w:val="1"/>
    </w:pPr>
    <w:rPr>
      <w:b/>
      <w:sz w:val="28"/>
    </w:rPr>
  </w:style>
  <w:style w:type="paragraph" w:styleId="3">
    <w:name w:val="heading 3"/>
    <w:basedOn w:val="Normal1"/>
    <w:next w:val="Normal1"/>
    <w:qFormat/>
    <w:rsid w:val="005D3932"/>
    <w:pPr>
      <w:spacing w:before="280" w:after="80"/>
      <w:outlineLvl w:val="2"/>
    </w:pPr>
    <w:rPr>
      <w:b/>
      <w:color w:val="666666"/>
      <w:sz w:val="24"/>
    </w:rPr>
  </w:style>
  <w:style w:type="paragraph" w:styleId="4">
    <w:name w:val="heading 4"/>
    <w:basedOn w:val="Normal1"/>
    <w:next w:val="Normal1"/>
    <w:qFormat/>
    <w:rsid w:val="005D3932"/>
    <w:pPr>
      <w:spacing w:before="240" w:after="40"/>
      <w:outlineLvl w:val="3"/>
    </w:pPr>
    <w:rPr>
      <w:i/>
      <w:color w:val="666666"/>
    </w:rPr>
  </w:style>
  <w:style w:type="paragraph" w:styleId="5">
    <w:name w:val="heading 5"/>
    <w:basedOn w:val="Normal1"/>
    <w:next w:val="Normal1"/>
    <w:qFormat/>
    <w:rsid w:val="005D3932"/>
    <w:pPr>
      <w:spacing w:before="220" w:after="40"/>
      <w:outlineLvl w:val="4"/>
    </w:pPr>
    <w:rPr>
      <w:b/>
      <w:color w:val="666666"/>
      <w:sz w:val="20"/>
    </w:rPr>
  </w:style>
  <w:style w:type="paragraph" w:styleId="6">
    <w:name w:val="heading 6"/>
    <w:basedOn w:val="Normal1"/>
    <w:next w:val="Normal1"/>
    <w:qFormat/>
    <w:rsid w:val="005D3932"/>
    <w:pPr>
      <w:spacing w:before="200" w:after="40"/>
      <w:outlineLvl w:val="5"/>
    </w:pPr>
    <w:rPr>
      <w:i/>
      <w:color w:val="666666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D3932"/>
    <w:pPr>
      <w:spacing w:line="276" w:lineRule="auto"/>
    </w:pPr>
    <w:rPr>
      <w:rFonts w:ascii="Arial" w:eastAsia="Arial" w:hAnsi="Arial" w:cs="Arial"/>
      <w:color w:val="000000"/>
      <w:kern w:val="2"/>
      <w:sz w:val="22"/>
      <w:szCs w:val="22"/>
    </w:rPr>
  </w:style>
  <w:style w:type="paragraph" w:styleId="a3">
    <w:name w:val="Title"/>
    <w:basedOn w:val="Normal1"/>
    <w:next w:val="Normal1"/>
    <w:qFormat/>
    <w:rsid w:val="005D3932"/>
    <w:pPr>
      <w:spacing w:before="480" w:after="120"/>
    </w:pPr>
    <w:rPr>
      <w:b/>
      <w:sz w:val="72"/>
    </w:rPr>
  </w:style>
  <w:style w:type="paragraph" w:styleId="a4">
    <w:name w:val="Subtitle"/>
    <w:basedOn w:val="Normal1"/>
    <w:next w:val="Normal1"/>
    <w:qFormat/>
    <w:rsid w:val="005D3932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a5">
    <w:name w:val="header"/>
    <w:basedOn w:val="a"/>
    <w:link w:val="a6"/>
    <w:uiPriority w:val="99"/>
    <w:semiHidden/>
    <w:unhideWhenUsed/>
    <w:rsid w:val="00C2492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C24926"/>
  </w:style>
  <w:style w:type="paragraph" w:styleId="a7">
    <w:name w:val="footer"/>
    <w:basedOn w:val="a"/>
    <w:link w:val="a8"/>
    <w:uiPriority w:val="99"/>
    <w:semiHidden/>
    <w:unhideWhenUsed/>
    <w:rsid w:val="00C2492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C24926"/>
  </w:style>
  <w:style w:type="paragraph" w:styleId="a9">
    <w:name w:val="Balloon Text"/>
    <w:basedOn w:val="a"/>
    <w:link w:val="aa"/>
    <w:uiPriority w:val="99"/>
    <w:semiHidden/>
    <w:unhideWhenUsed/>
    <w:rsid w:val="00C24926"/>
    <w:pPr>
      <w:jc w:val="left"/>
    </w:pPr>
    <w:rPr>
      <w:rFonts w:ascii="Tahoma" w:eastAsia="ＭＳ ゴシック" w:hAnsi="Tahoma"/>
      <w:sz w:val="16"/>
      <w:szCs w:val="18"/>
      <w:lang w:val="x-none"/>
    </w:rPr>
  </w:style>
  <w:style w:type="character" w:customStyle="1" w:styleId="aa">
    <w:name w:val="吹き出し (文字)"/>
    <w:link w:val="a9"/>
    <w:uiPriority w:val="99"/>
    <w:semiHidden/>
    <w:rsid w:val="00C24926"/>
    <w:rPr>
      <w:rFonts w:ascii="Tahoma" w:eastAsia="ＭＳ ゴシック" w:hAnsi="Tahoma"/>
      <w:kern w:val="2"/>
      <w:sz w:val="16"/>
      <w:szCs w:val="18"/>
      <w:lang w:eastAsia="ja-JP"/>
    </w:rPr>
  </w:style>
  <w:style w:type="character" w:styleId="ab">
    <w:name w:val="annotation reference"/>
    <w:uiPriority w:val="99"/>
    <w:unhideWhenUsed/>
    <w:rsid w:val="00390450"/>
    <w:rPr>
      <w:sz w:val="18"/>
      <w:szCs w:val="18"/>
    </w:rPr>
  </w:style>
  <w:style w:type="paragraph" w:styleId="ac">
    <w:name w:val="annotation text"/>
    <w:basedOn w:val="a"/>
    <w:link w:val="ad"/>
    <w:unhideWhenUsed/>
    <w:rsid w:val="00390450"/>
    <w:rPr>
      <w:sz w:val="24"/>
      <w:szCs w:val="24"/>
      <w:lang w:val="x-none"/>
    </w:rPr>
  </w:style>
  <w:style w:type="character" w:customStyle="1" w:styleId="ad">
    <w:name w:val="コメント文字列 (文字)"/>
    <w:link w:val="ac"/>
    <w:rsid w:val="00390450"/>
    <w:rPr>
      <w:kern w:val="2"/>
      <w:sz w:val="24"/>
      <w:szCs w:val="24"/>
      <w:lang w:eastAsia="ja-JP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90450"/>
    <w:rPr>
      <w:b/>
      <w:bCs/>
    </w:rPr>
  </w:style>
  <w:style w:type="character" w:customStyle="1" w:styleId="af">
    <w:name w:val="コメント内容 (文字)"/>
    <w:link w:val="ae"/>
    <w:uiPriority w:val="99"/>
    <w:semiHidden/>
    <w:rsid w:val="00390450"/>
    <w:rPr>
      <w:b/>
      <w:bCs/>
      <w:kern w:val="2"/>
      <w:sz w:val="24"/>
      <w:szCs w:val="24"/>
      <w:lang w:eastAsia="ja-JP"/>
    </w:rPr>
  </w:style>
  <w:style w:type="paragraph" w:customStyle="1" w:styleId="121">
    <w:name w:val="表 (青) 121"/>
    <w:hidden/>
    <w:uiPriority w:val="99"/>
    <w:semiHidden/>
    <w:rsid w:val="00063503"/>
    <w:rPr>
      <w:kern w:val="2"/>
      <w:sz w:val="21"/>
      <w:szCs w:val="22"/>
    </w:rPr>
  </w:style>
  <w:style w:type="character" w:styleId="af0">
    <w:name w:val="Hyperlink"/>
    <w:uiPriority w:val="99"/>
    <w:unhideWhenUsed/>
    <w:rsid w:val="00AE55F5"/>
    <w:rPr>
      <w:color w:val="0000FF"/>
      <w:u w:val="single"/>
    </w:rPr>
  </w:style>
  <w:style w:type="paragraph" w:customStyle="1" w:styleId="122">
    <w:name w:val="表 (青) 122"/>
    <w:hidden/>
    <w:uiPriority w:val="99"/>
    <w:semiHidden/>
    <w:rsid w:val="005D034A"/>
    <w:rPr>
      <w:kern w:val="2"/>
      <w:sz w:val="21"/>
      <w:szCs w:val="22"/>
    </w:rPr>
  </w:style>
  <w:style w:type="character" w:styleId="af1">
    <w:name w:val="FollowedHyperlink"/>
    <w:uiPriority w:val="99"/>
    <w:semiHidden/>
    <w:unhideWhenUsed/>
    <w:rsid w:val="00551F2B"/>
    <w:rPr>
      <w:color w:val="800080"/>
      <w:u w:val="single"/>
    </w:rPr>
  </w:style>
  <w:style w:type="paragraph" w:styleId="af2">
    <w:name w:val="Document Map"/>
    <w:basedOn w:val="a"/>
    <w:link w:val="af3"/>
    <w:uiPriority w:val="99"/>
    <w:semiHidden/>
    <w:unhideWhenUsed/>
    <w:rsid w:val="00F3116D"/>
    <w:rPr>
      <w:rFonts w:ascii="ヒラギノ角ゴ ProN W3" w:eastAsia="ヒラギノ角ゴ ProN W3"/>
      <w:sz w:val="24"/>
      <w:szCs w:val="24"/>
      <w:lang w:val="x-none" w:eastAsia="x-none"/>
    </w:rPr>
  </w:style>
  <w:style w:type="character" w:customStyle="1" w:styleId="af3">
    <w:name w:val="見出しマップ (文字)"/>
    <w:link w:val="af2"/>
    <w:uiPriority w:val="99"/>
    <w:semiHidden/>
    <w:rsid w:val="00F3116D"/>
    <w:rPr>
      <w:rFonts w:ascii="ヒラギノ角ゴ ProN W3" w:eastAsia="ヒラギノ角ゴ ProN W3"/>
      <w:kern w:val="2"/>
      <w:sz w:val="24"/>
      <w:szCs w:val="24"/>
    </w:rPr>
  </w:style>
  <w:style w:type="paragraph" w:styleId="af4">
    <w:name w:val="Revision"/>
    <w:hidden/>
    <w:uiPriority w:val="99"/>
    <w:semiHidden/>
    <w:rsid w:val="00F91E05"/>
    <w:rPr>
      <w:kern w:val="2"/>
      <w:sz w:val="21"/>
      <w:szCs w:val="22"/>
    </w:rPr>
  </w:style>
  <w:style w:type="paragraph" w:styleId="Web">
    <w:name w:val="Normal (Web)"/>
    <w:basedOn w:val="a"/>
    <w:uiPriority w:val="99"/>
    <w:semiHidden/>
    <w:unhideWhenUsed/>
    <w:rsid w:val="005A0FB4"/>
    <w:pPr>
      <w:widowControl/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</w:rPr>
  </w:style>
  <w:style w:type="character" w:customStyle="1" w:styleId="10">
    <w:name w:val="見出し 1 (文字)"/>
    <w:basedOn w:val="a0"/>
    <w:link w:val="1"/>
    <w:rsid w:val="007528B3"/>
    <w:rPr>
      <w:rFonts w:ascii="Arial" w:eastAsia="Arial" w:hAnsi="Arial" w:cs="Arial"/>
      <w:b/>
      <w:color w:val="000000"/>
      <w:kern w:val="2"/>
      <w:sz w:val="3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5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069BF-4EC3-B040-A819-5BAB22B47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1351</Words>
  <Characters>7706</Characters>
  <Application>Microsoft Macintosh Word</Application>
  <DocSecurity>0</DocSecurity>
  <Lines>64</Lines>
  <Paragraphs>18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Quartz-Seq: a simple and highly quantitative method for single-cell RNA-seq.docx</vt:lpstr>
    </vt:vector>
  </TitlesOfParts>
  <Company>Microsoft</Company>
  <LinksUpToDate>false</LinksUpToDate>
  <CharactersWithSpaces>9039</CharactersWithSpaces>
  <SharedDoc>false</SharedDoc>
  <HLinks>
    <vt:vector size="6" baseType="variant">
      <vt:variant>
        <vt:i4>7602302</vt:i4>
      </vt:variant>
      <vt:variant>
        <vt:i4>123</vt:i4>
      </vt:variant>
      <vt:variant>
        <vt:i4>0</vt:i4>
      </vt:variant>
      <vt:variant>
        <vt:i4>5</vt:i4>
      </vt:variant>
      <vt:variant>
        <vt:lpwstr>http://quartz-seq.org/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Quartz-Seq: a simple and highly quantitative method for single-cell RNA-seq.docx</dc:title>
  <dc:creator>SASAPAPA</dc:creator>
  <cp:lastModifiedBy>笹川 洋平</cp:lastModifiedBy>
  <cp:revision>8</cp:revision>
  <cp:lastPrinted>2012-11-12T09:51:00Z</cp:lastPrinted>
  <dcterms:created xsi:type="dcterms:W3CDTF">2013-02-28T09:57:00Z</dcterms:created>
  <dcterms:modified xsi:type="dcterms:W3CDTF">2013-04-13T08:22:00Z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PERS2_INFO_01">
    <vt:lpwstr>&lt;info&gt;&lt;style id="http://www.zotero.org/styles/apa"/&gt;&lt;format class="1"/&gt;&lt;/info&gt;PAPERS2_INFO_END</vt:lpwstr>
  </property>
</Properties>
</file>