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5B8" w:rsidRPr="00535579" w:rsidRDefault="00535579" w:rsidP="00535579">
      <w:pPr>
        <w:jc w:val="center"/>
        <w:rPr>
          <w:rFonts w:ascii="Times New Roman" w:hAnsi="Times New Roman"/>
          <w:b/>
          <w:sz w:val="24"/>
        </w:rPr>
      </w:pPr>
      <w:bookmarkStart w:id="0" w:name="_GoBack"/>
      <w:bookmarkEnd w:id="0"/>
      <w:r w:rsidRPr="00535579">
        <w:rPr>
          <w:rFonts w:ascii="Times New Roman" w:hAnsi="Times New Roman"/>
          <w:b/>
          <w:sz w:val="24"/>
        </w:rPr>
        <w:t>Supplementary Materials</w:t>
      </w:r>
    </w:p>
    <w:p w:rsidR="00535579" w:rsidRPr="00535579" w:rsidRDefault="00535579" w:rsidP="00535579">
      <w:pPr>
        <w:jc w:val="center"/>
        <w:rPr>
          <w:rFonts w:ascii="Times New Roman" w:hAnsi="Times New Roman"/>
          <w:sz w:val="24"/>
        </w:rPr>
      </w:pPr>
    </w:p>
    <w:p w:rsidR="00535579" w:rsidRDefault="00535579" w:rsidP="00535579">
      <w:pPr>
        <w:pStyle w:val="NoSpacing"/>
        <w:rPr>
          <w:rFonts w:ascii="Times New Roman" w:hAnsi="Times New Roman"/>
          <w:sz w:val="24"/>
        </w:rPr>
      </w:pPr>
    </w:p>
    <w:p w:rsidR="00535579" w:rsidRDefault="00535579" w:rsidP="00535579">
      <w:pPr>
        <w:pStyle w:val="NoSpacing"/>
        <w:rPr>
          <w:rFonts w:ascii="Times New Roman" w:hAnsi="Times New Roman"/>
          <w:sz w:val="24"/>
        </w:rPr>
      </w:pPr>
    </w:p>
    <w:p w:rsidR="00535579" w:rsidRDefault="00535579" w:rsidP="00535579">
      <w:pPr>
        <w:pStyle w:val="NoSpacing"/>
        <w:rPr>
          <w:rFonts w:ascii="Times New Roman" w:hAnsi="Times New Roman"/>
          <w:sz w:val="24"/>
        </w:rPr>
      </w:pPr>
    </w:p>
    <w:p w:rsidR="00C87AC5" w:rsidRPr="00C87AC5" w:rsidRDefault="00C87AC5" w:rsidP="00535579">
      <w:pPr>
        <w:pStyle w:val="NoSpacing"/>
        <w:rPr>
          <w:rFonts w:ascii="Times New Roman" w:hAnsi="Times New Roman"/>
          <w:b/>
          <w:sz w:val="24"/>
        </w:rPr>
      </w:pPr>
      <w:r w:rsidRPr="00C87AC5">
        <w:rPr>
          <w:rFonts w:ascii="Times New Roman" w:hAnsi="Times New Roman"/>
          <w:b/>
          <w:sz w:val="24"/>
        </w:rPr>
        <w:t>Supplementary Methods:</w:t>
      </w:r>
    </w:p>
    <w:p w:rsidR="00C87AC5" w:rsidRDefault="00C87AC5" w:rsidP="00535579">
      <w:pPr>
        <w:pStyle w:val="NoSpacing"/>
        <w:rPr>
          <w:rFonts w:ascii="Times New Roman" w:hAnsi="Times New Roman"/>
          <w:sz w:val="24"/>
        </w:rPr>
      </w:pPr>
    </w:p>
    <w:p w:rsidR="00C87AC5" w:rsidRPr="00C87AC5" w:rsidRDefault="00C87AC5" w:rsidP="00535579">
      <w:pPr>
        <w:pStyle w:val="NoSpacing"/>
        <w:rPr>
          <w:rFonts w:ascii="Times New Roman" w:hAnsi="Times New Roman"/>
          <w:b/>
          <w:sz w:val="24"/>
        </w:rPr>
      </w:pPr>
      <w:r w:rsidRPr="00C87AC5">
        <w:rPr>
          <w:rFonts w:ascii="Times New Roman" w:hAnsi="Times New Roman"/>
          <w:b/>
          <w:sz w:val="24"/>
        </w:rPr>
        <w:t>Canonical Variates Analysis</w:t>
      </w:r>
    </w:p>
    <w:p w:rsidR="00C87AC5" w:rsidRDefault="00C87AC5" w:rsidP="00535579">
      <w:pPr>
        <w:pStyle w:val="NoSpacing"/>
        <w:rPr>
          <w:rFonts w:ascii="Times New Roman" w:hAnsi="Times New Roman"/>
          <w:sz w:val="24"/>
        </w:rPr>
      </w:pPr>
    </w:p>
    <w:p w:rsidR="00C87AC5" w:rsidRDefault="00C87AC5" w:rsidP="00C87AC5">
      <w:pPr>
        <w:pStyle w:val="NoSpacing"/>
        <w:spacing w:line="360" w:lineRule="auto"/>
        <w:jc w:val="both"/>
        <w:rPr>
          <w:rFonts w:ascii="Times New Roman" w:hAnsi="Times New Roman"/>
          <w:sz w:val="24"/>
        </w:rPr>
      </w:pPr>
      <w:r>
        <w:rPr>
          <w:rFonts w:ascii="Times New Roman" w:hAnsi="Times New Roman"/>
          <w:sz w:val="24"/>
        </w:rPr>
        <w:tab/>
      </w:r>
      <w:r w:rsidRPr="00C87AC5">
        <w:rPr>
          <w:rFonts w:ascii="Times New Roman" w:hAnsi="Times New Roman"/>
          <w:sz w:val="24"/>
        </w:rPr>
        <w:t>Whereas PCA recovers underlying structures in</w:t>
      </w:r>
      <w:r>
        <w:rPr>
          <w:rFonts w:ascii="Times New Roman" w:hAnsi="Times New Roman"/>
          <w:sz w:val="24"/>
        </w:rPr>
        <w:t xml:space="preserve"> </w:t>
      </w:r>
      <w:r w:rsidRPr="00C87AC5">
        <w:rPr>
          <w:rFonts w:ascii="Times New Roman" w:hAnsi="Times New Roman"/>
          <w:sz w:val="24"/>
        </w:rPr>
        <w:t>the data without any a priori grouping of objects, separation between predefined</w:t>
      </w:r>
      <w:r>
        <w:rPr>
          <w:rFonts w:ascii="Times New Roman" w:hAnsi="Times New Roman"/>
          <w:sz w:val="24"/>
        </w:rPr>
        <w:t xml:space="preserve"> </w:t>
      </w:r>
      <w:r w:rsidRPr="00C87AC5">
        <w:rPr>
          <w:rFonts w:ascii="Times New Roman" w:hAnsi="Times New Roman"/>
          <w:sz w:val="24"/>
        </w:rPr>
        <w:t>groups of objects is best revealed by CVA. CVA was used to determine whether</w:t>
      </w:r>
      <w:r>
        <w:rPr>
          <w:rFonts w:ascii="Times New Roman" w:hAnsi="Times New Roman"/>
          <w:sz w:val="24"/>
        </w:rPr>
        <w:t xml:space="preserve"> </w:t>
      </w:r>
      <w:r w:rsidRPr="00C87AC5">
        <w:rPr>
          <w:rFonts w:ascii="Times New Roman" w:hAnsi="Times New Roman"/>
          <w:sz w:val="24"/>
        </w:rPr>
        <w:t>the groups of responders and nonresponders are separable in the multidimensional</w:t>
      </w:r>
      <w:r>
        <w:rPr>
          <w:rFonts w:ascii="Times New Roman" w:hAnsi="Times New Roman"/>
          <w:sz w:val="24"/>
        </w:rPr>
        <w:t xml:space="preserve"> </w:t>
      </w:r>
      <w:r w:rsidRPr="00C87AC5">
        <w:rPr>
          <w:rFonts w:ascii="Times New Roman" w:hAnsi="Times New Roman"/>
          <w:sz w:val="24"/>
        </w:rPr>
        <w:t>space spanned by the genetic variables, and if so, which gene subsets</w:t>
      </w:r>
      <w:r>
        <w:rPr>
          <w:rFonts w:ascii="Times New Roman" w:hAnsi="Times New Roman"/>
          <w:sz w:val="24"/>
        </w:rPr>
        <w:t xml:space="preserve"> </w:t>
      </w:r>
      <w:r w:rsidRPr="00C87AC5">
        <w:rPr>
          <w:rFonts w:ascii="Times New Roman" w:hAnsi="Times New Roman"/>
          <w:sz w:val="24"/>
        </w:rPr>
        <w:t>have the best discriminatory power. The results of CVA are the so-called canonical</w:t>
      </w:r>
      <w:r>
        <w:rPr>
          <w:rFonts w:ascii="Times New Roman" w:hAnsi="Times New Roman"/>
          <w:sz w:val="24"/>
        </w:rPr>
        <w:t xml:space="preserve"> </w:t>
      </w:r>
      <w:r w:rsidRPr="00C87AC5">
        <w:rPr>
          <w:rFonts w:ascii="Times New Roman" w:hAnsi="Times New Roman"/>
          <w:sz w:val="24"/>
        </w:rPr>
        <w:t>scores obtained from the canonical functions derived through eigenanalysis,</w:t>
      </w:r>
      <w:r>
        <w:rPr>
          <w:rFonts w:ascii="Times New Roman" w:hAnsi="Times New Roman"/>
          <w:sz w:val="24"/>
        </w:rPr>
        <w:t xml:space="preserve"> </w:t>
      </w:r>
      <w:r w:rsidRPr="00C87AC5">
        <w:rPr>
          <w:rFonts w:ascii="Times New Roman" w:hAnsi="Times New Roman"/>
          <w:sz w:val="24"/>
        </w:rPr>
        <w:t>which serve as coordinates of observations in the canonical space.</w:t>
      </w:r>
      <w:r>
        <w:rPr>
          <w:rFonts w:ascii="Times New Roman" w:hAnsi="Times New Roman"/>
          <w:sz w:val="24"/>
        </w:rPr>
        <w:t xml:space="preserve"> </w:t>
      </w:r>
      <w:r w:rsidRPr="00C87AC5">
        <w:rPr>
          <w:rFonts w:ascii="Times New Roman" w:hAnsi="Times New Roman"/>
          <w:sz w:val="24"/>
        </w:rPr>
        <w:t>Since the maximum number of canonical axes is 1 less than the number</w:t>
      </w:r>
      <w:r>
        <w:rPr>
          <w:rFonts w:ascii="Times New Roman" w:hAnsi="Times New Roman"/>
          <w:sz w:val="24"/>
        </w:rPr>
        <w:t xml:space="preserve"> </w:t>
      </w:r>
      <w:r w:rsidRPr="00C87AC5">
        <w:rPr>
          <w:rFonts w:ascii="Times New Roman" w:hAnsi="Times New Roman"/>
          <w:sz w:val="24"/>
        </w:rPr>
        <w:t>of groups, in our study CVA did not allow graphic display, and separation</w:t>
      </w:r>
      <w:r>
        <w:rPr>
          <w:rFonts w:ascii="Times New Roman" w:hAnsi="Times New Roman"/>
          <w:sz w:val="24"/>
        </w:rPr>
        <w:t xml:space="preserve"> </w:t>
      </w:r>
      <w:r w:rsidRPr="00C87AC5">
        <w:rPr>
          <w:rFonts w:ascii="Times New Roman" w:hAnsi="Times New Roman"/>
          <w:sz w:val="24"/>
        </w:rPr>
        <w:t>of responders and nonresponders is expressed merely by a list of scores for</w:t>
      </w:r>
      <w:r>
        <w:rPr>
          <w:rFonts w:ascii="Times New Roman" w:hAnsi="Times New Roman"/>
          <w:sz w:val="24"/>
        </w:rPr>
        <w:t xml:space="preserve"> </w:t>
      </w:r>
      <w:r w:rsidRPr="00C87AC5">
        <w:rPr>
          <w:rFonts w:ascii="Times New Roman" w:hAnsi="Times New Roman"/>
          <w:sz w:val="24"/>
        </w:rPr>
        <w:t xml:space="preserve">observations on a </w:t>
      </w:r>
      <w:r>
        <w:rPr>
          <w:rFonts w:ascii="Times New Roman" w:hAnsi="Times New Roman"/>
          <w:sz w:val="24"/>
        </w:rPr>
        <w:t>s</w:t>
      </w:r>
      <w:r w:rsidRPr="00C87AC5">
        <w:rPr>
          <w:rFonts w:ascii="Times New Roman" w:hAnsi="Times New Roman"/>
          <w:sz w:val="24"/>
        </w:rPr>
        <w:t xml:space="preserve">ingle canonical axis. </w:t>
      </w:r>
    </w:p>
    <w:p w:rsidR="00C87AC5" w:rsidRPr="00C87AC5" w:rsidRDefault="00C87AC5" w:rsidP="00C87AC5">
      <w:pPr>
        <w:pStyle w:val="NoSpacing"/>
        <w:spacing w:line="360" w:lineRule="auto"/>
        <w:jc w:val="both"/>
        <w:rPr>
          <w:rFonts w:ascii="Times New Roman" w:hAnsi="Times New Roman"/>
          <w:sz w:val="24"/>
        </w:rPr>
      </w:pPr>
      <w:r>
        <w:rPr>
          <w:rFonts w:ascii="Times New Roman" w:hAnsi="Times New Roman"/>
          <w:sz w:val="24"/>
        </w:rPr>
        <w:tab/>
      </w:r>
      <w:r w:rsidRPr="00C87AC5">
        <w:rPr>
          <w:rFonts w:ascii="Times New Roman" w:hAnsi="Times New Roman"/>
          <w:sz w:val="24"/>
        </w:rPr>
        <w:t>If the observations are taken at random</w:t>
      </w:r>
      <w:r>
        <w:rPr>
          <w:rFonts w:ascii="Times New Roman" w:hAnsi="Times New Roman"/>
          <w:sz w:val="24"/>
        </w:rPr>
        <w:t xml:space="preserve"> </w:t>
      </w:r>
      <w:r w:rsidRPr="00C87AC5">
        <w:rPr>
          <w:rFonts w:ascii="Times New Roman" w:hAnsi="Times New Roman"/>
          <w:sz w:val="24"/>
        </w:rPr>
        <w:t xml:space="preserve">and the variables satisfy </w:t>
      </w:r>
      <w:r>
        <w:rPr>
          <w:rFonts w:ascii="Times New Roman" w:hAnsi="Times New Roman"/>
          <w:sz w:val="24"/>
        </w:rPr>
        <w:t>m</w:t>
      </w:r>
      <w:r w:rsidRPr="00C87AC5">
        <w:rPr>
          <w:rFonts w:ascii="Times New Roman" w:hAnsi="Times New Roman"/>
          <w:sz w:val="24"/>
        </w:rPr>
        <w:t>ultivariate normality, then statistical procedures</w:t>
      </w:r>
      <w:r>
        <w:rPr>
          <w:rFonts w:ascii="Times New Roman" w:hAnsi="Times New Roman"/>
          <w:sz w:val="24"/>
        </w:rPr>
        <w:t xml:space="preserve"> </w:t>
      </w:r>
      <w:r w:rsidRPr="00C87AC5">
        <w:rPr>
          <w:rFonts w:ascii="Times New Roman" w:hAnsi="Times New Roman"/>
          <w:sz w:val="24"/>
        </w:rPr>
        <w:t>are available to test the significance of group separation.</w:t>
      </w:r>
      <w:r>
        <w:rPr>
          <w:rFonts w:ascii="Times New Roman" w:hAnsi="Times New Roman"/>
          <w:sz w:val="24"/>
        </w:rPr>
        <w:t xml:space="preserve"> </w:t>
      </w:r>
      <w:r w:rsidRPr="00C87AC5">
        <w:rPr>
          <w:rFonts w:ascii="Times New Roman" w:hAnsi="Times New Roman"/>
          <w:sz w:val="24"/>
        </w:rPr>
        <w:t>Nevertheless, if these criteria are not met, as in our case, examination of the</w:t>
      </w:r>
      <w:r>
        <w:rPr>
          <w:rFonts w:ascii="Times New Roman" w:hAnsi="Times New Roman"/>
          <w:sz w:val="24"/>
        </w:rPr>
        <w:t xml:space="preserve"> </w:t>
      </w:r>
      <w:r w:rsidRPr="00C87AC5">
        <w:rPr>
          <w:rFonts w:ascii="Times New Roman" w:hAnsi="Times New Roman"/>
          <w:sz w:val="24"/>
        </w:rPr>
        <w:t>2 groups as to whether they overlap on the canonical axis or not provides</w:t>
      </w:r>
      <w:r>
        <w:rPr>
          <w:rFonts w:ascii="Times New Roman" w:hAnsi="Times New Roman"/>
          <w:sz w:val="24"/>
        </w:rPr>
        <w:t xml:space="preserve"> </w:t>
      </w:r>
      <w:r w:rsidRPr="00C87AC5">
        <w:rPr>
          <w:rFonts w:ascii="Times New Roman" w:hAnsi="Times New Roman"/>
          <w:sz w:val="24"/>
        </w:rPr>
        <w:t>equally meaningful information. A partial limitation of CVA is that the number</w:t>
      </w:r>
      <w:r>
        <w:rPr>
          <w:rFonts w:ascii="Times New Roman" w:hAnsi="Times New Roman"/>
          <w:sz w:val="24"/>
        </w:rPr>
        <w:t xml:space="preserve"> </w:t>
      </w:r>
      <w:r w:rsidRPr="00C87AC5">
        <w:rPr>
          <w:rFonts w:ascii="Times New Roman" w:hAnsi="Times New Roman"/>
          <w:sz w:val="24"/>
        </w:rPr>
        <w:t>of variables cannot exceed the number of observations (patients).</w:t>
      </w:r>
      <w:r>
        <w:rPr>
          <w:rFonts w:ascii="Times New Roman" w:hAnsi="Times New Roman"/>
          <w:sz w:val="24"/>
        </w:rPr>
        <w:t xml:space="preserve"> </w:t>
      </w:r>
      <w:r w:rsidRPr="00C87AC5">
        <w:rPr>
          <w:rFonts w:ascii="Times New Roman" w:hAnsi="Times New Roman"/>
          <w:sz w:val="24"/>
        </w:rPr>
        <w:t>Therefore, many CVA runs were carried out using different subsets of</w:t>
      </w:r>
      <w:r>
        <w:rPr>
          <w:rFonts w:ascii="Times New Roman" w:hAnsi="Times New Roman"/>
          <w:sz w:val="24"/>
        </w:rPr>
        <w:t xml:space="preserve"> </w:t>
      </w:r>
      <w:r w:rsidRPr="00C87AC5">
        <w:rPr>
          <w:rFonts w:ascii="Times New Roman" w:hAnsi="Times New Roman"/>
          <w:sz w:val="24"/>
        </w:rPr>
        <w:t xml:space="preserve">genes, each subset defined on a logical basis. As a control, we used </w:t>
      </w:r>
      <w:r>
        <w:rPr>
          <w:rFonts w:ascii="Times New Roman" w:hAnsi="Times New Roman"/>
          <w:sz w:val="24"/>
        </w:rPr>
        <w:t xml:space="preserve"> s</w:t>
      </w:r>
      <w:r w:rsidRPr="00C87AC5">
        <w:rPr>
          <w:rFonts w:ascii="Times New Roman" w:hAnsi="Times New Roman"/>
          <w:sz w:val="24"/>
        </w:rPr>
        <w:t>everal</w:t>
      </w:r>
      <w:r>
        <w:rPr>
          <w:rFonts w:ascii="Times New Roman" w:hAnsi="Times New Roman"/>
          <w:sz w:val="24"/>
        </w:rPr>
        <w:t xml:space="preserve"> </w:t>
      </w:r>
      <w:r w:rsidRPr="00C87AC5">
        <w:rPr>
          <w:rFonts w:ascii="Times New Roman" w:hAnsi="Times New Roman"/>
          <w:sz w:val="24"/>
        </w:rPr>
        <w:t>sets of genes selected randomly from a set of genes known to have no influence</w:t>
      </w:r>
      <w:r>
        <w:rPr>
          <w:rFonts w:ascii="Times New Roman" w:hAnsi="Times New Roman"/>
          <w:sz w:val="24"/>
        </w:rPr>
        <w:t xml:space="preserve"> </w:t>
      </w:r>
      <w:r w:rsidRPr="00C87AC5">
        <w:rPr>
          <w:rFonts w:ascii="Times New Roman" w:hAnsi="Times New Roman"/>
          <w:sz w:val="24"/>
        </w:rPr>
        <w:t>on group separation.</w:t>
      </w:r>
    </w:p>
    <w:p w:rsidR="00C87AC5" w:rsidRDefault="00C87AC5" w:rsidP="00C87AC5">
      <w:pPr>
        <w:pStyle w:val="NoSpacing"/>
        <w:spacing w:line="360" w:lineRule="auto"/>
        <w:rPr>
          <w:rFonts w:ascii="Times New Roman" w:hAnsi="Times New Roman"/>
          <w:sz w:val="24"/>
        </w:rPr>
      </w:pPr>
      <w:r>
        <w:rPr>
          <w:rFonts w:ascii="Times New Roman" w:hAnsi="Times New Roman"/>
          <w:sz w:val="24"/>
        </w:rPr>
        <w:tab/>
      </w:r>
      <w:r w:rsidRPr="00C87AC5">
        <w:rPr>
          <w:rFonts w:ascii="Times New Roman" w:hAnsi="Times New Roman"/>
          <w:sz w:val="24"/>
        </w:rPr>
        <w:t xml:space="preserve">Computations were performed </w:t>
      </w:r>
      <w:r>
        <w:rPr>
          <w:rFonts w:ascii="Times New Roman" w:hAnsi="Times New Roman"/>
          <w:sz w:val="24"/>
        </w:rPr>
        <w:t>using the Syn-Tax 2000 package.</w:t>
      </w:r>
    </w:p>
    <w:p w:rsidR="005013F7" w:rsidRDefault="005013F7" w:rsidP="00C87AC5">
      <w:pPr>
        <w:pStyle w:val="NoSpacing"/>
        <w:spacing w:line="360" w:lineRule="auto"/>
        <w:rPr>
          <w:rFonts w:ascii="Times New Roman" w:hAnsi="Times New Roman"/>
          <w:sz w:val="24"/>
        </w:rPr>
      </w:pPr>
    </w:p>
    <w:p w:rsidR="005013F7" w:rsidRDefault="005013F7" w:rsidP="005013F7">
      <w:pPr>
        <w:spacing w:line="480" w:lineRule="auto"/>
        <w:jc w:val="both"/>
        <w:rPr>
          <w:rFonts w:ascii="Times New Roman" w:hAnsi="Times New Roman"/>
          <w:b/>
          <w:szCs w:val="24"/>
        </w:rPr>
      </w:pPr>
      <w:r>
        <w:rPr>
          <w:rFonts w:ascii="Times New Roman" w:hAnsi="Times New Roman"/>
          <w:b/>
          <w:szCs w:val="24"/>
        </w:rPr>
        <w:t xml:space="preserve">Supplementary </w:t>
      </w:r>
      <w:r w:rsidRPr="00F915A9">
        <w:rPr>
          <w:rFonts w:ascii="Times New Roman" w:hAnsi="Times New Roman"/>
          <w:b/>
          <w:szCs w:val="24"/>
        </w:rPr>
        <w:t xml:space="preserve">Table </w:t>
      </w:r>
      <w:r>
        <w:rPr>
          <w:rFonts w:ascii="Times New Roman" w:hAnsi="Times New Roman"/>
          <w:b/>
          <w:szCs w:val="24"/>
        </w:rPr>
        <w:t>1</w:t>
      </w:r>
      <w:r w:rsidRPr="00F915A9">
        <w:rPr>
          <w:rFonts w:ascii="Times New Roman" w:hAnsi="Times New Roman"/>
          <w:b/>
          <w:szCs w:val="24"/>
        </w:rPr>
        <w:t xml:space="preserve">: </w:t>
      </w:r>
      <w:r>
        <w:rPr>
          <w:rFonts w:ascii="Times New Roman" w:hAnsi="Times New Roman"/>
          <w:b/>
          <w:szCs w:val="24"/>
        </w:rPr>
        <w:t>Details of the genes used for validation</w:t>
      </w:r>
    </w:p>
    <w:p w:rsidR="001F3BFD" w:rsidRPr="001F3BFD" w:rsidRDefault="001F3BFD" w:rsidP="005013F7">
      <w:pPr>
        <w:spacing w:line="480" w:lineRule="auto"/>
        <w:jc w:val="both"/>
        <w:rPr>
          <w:rFonts w:ascii="Times New Roman" w:hAnsi="Times New Roman"/>
          <w:szCs w:val="24"/>
        </w:rPr>
      </w:pPr>
      <w:r>
        <w:rPr>
          <w:rFonts w:ascii="Times New Roman" w:hAnsi="Times New Roman"/>
          <w:szCs w:val="24"/>
        </w:rPr>
        <w:t>Lists of genes, which were chosen for validation based on our microarray results (baseline or week 2) and the related litreture.</w:t>
      </w:r>
      <w:r w:rsidR="00AD13A1">
        <w:rPr>
          <w:rFonts w:ascii="Times New Roman" w:hAnsi="Times New Roman"/>
          <w:szCs w:val="24"/>
        </w:rPr>
        <w:t xml:space="preserve"> Genes marked with green are included in the gene panels with the best discriminatory power after the RT-QPCR validation. </w:t>
      </w:r>
      <w:r>
        <w:rPr>
          <w:rFonts w:ascii="Times New Roman" w:hAnsi="Times New Roman"/>
          <w:szCs w:val="24"/>
        </w:rPr>
        <w:t xml:space="preserve"> </w:t>
      </w:r>
    </w:p>
    <w:p w:rsidR="005013F7" w:rsidRDefault="005013F7" w:rsidP="005013F7">
      <w:pPr>
        <w:spacing w:line="480" w:lineRule="auto"/>
        <w:jc w:val="both"/>
        <w:rPr>
          <w:rFonts w:ascii="Times New Roman" w:hAnsi="Times New Roman"/>
          <w:szCs w:val="24"/>
        </w:rPr>
      </w:pPr>
      <w:r>
        <w:rPr>
          <w:rFonts w:ascii="Times New Roman" w:hAnsi="Times New Roman"/>
          <w:b/>
          <w:szCs w:val="24"/>
        </w:rPr>
        <w:t xml:space="preserve">Supplementary </w:t>
      </w:r>
      <w:r w:rsidRPr="00F84A68">
        <w:rPr>
          <w:rFonts w:ascii="Times New Roman" w:hAnsi="Times New Roman"/>
          <w:b/>
          <w:szCs w:val="24"/>
        </w:rPr>
        <w:t xml:space="preserve">Table </w:t>
      </w:r>
      <w:r>
        <w:rPr>
          <w:rFonts w:ascii="Times New Roman" w:hAnsi="Times New Roman"/>
          <w:b/>
          <w:szCs w:val="24"/>
        </w:rPr>
        <w:t>1a</w:t>
      </w:r>
      <w:r w:rsidRPr="00F84A68">
        <w:rPr>
          <w:rFonts w:ascii="Times New Roman" w:hAnsi="Times New Roman"/>
          <w:b/>
          <w:szCs w:val="24"/>
        </w:rPr>
        <w:t xml:space="preserve">: </w:t>
      </w:r>
      <w:r w:rsidR="001F3BFD">
        <w:rPr>
          <w:rFonts w:ascii="Times New Roman" w:hAnsi="Times New Roman"/>
          <w:b/>
          <w:szCs w:val="24"/>
        </w:rPr>
        <w:t xml:space="preserve">List </w:t>
      </w:r>
      <w:r>
        <w:rPr>
          <w:rFonts w:ascii="Times New Roman" w:hAnsi="Times New Roman"/>
          <w:b/>
          <w:szCs w:val="24"/>
        </w:rPr>
        <w:t>of the genes used for validation in Crohn’s disease</w:t>
      </w:r>
      <w:r w:rsidRPr="00F84A68">
        <w:rPr>
          <w:rFonts w:ascii="Times New Roman" w:hAnsi="Times New Roman"/>
          <w:b/>
          <w:szCs w:val="24"/>
        </w:rPr>
        <w:t xml:space="preserve"> </w:t>
      </w:r>
    </w:p>
    <w:tbl>
      <w:tblPr>
        <w:tblW w:w="5839" w:type="dxa"/>
        <w:tblInd w:w="55" w:type="dxa"/>
        <w:tblCellMar>
          <w:left w:w="70" w:type="dxa"/>
          <w:right w:w="70" w:type="dxa"/>
        </w:tblCellMar>
        <w:tblLook w:val="04A0" w:firstRow="1" w:lastRow="0" w:firstColumn="1" w:lastColumn="0" w:noHBand="0" w:noVBand="1"/>
      </w:tblPr>
      <w:tblGrid>
        <w:gridCol w:w="1280"/>
        <w:gridCol w:w="2800"/>
        <w:gridCol w:w="1759"/>
      </w:tblGrid>
      <w:tr w:rsidR="007507F6" w:rsidRPr="009E5499" w:rsidTr="007507F6">
        <w:trPr>
          <w:gridAfter w:val="1"/>
          <w:wAfter w:w="1759" w:type="dxa"/>
          <w:trHeight w:val="255"/>
        </w:trPr>
        <w:tc>
          <w:tcPr>
            <w:tcW w:w="1280" w:type="dxa"/>
            <w:tcBorders>
              <w:top w:val="nil"/>
              <w:left w:val="nil"/>
              <w:bottom w:val="nil"/>
              <w:right w:val="nil"/>
            </w:tcBorders>
            <w:shd w:val="clear" w:color="auto" w:fill="auto"/>
            <w:noWrap/>
            <w:vAlign w:val="bottom"/>
          </w:tcPr>
          <w:p w:rsidR="007507F6" w:rsidRPr="009E5499" w:rsidRDefault="007507F6" w:rsidP="00796447">
            <w:pPr>
              <w:rPr>
                <w:rFonts w:eastAsia="Times New Roman" w:cs="Calibri"/>
                <w:color w:val="000000"/>
                <w:sz w:val="20"/>
                <w:lang w:eastAsia="hu-HU"/>
              </w:rPr>
            </w:pPr>
          </w:p>
        </w:tc>
        <w:tc>
          <w:tcPr>
            <w:tcW w:w="2800" w:type="dxa"/>
            <w:tcBorders>
              <w:top w:val="nil"/>
              <w:left w:val="nil"/>
              <w:bottom w:val="nil"/>
              <w:right w:val="nil"/>
            </w:tcBorders>
            <w:shd w:val="clear" w:color="auto" w:fill="auto"/>
            <w:noWrap/>
            <w:vAlign w:val="bottom"/>
          </w:tcPr>
          <w:p w:rsidR="007507F6" w:rsidRPr="009E5499" w:rsidRDefault="007507F6" w:rsidP="00796447">
            <w:pPr>
              <w:rPr>
                <w:rFonts w:eastAsia="Times New Roman" w:cs="Calibri"/>
                <w:color w:val="000000"/>
                <w:sz w:val="20"/>
                <w:lang w:eastAsia="hu-HU"/>
              </w:rPr>
            </w:pPr>
          </w:p>
        </w:tc>
      </w:tr>
      <w:tr w:rsidR="007507F6" w:rsidRPr="009E5499" w:rsidTr="007507F6">
        <w:trPr>
          <w:trHeight w:val="255"/>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Gene symbol</w:t>
            </w:r>
          </w:p>
        </w:tc>
        <w:tc>
          <w:tcPr>
            <w:tcW w:w="2800" w:type="dxa"/>
            <w:tcBorders>
              <w:top w:val="single" w:sz="4" w:space="0" w:color="auto"/>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Description</w:t>
            </w:r>
          </w:p>
        </w:tc>
        <w:tc>
          <w:tcPr>
            <w:tcW w:w="1759" w:type="dxa"/>
            <w:tcBorders>
              <w:top w:val="single" w:sz="4" w:space="0" w:color="auto"/>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Timepoint</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ABCC4</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ATP-binding cassette, sub-family C (CFTR/MRP), member 4</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AIDA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axin interactor, dorsalization associated</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ARHGEF12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Rho guanine nucleotide exchange factor (GEF) 12</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BMP6</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bone morphogenetic protein 6</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BTN3A2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butyrophilin, subfamily 3, member A2</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CA2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carbonic anhydrase II</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CADM2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cell adhesion molecule 2</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CD300E</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CD300 antigen like family member E</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CYP1B1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cytochrome P450, family 1, subfamily B, polypeptide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ENDOD1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endonuclease domain containing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FCGR1A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Fc fragment of IgG, high affinity Ia, receptor (CD64)</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FMN1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formin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GCLC</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glutamate-cysteine ligase, catalytic subunit</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GPR34</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G protein-coupled receptor 34</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HORMAD1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HORMA domain containing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IGF2BP2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insulin-like growth factor 2 mRNA binding protein 2</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IL18R1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interleukin 18 receptor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IL1RL1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interleukin 1 receptor-like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KAT2B</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K(lysine) acetyltransferase 2B</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MAP1LC3B</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microtubule-associated protein 1 light chain 3 beta</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lastRenderedPageBreak/>
              <w:t>MMD</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monocyte to macrophage differentiation-associated</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76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MS4A4A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membrane-spanning 4-domains, subfamily A, member 4</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76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MS4A7</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membrane-spanning 4-domains, subfamily A, member 7</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ODC1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ornithine decarboxylase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PBX1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pre-B-cell leukemia transcription factor 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PCYT1B</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phosphate cytidylyltransferase 1, choline, beta isoform</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765"/>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PIP4K2A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phosphatidylinositol-5-phosphate 4-kinase, type II, alpha</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PIP5K1B</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phosphatidylinositol-4-phosphate 5-kinase, type I, beta</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PRDM1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PR domain containing 1, with ZNF domain</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PSME4</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proteasome (prosome, macropain) activator subunit 4</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RAD23A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RAD23 homolog A</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RIOK3</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RIO kinase 3 (yeast)</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76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RNASE2</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ribonuclease, RNase A family, 2 (liver, eosinophil-derived neurotoxin)</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RNF11</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ring finger protein 11</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noWrap/>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SLC7A5</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 xml:space="preserve"> solute carrier family 7 member 5</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000000" w:fill="92D050"/>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THEM5</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thioesterase superfamily member 5</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TMEM176A</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transmembrane protein 176A</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TMEM176B</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transmembrane protein 176B</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510"/>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t>UBE2H</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ubiquitin-conjugating enzyme E2H (UBC8 homolog, yeast)</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7507F6" w:rsidRPr="009E5499" w:rsidTr="007507F6">
        <w:trPr>
          <w:trHeight w:val="255"/>
        </w:trPr>
        <w:tc>
          <w:tcPr>
            <w:tcW w:w="1280" w:type="dxa"/>
            <w:tcBorders>
              <w:top w:val="nil"/>
              <w:left w:val="single" w:sz="4" w:space="0" w:color="auto"/>
              <w:bottom w:val="single" w:sz="4" w:space="0" w:color="auto"/>
              <w:right w:val="single" w:sz="4" w:space="0" w:color="auto"/>
            </w:tcBorders>
            <w:shd w:val="clear" w:color="auto" w:fill="auto"/>
            <w:vAlign w:val="bottom"/>
          </w:tcPr>
          <w:p w:rsidR="007507F6" w:rsidRPr="00844710" w:rsidRDefault="007507F6" w:rsidP="00796447">
            <w:pPr>
              <w:rPr>
                <w:rFonts w:eastAsia="Times New Roman" w:cs="Calibri"/>
                <w:i/>
                <w:color w:val="000000"/>
                <w:sz w:val="20"/>
                <w:lang w:eastAsia="hu-HU"/>
              </w:rPr>
            </w:pPr>
            <w:r w:rsidRPr="00844710">
              <w:rPr>
                <w:rFonts w:eastAsia="Times New Roman" w:cs="Calibri"/>
                <w:i/>
                <w:color w:val="000000"/>
                <w:sz w:val="20"/>
                <w:lang w:eastAsia="hu-HU"/>
              </w:rPr>
              <w:lastRenderedPageBreak/>
              <w:t>WARS</w:t>
            </w:r>
          </w:p>
        </w:tc>
        <w:tc>
          <w:tcPr>
            <w:tcW w:w="2800" w:type="dxa"/>
            <w:tcBorders>
              <w:top w:val="nil"/>
              <w:left w:val="nil"/>
              <w:bottom w:val="single" w:sz="4" w:space="0" w:color="auto"/>
              <w:right w:val="single" w:sz="4" w:space="0" w:color="auto"/>
            </w:tcBorders>
            <w:shd w:val="clear" w:color="auto" w:fill="auto"/>
            <w:vAlign w:val="bottom"/>
          </w:tcPr>
          <w:p w:rsidR="007507F6" w:rsidRPr="009E5499" w:rsidRDefault="007507F6" w:rsidP="00796447">
            <w:pPr>
              <w:rPr>
                <w:rFonts w:eastAsia="Times New Roman" w:cs="Calibri"/>
                <w:color w:val="000000"/>
                <w:sz w:val="20"/>
                <w:lang w:eastAsia="hu-HU"/>
              </w:rPr>
            </w:pPr>
            <w:r w:rsidRPr="009E5499">
              <w:rPr>
                <w:rFonts w:eastAsia="Times New Roman" w:cs="Calibri"/>
                <w:color w:val="000000"/>
                <w:sz w:val="20"/>
                <w:lang w:eastAsia="hu-HU"/>
              </w:rPr>
              <w:t>tryptophanyl-tRNA synthetase</w:t>
            </w:r>
          </w:p>
        </w:tc>
        <w:tc>
          <w:tcPr>
            <w:tcW w:w="1759" w:type="dxa"/>
            <w:tcBorders>
              <w:top w:val="nil"/>
              <w:left w:val="nil"/>
              <w:bottom w:val="single" w:sz="4" w:space="0" w:color="auto"/>
              <w:right w:val="single" w:sz="4" w:space="0" w:color="auto"/>
            </w:tcBorders>
            <w:shd w:val="clear" w:color="auto" w:fill="auto"/>
            <w:noWrap/>
            <w:vAlign w:val="bottom"/>
          </w:tcPr>
          <w:p w:rsidR="007507F6" w:rsidRPr="009E5499" w:rsidRDefault="007507F6"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bl>
    <w:p w:rsidR="005013F7" w:rsidRDefault="005013F7" w:rsidP="005013F7">
      <w:pPr>
        <w:spacing w:line="480" w:lineRule="auto"/>
        <w:jc w:val="both"/>
        <w:rPr>
          <w:rFonts w:ascii="Times New Roman" w:hAnsi="Times New Roman"/>
          <w:szCs w:val="24"/>
        </w:rPr>
      </w:pPr>
    </w:p>
    <w:p w:rsidR="00702026" w:rsidRDefault="005013F7">
      <w:pPr>
        <w:spacing w:line="480" w:lineRule="auto"/>
        <w:rPr>
          <w:rFonts w:ascii="Times New Roman" w:hAnsi="Times New Roman"/>
          <w:szCs w:val="24"/>
        </w:rPr>
      </w:pPr>
      <w:r>
        <w:rPr>
          <w:rFonts w:ascii="Times New Roman" w:hAnsi="Times New Roman"/>
          <w:b/>
          <w:szCs w:val="24"/>
        </w:rPr>
        <w:t xml:space="preserve">Supplementary </w:t>
      </w:r>
      <w:r w:rsidRPr="00F84A68">
        <w:rPr>
          <w:rFonts w:ascii="Times New Roman" w:hAnsi="Times New Roman"/>
          <w:b/>
          <w:szCs w:val="24"/>
        </w:rPr>
        <w:t xml:space="preserve">Table </w:t>
      </w:r>
      <w:r>
        <w:rPr>
          <w:rFonts w:ascii="Times New Roman" w:hAnsi="Times New Roman"/>
          <w:b/>
          <w:szCs w:val="24"/>
        </w:rPr>
        <w:t>1b</w:t>
      </w:r>
      <w:r w:rsidRPr="00F84A68">
        <w:rPr>
          <w:rFonts w:ascii="Times New Roman" w:hAnsi="Times New Roman"/>
          <w:b/>
          <w:szCs w:val="24"/>
        </w:rPr>
        <w:t xml:space="preserve">: </w:t>
      </w:r>
      <w:r>
        <w:rPr>
          <w:rFonts w:ascii="Times New Roman" w:hAnsi="Times New Roman"/>
          <w:b/>
          <w:szCs w:val="24"/>
        </w:rPr>
        <w:t>Details of the genes used for validation in rheumatoid arthritis</w:t>
      </w:r>
      <w:r w:rsidRPr="00F84A68">
        <w:rPr>
          <w:rFonts w:ascii="Times New Roman" w:hAnsi="Times New Roman"/>
          <w:b/>
          <w:szCs w:val="24"/>
        </w:rPr>
        <w:t xml:space="preserve"> </w:t>
      </w:r>
    </w:p>
    <w:tbl>
      <w:tblPr>
        <w:tblW w:w="5524" w:type="dxa"/>
        <w:tblInd w:w="55" w:type="dxa"/>
        <w:tblCellMar>
          <w:left w:w="70" w:type="dxa"/>
          <w:right w:w="70" w:type="dxa"/>
        </w:tblCellMar>
        <w:tblLook w:val="04A0" w:firstRow="1" w:lastRow="0" w:firstColumn="1" w:lastColumn="0" w:noHBand="0" w:noVBand="1"/>
      </w:tblPr>
      <w:tblGrid>
        <w:gridCol w:w="1180"/>
        <w:gridCol w:w="2580"/>
        <w:gridCol w:w="1764"/>
      </w:tblGrid>
      <w:tr w:rsidR="001F3BFD" w:rsidRPr="009E5499" w:rsidTr="001F3BFD">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Gene symbol</w:t>
            </w:r>
          </w:p>
        </w:tc>
        <w:tc>
          <w:tcPr>
            <w:tcW w:w="2580" w:type="dxa"/>
            <w:tcBorders>
              <w:top w:val="single" w:sz="4" w:space="0" w:color="auto"/>
              <w:left w:val="nil"/>
              <w:bottom w:val="single" w:sz="4" w:space="0" w:color="auto"/>
              <w:right w:val="single" w:sz="4" w:space="0" w:color="auto"/>
            </w:tcBorders>
            <w:shd w:val="clear" w:color="auto" w:fill="auto"/>
            <w:noWrap/>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Description</w:t>
            </w:r>
          </w:p>
        </w:tc>
        <w:tc>
          <w:tcPr>
            <w:tcW w:w="1764" w:type="dxa"/>
            <w:tcBorders>
              <w:top w:val="single" w:sz="4" w:space="0" w:color="auto"/>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Timepoint</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APOBEC3A</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apolipoprotein B mRNA editing enzyme, catalytic polypeptide-like 3A</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AQP9</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aquaporin 9</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vs 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CCL4</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chemokine (C-C motif) ligand 4</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Pr>
                <w:rFonts w:eastAsia="Times New Roman" w:cs="Calibri"/>
                <w:color w:val="000000"/>
                <w:sz w:val="20"/>
                <w:lang w:eastAsia="hu-HU"/>
              </w:rPr>
              <w:t>Sekiguchi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CNTNAP3</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contactin associated protein-like 3</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CYP4F3</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cytochrome P450, family 4, subfamily F, polypeptide 3</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DHRS9</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dehydrogenase/reductase (SDR family) member 9</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EIF2AK2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 xml:space="preserve"> eukaryotic translation initiation factor 2-alpha kinase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Pr>
                <w:rFonts w:eastAsia="Times New Roman" w:cs="Calibri"/>
                <w:color w:val="000000"/>
                <w:sz w:val="20"/>
                <w:lang w:eastAsia="hu-HU"/>
              </w:rPr>
              <w:t>Sekiguchi et al</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ELOVL7</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ELOVL fatty acid elongase 7</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EPSTI1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epithelial stromal interaction 1 (breast)</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FCGR3A</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Fc fragment of IgG, low affinity IIIa, receptor (CD16a)</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GPAM</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glycerol-3-phosphate acyltransferase, mitochondrial</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GPR15</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G protein-coupled receptor 15</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GZMB</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 xml:space="preserve">granzyme B </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Pr>
                <w:rFonts w:eastAsia="Times New Roman" w:cs="Calibri"/>
                <w:color w:val="000000"/>
                <w:sz w:val="20"/>
                <w:lang w:eastAsia="hu-HU"/>
              </w:rPr>
              <w:t>Sekiguchi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IFI35</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35</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van Baarsen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IFI44</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44</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lastRenderedPageBreak/>
              <w:t>IFI44L</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44-like</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IFI6</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 alpha-inducible protein 6</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van Baarsen et al</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IFIT1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with tetratricopeptide repeats 1</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IFIT2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with tetratricopeptide repeats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IFIT3</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interferon-induced protein with tetratricopeptide repeats 4</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IFITM1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 induced transmembrane protein 1 (9-27)</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van Baarsen et al</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IL2RB</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interleukin 2 receptor, beta</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Pr>
                <w:rFonts w:eastAsia="Times New Roman" w:cs="Calibri"/>
                <w:color w:val="000000"/>
                <w:sz w:val="20"/>
                <w:lang w:eastAsia="hu-HU"/>
              </w:rPr>
              <w:t>Sekiguchi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IRF2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 regulatory factor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van Baarsen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IRF7</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interferon regulatory factor 7</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Pr>
                <w:rFonts w:eastAsia="Times New Roman" w:cs="Calibri"/>
                <w:color w:val="000000"/>
                <w:sz w:val="20"/>
                <w:lang w:eastAsia="hu-HU"/>
              </w:rPr>
              <w:t>Sekiguchi et al</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MGAM</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maltase-glucoamylase (alpha-glucosidase)</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MICA</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MHC class I polypeptide-related sequence A</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MME</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 xml:space="preserve">membrane metallo-endopeptidase </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MX1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myxovirus resistance 1, interferon-inducible protein p78</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OR2A9P</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olfactory receptor, family 2, subfamily A, member 9 pseudogene</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PF4</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platelet factor 4</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PTGS2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prostaglandin-endoperoxide synthase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RAVER2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ribonucleoprotein, PTB-binding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lastRenderedPageBreak/>
              <w:t>RFC1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replication factor C (activator 1) 1, 145kDa</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RGS1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regulator of G-protein signaling 1</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Week 2</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RSAD2</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radical S-adenosyl methionine domain containing 2</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 week 2</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S100P</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S100 calcium binding protein P</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000000" w:fill="92D050"/>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SERPINB10</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serine (or cysteine) proteinase inhibitor, clade B, member 10</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78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SERPING1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serine (or cysteine) proteinase inhibitor, clade G, member 1,</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SIGLEC1</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sialic acid binding Ig-like lectin 1, sialoadhesin</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w:t>
            </w:r>
          </w:p>
        </w:tc>
      </w:tr>
      <w:tr w:rsidR="001F3BFD" w:rsidRPr="009E5499" w:rsidTr="001F3BF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TNF</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tumor necrosis factor</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 </w:t>
            </w:r>
          </w:p>
        </w:tc>
      </w:tr>
      <w:tr w:rsidR="001F3BFD" w:rsidRPr="009E5499" w:rsidTr="001F3BFD">
        <w:trPr>
          <w:trHeight w:val="52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1F3BFD" w:rsidRPr="00844710" w:rsidRDefault="001F3BFD" w:rsidP="00796447">
            <w:pPr>
              <w:rPr>
                <w:rFonts w:eastAsia="Times New Roman" w:cs="Calibri"/>
                <w:i/>
                <w:color w:val="000000"/>
                <w:sz w:val="20"/>
                <w:lang w:eastAsia="hu-HU"/>
              </w:rPr>
            </w:pPr>
            <w:r w:rsidRPr="00844710">
              <w:rPr>
                <w:rFonts w:eastAsia="Times New Roman" w:cs="Calibri"/>
                <w:i/>
                <w:color w:val="000000"/>
                <w:sz w:val="20"/>
                <w:lang w:eastAsia="hu-HU"/>
              </w:rPr>
              <w:t>TNFAIP6</w:t>
            </w:r>
          </w:p>
        </w:tc>
        <w:tc>
          <w:tcPr>
            <w:tcW w:w="2580" w:type="dxa"/>
            <w:tcBorders>
              <w:top w:val="nil"/>
              <w:left w:val="nil"/>
              <w:bottom w:val="single" w:sz="4" w:space="0" w:color="auto"/>
              <w:right w:val="single" w:sz="4" w:space="0" w:color="auto"/>
            </w:tcBorders>
            <w:shd w:val="clear" w:color="auto" w:fill="auto"/>
            <w:vAlign w:val="bottom"/>
          </w:tcPr>
          <w:p w:rsidR="001F3BFD" w:rsidRPr="009E5499" w:rsidRDefault="001F3BFD" w:rsidP="00796447">
            <w:pPr>
              <w:rPr>
                <w:rFonts w:eastAsia="Times New Roman" w:cs="Calibri"/>
                <w:color w:val="000000"/>
                <w:sz w:val="20"/>
                <w:lang w:eastAsia="hu-HU"/>
              </w:rPr>
            </w:pPr>
            <w:r w:rsidRPr="009E5499">
              <w:rPr>
                <w:rFonts w:eastAsia="Times New Roman" w:cs="Calibri"/>
                <w:color w:val="000000"/>
                <w:sz w:val="20"/>
                <w:lang w:eastAsia="hu-HU"/>
              </w:rPr>
              <w:t>tumor necrosis factor, alpha-induced protein 6</w:t>
            </w:r>
          </w:p>
        </w:tc>
        <w:tc>
          <w:tcPr>
            <w:tcW w:w="1764" w:type="dxa"/>
            <w:tcBorders>
              <w:top w:val="nil"/>
              <w:left w:val="nil"/>
              <w:bottom w:val="single" w:sz="4" w:space="0" w:color="auto"/>
              <w:right w:val="single" w:sz="4" w:space="0" w:color="auto"/>
            </w:tcBorders>
            <w:shd w:val="clear" w:color="auto" w:fill="auto"/>
            <w:noWrap/>
            <w:vAlign w:val="bottom"/>
          </w:tcPr>
          <w:p w:rsidR="001F3BFD" w:rsidRPr="009E5499" w:rsidRDefault="001F3BFD" w:rsidP="00796447">
            <w:pPr>
              <w:jc w:val="center"/>
              <w:rPr>
                <w:rFonts w:eastAsia="Times New Roman" w:cs="Calibri"/>
                <w:color w:val="000000"/>
                <w:sz w:val="20"/>
                <w:lang w:eastAsia="hu-HU"/>
              </w:rPr>
            </w:pPr>
            <w:r w:rsidRPr="009E5499">
              <w:rPr>
                <w:rFonts w:eastAsia="Times New Roman" w:cs="Calibri"/>
                <w:color w:val="000000"/>
                <w:sz w:val="20"/>
                <w:lang w:eastAsia="hu-HU"/>
              </w:rPr>
              <w:t>Baseline vs Week 2</w:t>
            </w:r>
          </w:p>
        </w:tc>
      </w:tr>
    </w:tbl>
    <w:p w:rsidR="005013F7" w:rsidRDefault="005013F7" w:rsidP="005013F7">
      <w:pPr>
        <w:spacing w:line="480" w:lineRule="auto"/>
        <w:jc w:val="both"/>
        <w:rPr>
          <w:rFonts w:ascii="Times New Roman" w:hAnsi="Times New Roman"/>
          <w:szCs w:val="24"/>
        </w:rPr>
      </w:pPr>
    </w:p>
    <w:p w:rsidR="00033424" w:rsidRPr="00DF7F1F" w:rsidRDefault="00033424" w:rsidP="005013F7">
      <w:pPr>
        <w:spacing w:line="480" w:lineRule="auto"/>
        <w:jc w:val="both"/>
        <w:rPr>
          <w:rFonts w:ascii="Times New Roman" w:hAnsi="Times New Roman"/>
          <w:szCs w:val="24"/>
        </w:rPr>
      </w:pPr>
      <w:r>
        <w:rPr>
          <w:rFonts w:ascii="Times New Roman" w:hAnsi="Times New Roman"/>
          <w:szCs w:val="24"/>
        </w:rPr>
        <w:t xml:space="preserve">Genes whose expression levels could not be detected are listed here: </w:t>
      </w:r>
      <w:r w:rsidRPr="009B49F8">
        <w:rPr>
          <w:rFonts w:ascii="Times New Roman" w:hAnsi="Times New Roman"/>
          <w:i/>
          <w:szCs w:val="24"/>
        </w:rPr>
        <w:t>HLA DQ1, PRKR, OR2A20P|OR2A9P|OR2A5, MIR142, S100A8, S100A9, PTGES, IL11, IL6, G0S2, MST131</w:t>
      </w:r>
      <w:r w:rsidRPr="00033424">
        <w:rPr>
          <w:rFonts w:ascii="Times New Roman" w:hAnsi="Times New Roman"/>
          <w:szCs w:val="24"/>
        </w:rPr>
        <w:t xml:space="preserve"> and </w:t>
      </w:r>
      <w:r w:rsidRPr="009B49F8">
        <w:rPr>
          <w:rFonts w:ascii="Times New Roman" w:hAnsi="Times New Roman"/>
          <w:i/>
          <w:szCs w:val="24"/>
        </w:rPr>
        <w:t>MIR1974|TOB2.</w:t>
      </w:r>
    </w:p>
    <w:p w:rsidR="00DF7F1F" w:rsidRDefault="00DF7F1F" w:rsidP="00DF7F1F">
      <w:pPr>
        <w:spacing w:line="360" w:lineRule="auto"/>
        <w:jc w:val="both"/>
        <w:rPr>
          <w:rFonts w:ascii="Times New Roman" w:hAnsi="Times New Roman"/>
        </w:rPr>
      </w:pPr>
    </w:p>
    <w:p w:rsidR="00DF7F1F" w:rsidRPr="00DF7F1F" w:rsidRDefault="00DF7F1F" w:rsidP="00DF7F1F">
      <w:pPr>
        <w:pStyle w:val="NoSpacing"/>
        <w:spacing w:line="360" w:lineRule="auto"/>
        <w:rPr>
          <w:rFonts w:ascii="Times New Roman" w:hAnsi="Times New Roman"/>
          <w:b/>
          <w:sz w:val="24"/>
        </w:rPr>
      </w:pPr>
      <w:r w:rsidRPr="00DF7F1F">
        <w:rPr>
          <w:rFonts w:ascii="Times New Roman" w:hAnsi="Times New Roman"/>
          <w:b/>
          <w:sz w:val="24"/>
        </w:rPr>
        <w:t>Supplementary Table 2</w:t>
      </w:r>
    </w:p>
    <w:p w:rsidR="00DF7F1F" w:rsidRDefault="00DF7F1F" w:rsidP="00DF7F1F">
      <w:pPr>
        <w:spacing w:line="480" w:lineRule="auto"/>
        <w:jc w:val="both"/>
        <w:rPr>
          <w:rFonts w:ascii="Times New Roman" w:hAnsi="Times New Roman"/>
        </w:rPr>
      </w:pPr>
      <w:r w:rsidRPr="00DF7F1F">
        <w:rPr>
          <w:rFonts w:ascii="Times New Roman" w:hAnsi="Times New Roman"/>
        </w:rPr>
        <w:t xml:space="preserve">We ran the leave-one-out validation, as you suggested, for all possible combinations and calculated the ROC AUC values for each gene panel. We got 15 different ROC AUC values for RA and 20 for Crohn’s disease. In case of several gene panels, all these values were equal to 1. </w:t>
      </w:r>
    </w:p>
    <w:p w:rsidR="00DF7F1F" w:rsidRDefault="00DF7F1F" w:rsidP="00DF7F1F">
      <w:pPr>
        <w:spacing w:line="480" w:lineRule="auto"/>
        <w:jc w:val="both"/>
        <w:rPr>
          <w:rFonts w:ascii="Times New Roman" w:hAnsi="Times New Roman"/>
          <w:sz w:val="24"/>
        </w:rPr>
      </w:pPr>
      <w:r w:rsidRPr="00DF7F1F">
        <w:rPr>
          <w:rFonts w:ascii="Times New Roman" w:hAnsi="Times New Roman"/>
        </w:rPr>
        <w:t xml:space="preserve">In the study, we chose a more conservative approach as we chose to run the leave-one-out validation but kept only the score of the actual test entity in order to get only one ROC AUC value from the different runs (per gene panel). The ROC AUC values were very high, even after the values were </w:t>
      </w:r>
      <w:r w:rsidRPr="00DF7F1F">
        <w:rPr>
          <w:rFonts w:ascii="Times New Roman" w:hAnsi="Times New Roman"/>
        </w:rPr>
        <w:lastRenderedPageBreak/>
        <w:t>transformed to similar scale ((r-m)/s where r was the actual test entity score, m and s were the mean and standard deviation of the train and (one) test entities, respectively. As the scaling had no effect on the results, we kept the original (unscaled) ROC AUC values. These results were visualized on the ROC plots in the manuscript (Figure 3).</w:t>
      </w:r>
    </w:p>
    <w:p w:rsidR="00470917" w:rsidRDefault="00470917" w:rsidP="00C87AC5">
      <w:pPr>
        <w:pStyle w:val="NoSpacing"/>
        <w:spacing w:line="360" w:lineRule="auto"/>
        <w:rPr>
          <w:rFonts w:ascii="Times New Roman" w:hAnsi="Times New Roman"/>
          <w:sz w:val="24"/>
        </w:rPr>
      </w:pPr>
    </w:p>
    <w:tbl>
      <w:tblPr>
        <w:tblW w:w="7920" w:type="dxa"/>
        <w:tblInd w:w="55" w:type="dxa"/>
        <w:tblCellMar>
          <w:left w:w="70" w:type="dxa"/>
          <w:right w:w="70" w:type="dxa"/>
        </w:tblCellMar>
        <w:tblLook w:val="04A0" w:firstRow="1" w:lastRow="0" w:firstColumn="1" w:lastColumn="0" w:noHBand="0" w:noVBand="1"/>
      </w:tblPr>
      <w:tblGrid>
        <w:gridCol w:w="1320"/>
        <w:gridCol w:w="1320"/>
        <w:gridCol w:w="1320"/>
        <w:gridCol w:w="1320"/>
        <w:gridCol w:w="1320"/>
        <w:gridCol w:w="1320"/>
      </w:tblGrid>
      <w:tr w:rsidR="00470917" w:rsidRPr="00470917" w:rsidTr="00470917">
        <w:trPr>
          <w:trHeight w:val="525"/>
        </w:trPr>
        <w:tc>
          <w:tcPr>
            <w:tcW w:w="7920" w:type="dxa"/>
            <w:gridSpan w:val="6"/>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70917" w:rsidRPr="00470917" w:rsidRDefault="00470917" w:rsidP="00470917">
            <w:pPr>
              <w:spacing w:after="0" w:line="240" w:lineRule="auto"/>
              <w:jc w:val="center"/>
              <w:rPr>
                <w:rFonts w:eastAsia="Times New Roman"/>
                <w:color w:val="000000"/>
                <w:sz w:val="40"/>
                <w:szCs w:val="40"/>
                <w:lang w:eastAsia="hu-HU"/>
              </w:rPr>
            </w:pPr>
            <w:r w:rsidRPr="00470917">
              <w:rPr>
                <w:rFonts w:eastAsia="Times New Roman"/>
                <w:color w:val="000000"/>
                <w:sz w:val="40"/>
                <w:szCs w:val="40"/>
                <w:lang w:eastAsia="hu-HU"/>
              </w:rPr>
              <w:t>Crohn ROC AUC values</w:t>
            </w:r>
          </w:p>
        </w:tc>
      </w:tr>
      <w:tr w:rsidR="00470917" w:rsidRPr="00470917" w:rsidTr="00470917">
        <w:trPr>
          <w:trHeight w:val="559"/>
        </w:trPr>
        <w:tc>
          <w:tcPr>
            <w:tcW w:w="1320" w:type="dxa"/>
            <w:tcBorders>
              <w:top w:val="nil"/>
              <w:left w:val="single" w:sz="4" w:space="0" w:color="auto"/>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jc w:val="center"/>
              <w:rPr>
                <w:rFonts w:eastAsia="Times New Roman"/>
                <w:b/>
                <w:bCs/>
                <w:color w:val="000000"/>
                <w:sz w:val="24"/>
                <w:szCs w:val="24"/>
                <w:lang w:eastAsia="hu-HU"/>
              </w:rPr>
            </w:pPr>
            <w:r w:rsidRPr="00470917">
              <w:rPr>
                <w:rFonts w:eastAsia="Times New Roman"/>
                <w:b/>
                <w:bCs/>
                <w:color w:val="000000"/>
                <w:sz w:val="24"/>
                <w:szCs w:val="24"/>
                <w:lang w:eastAsia="hu-HU"/>
              </w:rPr>
              <w:t>LOOCV run</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404</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33</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118</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159</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207</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2</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0,9560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3</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0,9670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4</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5</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6</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7</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8</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9</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11</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12</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13</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0,9890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14</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15</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16</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0,9890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0,9670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17</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18</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19</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20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32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Means</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0,9995</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0,9962</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0,9995</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0,9984</w:t>
            </w:r>
          </w:p>
        </w:tc>
      </w:tr>
    </w:tbl>
    <w:p w:rsidR="00470917" w:rsidRDefault="00470917" w:rsidP="00C87AC5">
      <w:pPr>
        <w:pStyle w:val="NoSpacing"/>
        <w:spacing w:line="360" w:lineRule="auto"/>
        <w:rPr>
          <w:rFonts w:ascii="Times New Roman" w:hAnsi="Times New Roman"/>
          <w:sz w:val="24"/>
        </w:rPr>
      </w:pPr>
    </w:p>
    <w:tbl>
      <w:tblPr>
        <w:tblW w:w="7840" w:type="dxa"/>
        <w:tblInd w:w="55" w:type="dxa"/>
        <w:tblCellMar>
          <w:left w:w="70" w:type="dxa"/>
          <w:right w:w="70" w:type="dxa"/>
        </w:tblCellMar>
        <w:tblLook w:val="04A0" w:firstRow="1" w:lastRow="0" w:firstColumn="1" w:lastColumn="0" w:noHBand="0" w:noVBand="1"/>
      </w:tblPr>
      <w:tblGrid>
        <w:gridCol w:w="1240"/>
        <w:gridCol w:w="1460"/>
        <w:gridCol w:w="1120"/>
        <w:gridCol w:w="1460"/>
        <w:gridCol w:w="1320"/>
        <w:gridCol w:w="1240"/>
      </w:tblGrid>
      <w:tr w:rsidR="00470917" w:rsidRPr="00470917" w:rsidTr="00470917">
        <w:trPr>
          <w:trHeight w:val="525"/>
        </w:trPr>
        <w:tc>
          <w:tcPr>
            <w:tcW w:w="7840" w:type="dxa"/>
            <w:gridSpan w:val="6"/>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70917" w:rsidRPr="00470917" w:rsidRDefault="00470917" w:rsidP="00470917">
            <w:pPr>
              <w:spacing w:after="0" w:line="240" w:lineRule="auto"/>
              <w:jc w:val="center"/>
              <w:rPr>
                <w:rFonts w:eastAsia="Times New Roman"/>
                <w:color w:val="000000"/>
                <w:sz w:val="40"/>
                <w:szCs w:val="40"/>
                <w:lang w:eastAsia="hu-HU"/>
              </w:rPr>
            </w:pPr>
            <w:r w:rsidRPr="00470917">
              <w:rPr>
                <w:rFonts w:eastAsia="Times New Roman"/>
                <w:color w:val="000000"/>
                <w:sz w:val="40"/>
                <w:szCs w:val="40"/>
                <w:lang w:eastAsia="hu-HU"/>
              </w:rPr>
              <w:t>RA ROC AUC values</w:t>
            </w:r>
          </w:p>
        </w:tc>
      </w:tr>
      <w:tr w:rsidR="00470917" w:rsidRPr="00470917" w:rsidTr="00470917">
        <w:trPr>
          <w:trHeight w:val="559"/>
        </w:trPr>
        <w:tc>
          <w:tcPr>
            <w:tcW w:w="1240" w:type="dxa"/>
            <w:tcBorders>
              <w:top w:val="nil"/>
              <w:left w:val="single" w:sz="4" w:space="0" w:color="auto"/>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jc w:val="center"/>
              <w:rPr>
                <w:rFonts w:eastAsia="Times New Roman"/>
                <w:b/>
                <w:bCs/>
                <w:color w:val="000000"/>
                <w:sz w:val="24"/>
                <w:szCs w:val="24"/>
                <w:lang w:eastAsia="hu-HU"/>
              </w:rPr>
            </w:pPr>
            <w:r w:rsidRPr="00470917">
              <w:rPr>
                <w:rFonts w:eastAsia="Times New Roman"/>
                <w:b/>
                <w:bCs/>
                <w:color w:val="000000"/>
                <w:sz w:val="24"/>
                <w:szCs w:val="24"/>
                <w:lang w:eastAsia="hu-HU"/>
              </w:rPr>
              <w:t>LOOCV run</w:t>
            </w:r>
          </w:p>
        </w:tc>
        <w:tc>
          <w:tcPr>
            <w:tcW w:w="146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jc w:val="center"/>
              <w:rPr>
                <w:rFonts w:eastAsia="Times New Roman"/>
                <w:b/>
                <w:bCs/>
                <w:color w:val="000000"/>
                <w:sz w:val="24"/>
                <w:szCs w:val="24"/>
                <w:lang w:eastAsia="hu-HU"/>
              </w:rPr>
            </w:pPr>
            <w:r w:rsidRPr="00470917">
              <w:rPr>
                <w:rFonts w:eastAsia="Times New Roman"/>
                <w:b/>
                <w:bCs/>
                <w:color w:val="000000"/>
                <w:sz w:val="24"/>
                <w:szCs w:val="24"/>
                <w:lang w:eastAsia="hu-HU"/>
              </w:rPr>
              <w:t>panel 204</w:t>
            </w:r>
          </w:p>
        </w:tc>
        <w:tc>
          <w:tcPr>
            <w:tcW w:w="11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243</w:t>
            </w:r>
          </w:p>
        </w:tc>
        <w:tc>
          <w:tcPr>
            <w:tcW w:w="146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1051</w:t>
            </w:r>
          </w:p>
        </w:tc>
        <w:tc>
          <w:tcPr>
            <w:tcW w:w="132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1041</w:t>
            </w:r>
          </w:p>
        </w:tc>
        <w:tc>
          <w:tcPr>
            <w:tcW w:w="1240" w:type="dxa"/>
            <w:tcBorders>
              <w:top w:val="nil"/>
              <w:left w:val="nil"/>
              <w:bottom w:val="single" w:sz="4" w:space="0" w:color="auto"/>
              <w:right w:val="single" w:sz="4" w:space="0" w:color="auto"/>
            </w:tcBorders>
            <w:shd w:val="clear" w:color="000000" w:fill="F2F2F2"/>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panel 1183</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2</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3</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4</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5</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lastRenderedPageBreak/>
              <w:t>6</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7</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8</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9</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0,9545</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11</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12</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0,9090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13</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14</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15</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r w:rsidR="00470917" w:rsidRPr="00470917" w:rsidTr="00470917">
        <w:trPr>
          <w:trHeight w:val="315"/>
        </w:trPr>
        <w:tc>
          <w:tcPr>
            <w:tcW w:w="1240" w:type="dxa"/>
            <w:tcBorders>
              <w:top w:val="nil"/>
              <w:left w:val="single" w:sz="4" w:space="0" w:color="auto"/>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rPr>
                <w:rFonts w:eastAsia="Times New Roman"/>
                <w:b/>
                <w:bCs/>
                <w:color w:val="000000"/>
                <w:sz w:val="24"/>
                <w:szCs w:val="24"/>
                <w:lang w:eastAsia="hu-HU"/>
              </w:rPr>
            </w:pPr>
            <w:r w:rsidRPr="00470917">
              <w:rPr>
                <w:rFonts w:eastAsia="Times New Roman"/>
                <w:b/>
                <w:bCs/>
                <w:color w:val="000000"/>
                <w:sz w:val="24"/>
                <w:szCs w:val="24"/>
                <w:lang w:eastAsia="hu-HU"/>
              </w:rPr>
              <w:t>Means</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0,9939</w:t>
            </w:r>
          </w:p>
        </w:tc>
        <w:tc>
          <w:tcPr>
            <w:tcW w:w="11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46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0,9970</w:t>
            </w:r>
          </w:p>
        </w:tc>
        <w:tc>
          <w:tcPr>
            <w:tcW w:w="132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c>
          <w:tcPr>
            <w:tcW w:w="1240" w:type="dxa"/>
            <w:tcBorders>
              <w:top w:val="nil"/>
              <w:left w:val="nil"/>
              <w:bottom w:val="single" w:sz="4" w:space="0" w:color="auto"/>
              <w:right w:val="single" w:sz="4" w:space="0" w:color="auto"/>
            </w:tcBorders>
            <w:shd w:val="clear" w:color="000000" w:fill="F2F2F2"/>
            <w:noWrap/>
            <w:vAlign w:val="bottom"/>
            <w:hideMark/>
          </w:tcPr>
          <w:p w:rsidR="00470917" w:rsidRPr="00470917" w:rsidRDefault="00470917" w:rsidP="00470917">
            <w:pPr>
              <w:spacing w:after="0" w:line="240" w:lineRule="auto"/>
              <w:jc w:val="right"/>
              <w:rPr>
                <w:rFonts w:eastAsia="Times New Roman"/>
                <w:color w:val="000000"/>
                <w:sz w:val="24"/>
                <w:szCs w:val="24"/>
                <w:lang w:eastAsia="hu-HU"/>
              </w:rPr>
            </w:pPr>
            <w:r w:rsidRPr="00470917">
              <w:rPr>
                <w:rFonts w:eastAsia="Times New Roman"/>
                <w:color w:val="000000"/>
                <w:sz w:val="24"/>
                <w:szCs w:val="24"/>
                <w:lang w:eastAsia="hu-HU"/>
              </w:rPr>
              <w:t>1,0000</w:t>
            </w:r>
          </w:p>
        </w:tc>
      </w:tr>
    </w:tbl>
    <w:p w:rsidR="00470917" w:rsidRDefault="00470917" w:rsidP="00C87AC5">
      <w:pPr>
        <w:pStyle w:val="NoSpacing"/>
        <w:spacing w:line="360" w:lineRule="auto"/>
        <w:rPr>
          <w:rFonts w:ascii="Times New Roman" w:hAnsi="Times New Roman"/>
          <w:sz w:val="24"/>
        </w:rPr>
      </w:pPr>
    </w:p>
    <w:sectPr w:rsidR="00470917" w:rsidSect="00E41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579"/>
    <w:rsid w:val="00033424"/>
    <w:rsid w:val="000B765B"/>
    <w:rsid w:val="001328E1"/>
    <w:rsid w:val="001F3BFD"/>
    <w:rsid w:val="001F56E5"/>
    <w:rsid w:val="00211E28"/>
    <w:rsid w:val="00264E25"/>
    <w:rsid w:val="00266B0C"/>
    <w:rsid w:val="00310DE3"/>
    <w:rsid w:val="00412F35"/>
    <w:rsid w:val="00470917"/>
    <w:rsid w:val="00493538"/>
    <w:rsid w:val="005013F7"/>
    <w:rsid w:val="00535579"/>
    <w:rsid w:val="00702026"/>
    <w:rsid w:val="007507F6"/>
    <w:rsid w:val="00796447"/>
    <w:rsid w:val="008E4342"/>
    <w:rsid w:val="009A4770"/>
    <w:rsid w:val="009B49F8"/>
    <w:rsid w:val="00AD13A1"/>
    <w:rsid w:val="00AD55BA"/>
    <w:rsid w:val="00C27D22"/>
    <w:rsid w:val="00C87AC5"/>
    <w:rsid w:val="00CC312D"/>
    <w:rsid w:val="00CF1831"/>
    <w:rsid w:val="00DF7F1F"/>
    <w:rsid w:val="00E23B00"/>
    <w:rsid w:val="00E415B8"/>
    <w:rsid w:val="00E84B16"/>
    <w:rsid w:val="00EE1B5C"/>
    <w:rsid w:val="00F8274A"/>
    <w:rsid w:val="00F90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5B8"/>
    <w:pPr>
      <w:spacing w:after="200" w:line="276" w:lineRule="auto"/>
    </w:pPr>
    <w:rPr>
      <w:sz w:val="22"/>
      <w:szCs w:val="22"/>
      <w:lang w:val="hu-H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5579"/>
    <w:rPr>
      <w:sz w:val="22"/>
      <w:szCs w:val="22"/>
      <w:lang w:val="hu-HU" w:eastAsia="en-US"/>
    </w:rPr>
  </w:style>
  <w:style w:type="paragraph" w:styleId="BalloonText">
    <w:name w:val="Balloon Text"/>
    <w:basedOn w:val="Normal"/>
    <w:link w:val="BalloonTextChar"/>
    <w:uiPriority w:val="99"/>
    <w:semiHidden/>
    <w:unhideWhenUsed/>
    <w:rsid w:val="005355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5579"/>
    <w:rPr>
      <w:rFonts w:ascii="Tahoma" w:hAnsi="Tahoma" w:cs="Tahoma"/>
      <w:sz w:val="16"/>
      <w:szCs w:val="16"/>
    </w:rPr>
  </w:style>
  <w:style w:type="paragraph" w:styleId="Revision">
    <w:name w:val="Revision"/>
    <w:hidden/>
    <w:uiPriority w:val="99"/>
    <w:semiHidden/>
    <w:rsid w:val="007507F6"/>
    <w:rPr>
      <w:sz w:val="22"/>
      <w:szCs w:val="22"/>
      <w:lang w:val="hu-H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5B8"/>
    <w:pPr>
      <w:spacing w:after="200" w:line="276" w:lineRule="auto"/>
    </w:pPr>
    <w:rPr>
      <w:sz w:val="22"/>
      <w:szCs w:val="22"/>
      <w:lang w:val="hu-H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5579"/>
    <w:rPr>
      <w:sz w:val="22"/>
      <w:szCs w:val="22"/>
      <w:lang w:val="hu-HU" w:eastAsia="en-US"/>
    </w:rPr>
  </w:style>
  <w:style w:type="paragraph" w:styleId="BalloonText">
    <w:name w:val="Balloon Text"/>
    <w:basedOn w:val="Normal"/>
    <w:link w:val="BalloonTextChar"/>
    <w:uiPriority w:val="99"/>
    <w:semiHidden/>
    <w:unhideWhenUsed/>
    <w:rsid w:val="005355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5579"/>
    <w:rPr>
      <w:rFonts w:ascii="Tahoma" w:hAnsi="Tahoma" w:cs="Tahoma"/>
      <w:sz w:val="16"/>
      <w:szCs w:val="16"/>
    </w:rPr>
  </w:style>
  <w:style w:type="paragraph" w:styleId="Revision">
    <w:name w:val="Revision"/>
    <w:hidden/>
    <w:uiPriority w:val="99"/>
    <w:semiHidden/>
    <w:rsid w:val="007507F6"/>
    <w:rPr>
      <w:sz w:val="22"/>
      <w:szCs w:val="22"/>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5892">
      <w:bodyDiv w:val="1"/>
      <w:marLeft w:val="0"/>
      <w:marRight w:val="0"/>
      <w:marTop w:val="0"/>
      <w:marBottom w:val="0"/>
      <w:divBdr>
        <w:top w:val="none" w:sz="0" w:space="0" w:color="auto"/>
        <w:left w:val="none" w:sz="0" w:space="0" w:color="auto"/>
        <w:bottom w:val="none" w:sz="0" w:space="0" w:color="auto"/>
        <w:right w:val="none" w:sz="0" w:space="0" w:color="auto"/>
      </w:divBdr>
    </w:div>
    <w:div w:id="179949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1451</Words>
  <Characters>8277</Characters>
  <Application>Microsoft Office Word</Application>
  <DocSecurity>0</DocSecurity>
  <Lines>68</Lines>
  <Paragraphs>19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Hewlett-Packard</Company>
  <LinksUpToDate>false</LinksUpToDate>
  <CharactersWithSpaces>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Berci</dc:creator>
  <cp:lastModifiedBy>Luke Alexander Prescott</cp:lastModifiedBy>
  <cp:revision>2</cp:revision>
  <dcterms:created xsi:type="dcterms:W3CDTF">2013-10-18T09:24:00Z</dcterms:created>
  <dcterms:modified xsi:type="dcterms:W3CDTF">2013-10-18T09:24:00Z</dcterms:modified>
</cp:coreProperties>
</file>