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BB802" w14:textId="6CF194C2" w:rsidR="00DC1D2B" w:rsidRPr="006122F0" w:rsidRDefault="007F4B37" w:rsidP="00DC1D2B">
      <w:pPr>
        <w:spacing w:line="480" w:lineRule="auto"/>
        <w:ind w:left="709" w:hanging="709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6122F0">
        <w:rPr>
          <w:rFonts w:asciiTheme="minorHAnsi" w:hAnsiTheme="minorHAnsi" w:cstheme="minorHAnsi"/>
          <w:b/>
          <w:bCs/>
          <w:sz w:val="28"/>
          <w:szCs w:val="28"/>
          <w:lang w:val="en-US"/>
        </w:rPr>
        <w:t>S</w:t>
      </w:r>
      <w:r w:rsidR="00E64D7A" w:rsidRPr="006122F0">
        <w:rPr>
          <w:rFonts w:asciiTheme="minorHAnsi" w:hAnsiTheme="minorHAnsi" w:cstheme="minorHAnsi"/>
          <w:b/>
          <w:bCs/>
          <w:sz w:val="28"/>
          <w:szCs w:val="28"/>
          <w:lang w:val="en-US"/>
        </w:rPr>
        <w:t>u</w:t>
      </w:r>
      <w:r w:rsidRPr="006122F0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pplementary material: </w:t>
      </w:r>
      <w:r w:rsidR="00DC1D2B" w:rsidRPr="006122F0">
        <w:rPr>
          <w:rFonts w:asciiTheme="minorHAnsi" w:hAnsiTheme="minorHAnsi" w:cstheme="minorHAnsi"/>
          <w:b/>
          <w:bCs/>
          <w:sz w:val="28"/>
          <w:szCs w:val="28"/>
          <w:lang w:val="en-US"/>
        </w:rPr>
        <w:t>Methods</w:t>
      </w:r>
    </w:p>
    <w:p w14:paraId="24EF0CCE" w14:textId="77777777" w:rsidR="00DC1D2B" w:rsidRPr="008809D5" w:rsidRDefault="00DC1D2B" w:rsidP="00BB35B8">
      <w:pPr>
        <w:pStyle w:val="textnoindent"/>
        <w:rPr>
          <w:color w:val="800000"/>
        </w:rPr>
      </w:pPr>
    </w:p>
    <w:p w14:paraId="01CAF9C8" w14:textId="77E92589" w:rsidR="00DC1D2B" w:rsidRPr="008809D5" w:rsidRDefault="00DC1D2B" w:rsidP="006122F0">
      <w:pPr>
        <w:pStyle w:val="textnoindent"/>
      </w:pPr>
      <w:r w:rsidRPr="008809D5">
        <w:t xml:space="preserve">Hydraulic test data were evaluated using standard methods for fractured reservoirs </w:t>
      </w:r>
      <w:r w:rsidR="00F84027">
        <w:t>for</w:t>
      </w:r>
      <w:r w:rsidRPr="008809D5">
        <w:t xml:space="preserve"> </w:t>
      </w:r>
      <w:r w:rsidR="00F84027">
        <w:t>deriving</w:t>
      </w:r>
      <w:r w:rsidRPr="008809D5">
        <w:t xml:space="preserve"> transmissivity and hydr</w:t>
      </w:r>
      <w:r w:rsidR="00F248A3" w:rsidRPr="008809D5">
        <w:t>aulic conductivity. Data analysi</w:t>
      </w:r>
      <w:r w:rsidRPr="008809D5">
        <w:t xml:space="preserve">s </w:t>
      </w:r>
      <w:r w:rsidR="00F248A3" w:rsidRPr="008809D5">
        <w:t>was</w:t>
      </w:r>
      <w:r w:rsidRPr="008809D5">
        <w:t xml:space="preserve"> carried out with methods for vertically fractured aquifers (</w:t>
      </w:r>
      <w:r w:rsidRPr="00F84027">
        <w:rPr>
          <w:rFonts w:cs="Calibri (Textkörper)"/>
          <w:smallCaps/>
          <w:color w:val="FF0000"/>
        </w:rPr>
        <w:t>Cinco</w:t>
      </w:r>
      <w:r w:rsidRPr="00F84027">
        <w:rPr>
          <w:color w:val="FF0000"/>
        </w:rPr>
        <w:t xml:space="preserve"> and </w:t>
      </w:r>
      <w:r w:rsidRPr="00F84027">
        <w:rPr>
          <w:rFonts w:cs="Calibri (Textkörper)"/>
          <w:smallCaps/>
          <w:color w:val="FF0000"/>
        </w:rPr>
        <w:t>Samaniego</w:t>
      </w:r>
      <w:r w:rsidRPr="00F84027">
        <w:rPr>
          <w:color w:val="FF0000"/>
        </w:rPr>
        <w:t xml:space="preserve"> 1977</w:t>
      </w:r>
      <w:r w:rsidR="00F84027" w:rsidRPr="00F84027">
        <w:rPr>
          <w:color w:val="FF0000"/>
        </w:rPr>
        <w:t>;</w:t>
      </w:r>
      <w:r w:rsidRPr="00F84027">
        <w:rPr>
          <w:color w:val="FF0000"/>
        </w:rPr>
        <w:t xml:space="preserve"> </w:t>
      </w:r>
      <w:r w:rsidRPr="00F84027">
        <w:rPr>
          <w:rFonts w:cs="Calibri (Textkörper)"/>
          <w:smallCaps/>
          <w:color w:val="FF0000"/>
        </w:rPr>
        <w:t>Stober</w:t>
      </w:r>
      <w:r w:rsidR="00F84027" w:rsidRPr="00F84027">
        <w:rPr>
          <w:color w:val="FF0000"/>
        </w:rPr>
        <w:t xml:space="preserve"> 1986;</w:t>
      </w:r>
      <w:r w:rsidRPr="00F84027">
        <w:rPr>
          <w:color w:val="FF0000"/>
        </w:rPr>
        <w:t xml:space="preserve"> </w:t>
      </w:r>
      <w:r w:rsidRPr="00F84027">
        <w:rPr>
          <w:rFonts w:cs="Calibri (Textkörper)"/>
          <w:smallCaps/>
          <w:color w:val="FF0000"/>
        </w:rPr>
        <w:t>Bourdet</w:t>
      </w:r>
      <w:r w:rsidRPr="00F84027">
        <w:rPr>
          <w:color w:val="FF0000"/>
        </w:rPr>
        <w:t xml:space="preserve"> 2002</w:t>
      </w:r>
      <w:r w:rsidRPr="008809D5">
        <w:t xml:space="preserve">). We subdivided the different flow periods using different methods for each section. </w:t>
      </w:r>
      <w:r w:rsidR="008809D5" w:rsidRPr="008809D5">
        <w:t>T</w:t>
      </w:r>
      <w:r w:rsidRPr="008809D5">
        <w:t xml:space="preserve">he radial flow </w:t>
      </w:r>
      <w:r w:rsidR="008809D5" w:rsidRPr="008809D5">
        <w:t>was</w:t>
      </w:r>
      <w:r w:rsidRPr="008809D5">
        <w:t xml:space="preserve"> </w:t>
      </w:r>
      <w:r w:rsidR="008809D5" w:rsidRPr="008809D5">
        <w:t xml:space="preserve">modeled using </w:t>
      </w:r>
      <w:r w:rsidRPr="008809D5">
        <w:t xml:space="preserve">the </w:t>
      </w:r>
      <w:r w:rsidRPr="006122F0">
        <w:rPr>
          <w:rFonts w:cs="Calibri (Textkörper)"/>
          <w:smallCaps/>
          <w:color w:val="FF0000"/>
        </w:rPr>
        <w:t>Cooper</w:t>
      </w:r>
      <w:r w:rsidRPr="006122F0">
        <w:rPr>
          <w:color w:val="FF0000"/>
        </w:rPr>
        <w:t xml:space="preserve"> and </w:t>
      </w:r>
      <w:r w:rsidRPr="006122F0">
        <w:rPr>
          <w:rFonts w:cs="Calibri (Textkörper)"/>
          <w:smallCaps/>
          <w:color w:val="FF0000"/>
        </w:rPr>
        <w:t>Jacob</w:t>
      </w:r>
      <w:r w:rsidRPr="006122F0">
        <w:rPr>
          <w:color w:val="FF0000"/>
        </w:rPr>
        <w:t xml:space="preserve"> (1946</w:t>
      </w:r>
      <w:r w:rsidRPr="008809D5">
        <w:t xml:space="preserve">) time drawdown approximation. </w:t>
      </w:r>
      <w:r w:rsidR="008809D5" w:rsidRPr="008809D5">
        <w:t xml:space="preserve">The recovery was evaluated using the </w:t>
      </w:r>
      <w:r w:rsidRPr="008809D5">
        <w:t>Horner-plot method (</w:t>
      </w:r>
      <w:r w:rsidRPr="006122F0">
        <w:rPr>
          <w:rFonts w:cs="Calibri (Textkörper)"/>
          <w:smallCaps/>
          <w:color w:val="FF0000"/>
        </w:rPr>
        <w:t>Horner</w:t>
      </w:r>
      <w:r w:rsidRPr="006122F0">
        <w:rPr>
          <w:color w:val="FF0000"/>
        </w:rPr>
        <w:t xml:space="preserve"> 1951</w:t>
      </w:r>
      <w:r w:rsidRPr="008809D5">
        <w:t xml:space="preserve">). </w:t>
      </w:r>
    </w:p>
    <w:p w14:paraId="18DF983D" w14:textId="77777777" w:rsidR="00E64D7A" w:rsidRDefault="00E64D7A" w:rsidP="00BB35B8">
      <w:pPr>
        <w:pStyle w:val="textnoindent"/>
        <w:rPr>
          <w:color w:val="800000"/>
        </w:rPr>
      </w:pPr>
    </w:p>
    <w:p w14:paraId="55E002F6" w14:textId="394C8719" w:rsidR="00DC1D2B" w:rsidRDefault="006122F0" w:rsidP="00BB35B8">
      <w:pPr>
        <w:pStyle w:val="textnoindent"/>
      </w:pPr>
      <w:r w:rsidRPr="006122F0">
        <w:t xml:space="preserve">All water samples were taken using the spigot at the wellhead. The water was taken at unpressurized conditions but were free from visible gas bubbles. </w:t>
      </w:r>
      <w:r>
        <w:t xml:space="preserve">Acidified aliquots were taken from some samples. </w:t>
      </w:r>
      <w:r w:rsidR="007F4B37">
        <w:t>The e</w:t>
      </w:r>
      <w:r w:rsidR="00DC1D2B">
        <w:t xml:space="preserve">lectric conductivity and pH were </w:t>
      </w:r>
      <w:r>
        <w:t xml:space="preserve">immediately </w:t>
      </w:r>
      <w:r w:rsidR="00DC1D2B">
        <w:t xml:space="preserve">measured </w:t>
      </w:r>
      <w:r w:rsidR="009F25FF">
        <w:t>at the sampling spot.</w:t>
      </w:r>
      <w:r w:rsidR="00DC1D2B">
        <w:t xml:space="preserve"> </w:t>
      </w:r>
      <w:r w:rsidR="009F25FF">
        <w:t>T</w:t>
      </w:r>
      <w:r w:rsidR="00DC1D2B">
        <w:t xml:space="preserve">he </w:t>
      </w:r>
      <w:r w:rsidR="009F25FF">
        <w:t xml:space="preserve">cooled </w:t>
      </w:r>
      <w:r w:rsidR="00DC1D2B">
        <w:t xml:space="preserve">samples were </w:t>
      </w:r>
      <w:r w:rsidR="009F25FF">
        <w:t xml:space="preserve">timely </w:t>
      </w:r>
      <w:r w:rsidR="00DC1D2B">
        <w:t xml:space="preserve">analyzed </w:t>
      </w:r>
      <w:r w:rsidR="009F25FF">
        <w:t>in labs</w:t>
      </w:r>
      <w:r w:rsidR="00DC1D2B">
        <w:t xml:space="preserve"> </w:t>
      </w:r>
      <w:r w:rsidR="009F25FF">
        <w:t>listed</w:t>
      </w:r>
      <w:r w:rsidR="00DC1D2B">
        <w:t xml:space="preserve"> in </w:t>
      </w:r>
      <w:r w:rsidR="00DC1D2B">
        <w:rPr>
          <w:color w:val="FF0000"/>
        </w:rPr>
        <w:t>T</w:t>
      </w:r>
      <w:r w:rsidR="00DC1D2B" w:rsidRPr="00B22CB8">
        <w:rPr>
          <w:color w:val="FF0000"/>
        </w:rPr>
        <w:t>ab</w:t>
      </w:r>
      <w:r w:rsidR="00DC1D2B">
        <w:rPr>
          <w:color w:val="FF0000"/>
        </w:rPr>
        <w:t>le</w:t>
      </w:r>
      <w:r w:rsidR="00DC1D2B" w:rsidRPr="00B22CB8">
        <w:rPr>
          <w:color w:val="FF0000"/>
        </w:rPr>
        <w:t xml:space="preserve"> 1</w:t>
      </w:r>
      <w:r w:rsidR="00DC1D2B">
        <w:t xml:space="preserve">. </w:t>
      </w:r>
      <w:r w:rsidR="00DC1D2B" w:rsidRPr="00B22CB8">
        <w:t xml:space="preserve">In </w:t>
      </w:r>
      <w:r w:rsidR="00DC1D2B">
        <w:t xml:space="preserve">the </w:t>
      </w:r>
      <w:r w:rsidR="00DC1D2B" w:rsidRPr="00B22CB8">
        <w:t>lab</w:t>
      </w:r>
      <w:r w:rsidR="00DC1D2B">
        <w:t>oratory</w:t>
      </w:r>
      <w:r w:rsidR="00DC1D2B" w:rsidRPr="00B22CB8">
        <w:t xml:space="preserve"> </w:t>
      </w:r>
      <w:r w:rsidR="00DC1D2B">
        <w:t xml:space="preserve">of the University of Freiburg (IMPG) </w:t>
      </w:r>
      <w:r w:rsidR="00DC1D2B" w:rsidRPr="00B22CB8">
        <w:t xml:space="preserve">all anions and the monovalent cations were measured with a DX-120 ion chromatograph (IC) from Dionex. Other cations were analyzed with atomic absorption spectrometry (Vario 6 from Analytik Jena). Silica and boron were determined using photometry (UV/VIS spectrometer Lambda 40 from PerkinElmer). Analyses in </w:t>
      </w:r>
      <w:r w:rsidR="00DC1D2B">
        <w:t xml:space="preserve">the other </w:t>
      </w:r>
      <w:r w:rsidR="00DC1D2B" w:rsidRPr="00B22CB8">
        <w:t>lab</w:t>
      </w:r>
      <w:r w:rsidR="00DC1D2B">
        <w:t>s</w:t>
      </w:r>
      <w:r w:rsidR="00DC1D2B" w:rsidRPr="00B22CB8">
        <w:t xml:space="preserve"> were carried out with similar methods, i.e. by using ion chromatography and photometry. </w:t>
      </w:r>
      <w:r w:rsidR="00275DAB">
        <w:t>C</w:t>
      </w:r>
      <w:r w:rsidR="00DC1D2B" w:rsidRPr="00B22CB8">
        <w:t>arbonate species were determined with acid titration. Analys</w:t>
      </w:r>
      <w:r w:rsidR="00DC1D2B">
        <w:t>e</w:t>
      </w:r>
      <w:r w:rsidR="00DC1D2B" w:rsidRPr="00B22CB8">
        <w:t>s were controlled by comparison with the measured electrical conductivity and by the calculated electrical neutrality.</w:t>
      </w:r>
      <w:r w:rsidR="009F25FF" w:rsidRPr="009F25FF">
        <w:t xml:space="preserve"> </w:t>
      </w:r>
      <w:r w:rsidR="009F25FF">
        <w:t xml:space="preserve">Detection limits and analytical errors are given in </w:t>
      </w:r>
      <w:r w:rsidR="009F25FF" w:rsidRPr="006122F0">
        <w:rPr>
          <w:color w:val="FF0000"/>
        </w:rPr>
        <w:t>Table 1</w:t>
      </w:r>
      <w:r w:rsidR="009F25FF">
        <w:t>.</w:t>
      </w:r>
    </w:p>
    <w:p w14:paraId="0DDE6931" w14:textId="77777777" w:rsidR="00DC1D2B" w:rsidRPr="00B22CB8" w:rsidRDefault="00DC1D2B" w:rsidP="00BB35B8">
      <w:pPr>
        <w:pStyle w:val="textnoindent"/>
      </w:pPr>
    </w:p>
    <w:p w14:paraId="28763DC4" w14:textId="77777777" w:rsidR="00DC1D2B" w:rsidRDefault="00DC1D2B" w:rsidP="00BB35B8">
      <w:pPr>
        <w:pStyle w:val="textnoindent"/>
      </w:pPr>
      <w:r w:rsidRPr="00B22CB8">
        <w:lastRenderedPageBreak/>
        <w:t xml:space="preserve">PHREEQC version 2.14 from </w:t>
      </w:r>
      <w:r w:rsidRPr="001A56B6">
        <w:rPr>
          <w:rFonts w:cs="Calibri (Textkörper)"/>
          <w:smallCaps/>
          <w:color w:val="FF0000"/>
        </w:rPr>
        <w:t>Parkhurst</w:t>
      </w:r>
      <w:r w:rsidRPr="001A56B6">
        <w:rPr>
          <w:color w:val="FF0000"/>
        </w:rPr>
        <w:t xml:space="preserve"> and </w:t>
      </w:r>
      <w:r w:rsidRPr="001A56B6">
        <w:rPr>
          <w:rFonts w:cs="Calibri (Textkörper)"/>
          <w:smallCaps/>
          <w:color w:val="FF0000"/>
        </w:rPr>
        <w:t>Appelo</w:t>
      </w:r>
      <w:r w:rsidRPr="001A56B6">
        <w:rPr>
          <w:color w:val="FF0000"/>
        </w:rPr>
        <w:t xml:space="preserve"> (1999</w:t>
      </w:r>
      <w:r w:rsidRPr="00B22CB8">
        <w:t>) was used to compute distribution of species, species activities, mass transfers and saturation states from the database LLNL.dat (</w:t>
      </w:r>
      <w:r w:rsidRPr="001A56B6">
        <w:rPr>
          <w:rFonts w:cs="Calibri (Textkörper)"/>
          <w:smallCaps/>
          <w:color w:val="FF0000"/>
        </w:rPr>
        <w:t>Wolery</w:t>
      </w:r>
      <w:r w:rsidRPr="001A56B6">
        <w:rPr>
          <w:color w:val="FF0000"/>
        </w:rPr>
        <w:t>, 1992</w:t>
      </w:r>
      <w:r w:rsidRPr="00B22CB8">
        <w:t>).</w:t>
      </w:r>
    </w:p>
    <w:p w14:paraId="0DE33AE0" w14:textId="77777777" w:rsidR="00E64D7A" w:rsidRDefault="00E64D7A" w:rsidP="00BB35B8">
      <w:pPr>
        <w:pStyle w:val="textnoindent"/>
      </w:pPr>
    </w:p>
    <w:p w14:paraId="7D669B75" w14:textId="65916557" w:rsidR="001A56B6" w:rsidRDefault="001A56B6" w:rsidP="00BB35B8">
      <w:pPr>
        <w:pStyle w:val="textnoindent"/>
      </w:pPr>
      <w:r>
        <w:t xml:space="preserve">Equilibrium conditions for quartz solubility, Na-K exchange between two feldspars and fluid, and K-Mg exchange between secondary minerals in granitoid rocks and fluid have been computed from SUPCRTBL </w:t>
      </w:r>
      <w:r w:rsidR="00B30359" w:rsidRPr="00DE794A">
        <w:t>(</w:t>
      </w:r>
      <w:r w:rsidR="00B30359" w:rsidRPr="00DE794A">
        <w:rPr>
          <w:color w:val="FF0000"/>
        </w:rPr>
        <w:t>Zimmer et al. 2016</w:t>
      </w:r>
      <w:r w:rsidR="00B30359" w:rsidRPr="00DE794A">
        <w:t>)</w:t>
      </w:r>
      <w:r w:rsidR="00E12571">
        <w:t xml:space="preserve"> with data for the solids from </w:t>
      </w:r>
      <w:r w:rsidR="00E12571" w:rsidRPr="004E5928">
        <w:rPr>
          <w:rFonts w:cs="Times New Roman"/>
          <w:color w:val="FF0000"/>
        </w:rPr>
        <w:t>Holland and Powell (2011</w:t>
      </w:r>
      <w:r w:rsidR="00E12571" w:rsidRPr="00997C88">
        <w:t>)</w:t>
      </w:r>
      <w:r w:rsidR="00E12571">
        <w:t>.</w:t>
      </w:r>
    </w:p>
    <w:p w14:paraId="695AF305" w14:textId="77777777" w:rsidR="00B30359" w:rsidRPr="00B22CB8" w:rsidRDefault="00B30359" w:rsidP="00BB35B8">
      <w:pPr>
        <w:pStyle w:val="textnoindent"/>
      </w:pPr>
    </w:p>
    <w:p w14:paraId="4DC053F0" w14:textId="2249DB19" w:rsidR="00DC1D2B" w:rsidRDefault="00DC1D2B" w:rsidP="00BB35B8">
      <w:pPr>
        <w:pStyle w:val="textnoindent"/>
      </w:pPr>
      <w:r>
        <w:t>Whole rock analysis was performed by standard X-ray fluorescence (XRF) techniques at the University of Freiburg, Germany, using a Philips PW 2404 spectrometer. Pressed powder and Li-borate fused glass discs were prepared to measure contents of trace and major elements, respectively. Raw data were processed with the standard XR-55 software of Philips. Relative standard deviations are &lt; 1 and &lt; 4 % for major and trace elements, respectively. Loss on ignition wa</w:t>
      </w:r>
      <w:r w:rsidR="00B70A33">
        <w:t>s determined by heating at 1</w:t>
      </w:r>
      <w:r>
        <w:t xml:space="preserve">100°C for 2 h. </w:t>
      </w:r>
    </w:p>
    <w:p w14:paraId="6661097C" w14:textId="77777777" w:rsidR="00DC1D2B" w:rsidRDefault="00DC1D2B" w:rsidP="00BB35B8">
      <w:pPr>
        <w:pStyle w:val="textnoindent"/>
      </w:pPr>
    </w:p>
    <w:p w14:paraId="33B5B815" w14:textId="24BB5B25" w:rsidR="00DC1D2B" w:rsidRDefault="00DC1D2B" w:rsidP="00BB35B8">
      <w:pPr>
        <w:pStyle w:val="textnoindent"/>
      </w:pPr>
      <w:r>
        <w:t xml:space="preserve">For each leaching experiment 30.105 g rock powder mixed with 200 mL pure deionized water was used and the suspension was shaken for 24 h at room temperature. Afterwards the samples were centrifuged and filtered through a 0.45 </w:t>
      </w:r>
      <w:r w:rsidRPr="00352C53">
        <w:t>µm</w:t>
      </w:r>
      <w:r>
        <w:t xml:space="preserve"> membrane filter. The solutions were analyzed by using the analytical methods</w:t>
      </w:r>
      <w:r w:rsidRPr="00811535">
        <w:t xml:space="preserve"> </w:t>
      </w:r>
      <w:r>
        <w:t>described</w:t>
      </w:r>
      <w:r w:rsidRPr="00811535">
        <w:t xml:space="preserve"> </w:t>
      </w:r>
      <w:r>
        <w:t xml:space="preserve">above. </w:t>
      </w:r>
      <w:r w:rsidR="00BB35B8" w:rsidRPr="00BB35B8">
        <w:rPr>
          <w:color w:val="008000"/>
        </w:rPr>
        <w:t xml:space="preserve">Dissolved </w:t>
      </w:r>
      <w:r w:rsidRPr="00BB35B8">
        <w:rPr>
          <w:color w:val="008000"/>
        </w:rPr>
        <w:t>Al</w:t>
      </w:r>
      <w:r>
        <w:t xml:space="preserve"> was measured s</w:t>
      </w:r>
      <w:r w:rsidR="00BB35B8">
        <w:t>eparately by graphite tube AAS.</w:t>
      </w:r>
      <w:r w:rsidR="00B70A33">
        <w:t xml:space="preserve"> The chemical composition of the leachate is given on </w:t>
      </w:r>
      <w:r w:rsidR="00B70A33" w:rsidRPr="00A33738">
        <w:rPr>
          <w:color w:val="FF0000"/>
        </w:rPr>
        <w:t>Table 2</w:t>
      </w:r>
      <w:r w:rsidR="00B70A33">
        <w:t>.</w:t>
      </w:r>
    </w:p>
    <w:p w14:paraId="5D63D5E5" w14:textId="77777777" w:rsidR="00DC1D2B" w:rsidRPr="00BC73FC" w:rsidRDefault="00DC1D2B" w:rsidP="00BB35B8">
      <w:pPr>
        <w:pStyle w:val="textnoindent"/>
      </w:pPr>
    </w:p>
    <w:p w14:paraId="6A56D4FE" w14:textId="73405B16" w:rsidR="00C1540E" w:rsidRDefault="0008022F" w:rsidP="00BB35B8">
      <w:pPr>
        <w:pStyle w:val="textnoindent"/>
      </w:pPr>
      <w:r w:rsidRPr="00990545">
        <w:rPr>
          <w:color w:val="008000"/>
        </w:rPr>
        <w:t xml:space="preserve">Composition of minerals </w:t>
      </w:r>
      <w:r w:rsidR="00DC1D2B" w:rsidRPr="00990545">
        <w:rPr>
          <w:color w:val="008000"/>
        </w:rPr>
        <w:t xml:space="preserve">was </w:t>
      </w:r>
      <w:r w:rsidRPr="00990545">
        <w:rPr>
          <w:color w:val="008000"/>
        </w:rPr>
        <w:t>measured</w:t>
      </w:r>
      <w:r w:rsidR="00DC1D2B" w:rsidRPr="00990545">
        <w:rPr>
          <w:color w:val="008000"/>
        </w:rPr>
        <w:t xml:space="preserve"> using a CAMECA SX 100 electron microprobe</w:t>
      </w:r>
      <w:r w:rsidR="00DC1D2B" w:rsidRPr="00D04B0A">
        <w:t xml:space="preserve"> equipped with five WD spectrometers and one ED detector with an internal PAP-correction </w:t>
      </w:r>
      <w:r w:rsidR="00DC1D2B" w:rsidRPr="00D04B0A">
        <w:lastRenderedPageBreak/>
        <w:t>program (</w:t>
      </w:r>
      <w:r w:rsidR="00DC1D2B" w:rsidRPr="00214FC0">
        <w:rPr>
          <w:rFonts w:cs="Calibri (Textkörper)"/>
          <w:smallCaps/>
          <w:color w:val="FF0000"/>
        </w:rPr>
        <w:t>Pouchou</w:t>
      </w:r>
      <w:r w:rsidR="00DC1D2B" w:rsidRPr="00214FC0">
        <w:rPr>
          <w:color w:val="FF0000"/>
        </w:rPr>
        <w:t xml:space="preserve"> and </w:t>
      </w:r>
      <w:r w:rsidR="00DC1D2B" w:rsidRPr="00214FC0">
        <w:rPr>
          <w:rFonts w:cs="Calibri (Textkörper)"/>
          <w:smallCaps/>
          <w:color w:val="FF0000"/>
        </w:rPr>
        <w:t>Pichoir</w:t>
      </w:r>
      <w:r w:rsidR="00DC1D2B" w:rsidRPr="00214FC0">
        <w:rPr>
          <w:color w:val="FF0000"/>
        </w:rPr>
        <w:t>, 1991</w:t>
      </w:r>
      <w:r w:rsidR="00DC1D2B" w:rsidRPr="00D04B0A">
        <w:t>). Major and minor elements were determined at 15 kV accelerating voltage and 10 nA beam current with a defocused electron beam of 20 µm in diameter with counting time up to 20 s. Na and K were counted first to minimize the Na and K loss. Natural and syn</w:t>
      </w:r>
      <w:bookmarkStart w:id="0" w:name="_GoBack"/>
      <w:bookmarkEnd w:id="0"/>
      <w:r w:rsidR="00DC1D2B" w:rsidRPr="00D04B0A">
        <w:t>thetic standards were used for calibration.</w:t>
      </w:r>
    </w:p>
    <w:sectPr w:rsidR="00C1540E" w:rsidSect="007F4B37">
      <w:headerReference w:type="even" r:id="rId7"/>
      <w:headerReference w:type="default" r:id="rId8"/>
      <w:pgSz w:w="11906" w:h="16838"/>
      <w:pgMar w:top="1440" w:right="1588" w:bottom="1440" w:left="1418" w:header="709" w:footer="709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E1857" w14:textId="77777777" w:rsidR="00B70A33" w:rsidRDefault="00B70A33" w:rsidP="00BB0256">
      <w:r>
        <w:separator/>
      </w:r>
    </w:p>
  </w:endnote>
  <w:endnote w:type="continuationSeparator" w:id="0">
    <w:p w14:paraId="463B9998" w14:textId="77777777" w:rsidR="00B70A33" w:rsidRDefault="00B70A33" w:rsidP="00BB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287" w:usb1="00000000" w:usb2="00000000" w:usb3="00000000" w:csb0="0000009F" w:csb1="00000000"/>
  </w:font>
  <w:font w:name="Calibri (Textkörper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20F05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85A483" w14:textId="77777777" w:rsidR="00B70A33" w:rsidRDefault="00B70A33" w:rsidP="00BB0256">
      <w:r>
        <w:separator/>
      </w:r>
    </w:p>
  </w:footnote>
  <w:footnote w:type="continuationSeparator" w:id="0">
    <w:p w14:paraId="27291C53" w14:textId="77777777" w:rsidR="00B70A33" w:rsidRDefault="00B70A33" w:rsidP="00BB025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0132F" w14:textId="77777777" w:rsidR="00B70A33" w:rsidRDefault="00B70A33" w:rsidP="006122F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85F6F5" w14:textId="77777777" w:rsidR="00B70A33" w:rsidRDefault="00B70A33" w:rsidP="00BB0256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19828" w14:textId="77777777" w:rsidR="00B70A33" w:rsidRDefault="00B70A33" w:rsidP="006122F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4FC0">
      <w:rPr>
        <w:rStyle w:val="PageNumber"/>
        <w:noProof/>
      </w:rPr>
      <w:t>1</w:t>
    </w:r>
    <w:r>
      <w:rPr>
        <w:rStyle w:val="PageNumber"/>
      </w:rPr>
      <w:fldChar w:fldCharType="end"/>
    </w:r>
  </w:p>
  <w:p w14:paraId="320B2971" w14:textId="77777777" w:rsidR="00B70A33" w:rsidRDefault="00B70A33" w:rsidP="00BB0256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2B"/>
    <w:rsid w:val="0008022F"/>
    <w:rsid w:val="00162B3B"/>
    <w:rsid w:val="001A56B6"/>
    <w:rsid w:val="00214FC0"/>
    <w:rsid w:val="00275DAB"/>
    <w:rsid w:val="004E5928"/>
    <w:rsid w:val="006122F0"/>
    <w:rsid w:val="007F4B37"/>
    <w:rsid w:val="008809D5"/>
    <w:rsid w:val="00990545"/>
    <w:rsid w:val="009917B0"/>
    <w:rsid w:val="009F25FF"/>
    <w:rsid w:val="00A33738"/>
    <w:rsid w:val="00A41412"/>
    <w:rsid w:val="00A558F9"/>
    <w:rsid w:val="00B30359"/>
    <w:rsid w:val="00B534C7"/>
    <w:rsid w:val="00B70A33"/>
    <w:rsid w:val="00BB0256"/>
    <w:rsid w:val="00BB35B8"/>
    <w:rsid w:val="00C1540E"/>
    <w:rsid w:val="00DC1D2B"/>
    <w:rsid w:val="00E12571"/>
    <w:rsid w:val="00E64D7A"/>
    <w:rsid w:val="00F248A3"/>
    <w:rsid w:val="00F8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8F39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2B"/>
    <w:rPr>
      <w:rFonts w:ascii="Times New Roman" w:eastAsia="Times New Roman" w:hAnsi="Times New Roman" w:cs="Times New Roman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F4B37"/>
  </w:style>
  <w:style w:type="paragraph" w:customStyle="1" w:styleId="textnoindent">
    <w:name w:val="text no indent"/>
    <w:basedOn w:val="Normal"/>
    <w:qFormat/>
    <w:rsid w:val="00BB35B8"/>
    <w:pPr>
      <w:spacing w:line="480" w:lineRule="auto"/>
    </w:pPr>
    <w:rPr>
      <w:rFonts w:asciiTheme="minorHAnsi" w:hAnsiTheme="minorHAnsi" w:cs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02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256"/>
    <w:rPr>
      <w:rFonts w:ascii="Times New Roman" w:eastAsia="Times New Roman" w:hAnsi="Times New Roman" w:cs="Times New Roman"/>
      <w:lang w:val="de-DE" w:eastAsia="de-DE"/>
    </w:rPr>
  </w:style>
  <w:style w:type="character" w:styleId="PageNumber">
    <w:name w:val="page number"/>
    <w:basedOn w:val="DefaultParagraphFont"/>
    <w:uiPriority w:val="99"/>
    <w:semiHidden/>
    <w:unhideWhenUsed/>
    <w:rsid w:val="00BB025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2B"/>
    <w:rPr>
      <w:rFonts w:ascii="Times New Roman" w:eastAsia="Times New Roman" w:hAnsi="Times New Roman" w:cs="Times New Roman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F4B37"/>
  </w:style>
  <w:style w:type="paragraph" w:customStyle="1" w:styleId="textnoindent">
    <w:name w:val="text no indent"/>
    <w:basedOn w:val="Normal"/>
    <w:qFormat/>
    <w:rsid w:val="00BB35B8"/>
    <w:pPr>
      <w:spacing w:line="480" w:lineRule="auto"/>
    </w:pPr>
    <w:rPr>
      <w:rFonts w:asciiTheme="minorHAnsi" w:hAnsiTheme="minorHAnsi" w:cs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02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256"/>
    <w:rPr>
      <w:rFonts w:ascii="Times New Roman" w:eastAsia="Times New Roman" w:hAnsi="Times New Roman" w:cs="Times New Roman"/>
      <w:lang w:val="de-DE" w:eastAsia="de-DE"/>
    </w:rPr>
  </w:style>
  <w:style w:type="character" w:styleId="PageNumber">
    <w:name w:val="page number"/>
    <w:basedOn w:val="DefaultParagraphFont"/>
    <w:uiPriority w:val="99"/>
    <w:semiHidden/>
    <w:unhideWhenUsed/>
    <w:rsid w:val="00BB0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528</Words>
  <Characters>3011</Characters>
  <Application>Microsoft Macintosh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granite</dc:creator>
  <cp:keywords/>
  <dc:description/>
  <cp:lastModifiedBy>granite</cp:lastModifiedBy>
  <cp:revision>21</cp:revision>
  <dcterms:created xsi:type="dcterms:W3CDTF">2021-11-06T12:36:00Z</dcterms:created>
  <dcterms:modified xsi:type="dcterms:W3CDTF">2021-11-18T10:27:00Z</dcterms:modified>
</cp:coreProperties>
</file>