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441" w:rsidRPr="001B4AE5" w:rsidRDefault="00A91441" w:rsidP="00A91441">
      <w:pPr>
        <w:pStyle w:val="DNALTTitel"/>
        <w:spacing w:after="501"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B4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Serum </w:t>
      </w:r>
      <w:r w:rsidRPr="001B4AE5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a proliferation-induci</w:t>
      </w:r>
      <w:bookmarkStart w:id="0" w:name="_GoBack"/>
      <w:bookmarkEnd w:id="0"/>
      <w:r w:rsidRPr="001B4AE5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ng ligand</w:t>
      </w:r>
      <w:r w:rsidRPr="001B4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microRNA-223 are associated with rheumatoid arthritis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 Diagnostic and p</w:t>
      </w:r>
      <w:r w:rsidRPr="001B4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rognostic implications</w:t>
      </w:r>
    </w:p>
    <w:p w:rsidR="00BE36AA" w:rsidRPr="00BE36AA" w:rsidRDefault="00BE36AA" w:rsidP="00BE36AA">
      <w:pPr>
        <w:autoSpaceDE w:val="0"/>
        <w:autoSpaceDN w:val="0"/>
        <w:bidi w:val="0"/>
        <w:adjustRightInd w:val="0"/>
        <w:spacing w:after="501" w:line="480" w:lineRule="auto"/>
        <w:rPr>
          <w:rFonts w:ascii="Times New Roman" w:hAnsi="Times New Roman" w:cs="Times New Roman"/>
          <w:i/>
          <w:iCs/>
          <w:color w:val="000000" w:themeColor="text1"/>
          <w:kern w:val="1"/>
          <w:sz w:val="32"/>
          <w:szCs w:val="32"/>
          <w:lang w:val="en-GB"/>
        </w:rPr>
      </w:pP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>Mohamed Taha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vertAlign w:val="superscript"/>
          <w:lang w:val="en-GB" w:bidi="ar-EG"/>
        </w:rPr>
        <w:t>1</w:t>
      </w:r>
      <w:r w:rsidRPr="00BE36AA">
        <w:rPr>
          <w:rFonts w:asciiTheme="majorBidi" w:hAnsiTheme="majorBidi" w:cstheme="majorBidi"/>
          <w:color w:val="050505"/>
          <w:kern w:val="1"/>
          <w:sz w:val="28"/>
          <w:szCs w:val="28"/>
          <w:vertAlign w:val="superscript"/>
          <w:lang w:val="en-GB" w:bidi="ar-EG"/>
        </w:rPr>
        <w:t>*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, </w:t>
      </w:r>
      <w:proofErr w:type="spellStart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>Olfat</w:t>
      </w:r>
      <w:proofErr w:type="spellEnd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 </w:t>
      </w:r>
      <w:proofErr w:type="spellStart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>Gamil</w:t>
      </w:r>
      <w:proofErr w:type="spellEnd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 Shaker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vertAlign w:val="superscript"/>
          <w:lang w:val="en-GB" w:bidi="ar-EG"/>
        </w:rPr>
        <w:t>2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, </w:t>
      </w:r>
      <w:proofErr w:type="spellStart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>Enas</w:t>
      </w:r>
      <w:proofErr w:type="spellEnd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 Taha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vertAlign w:val="superscript"/>
          <w:lang w:val="en-GB" w:bidi="ar-EG"/>
        </w:rPr>
        <w:t>3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, </w:t>
      </w:r>
      <w:proofErr w:type="spellStart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>Noha</w:t>
      </w:r>
      <w:proofErr w:type="spellEnd"/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lang w:val="en-GB" w:bidi="ar-EG"/>
        </w:rPr>
        <w:t xml:space="preserve"> Taha</w:t>
      </w:r>
      <w:r w:rsidRPr="00BE36AA">
        <w:rPr>
          <w:rFonts w:asciiTheme="majorBidi" w:hAnsiTheme="majorBidi" w:cstheme="majorBidi"/>
          <w:color w:val="050505"/>
          <w:kern w:val="1"/>
          <w:sz w:val="24"/>
          <w:szCs w:val="24"/>
          <w:vertAlign w:val="superscript"/>
          <w:lang w:val="en-GB" w:bidi="ar-EG"/>
        </w:rPr>
        <w:t>4</w:t>
      </w:r>
    </w:p>
    <w:p w:rsidR="00BE36AA" w:rsidRPr="00BE36AA" w:rsidRDefault="00BE36AA" w:rsidP="00BE36AA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E36AA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E36AA">
        <w:rPr>
          <w:rFonts w:asciiTheme="majorBidi" w:hAnsiTheme="majorBidi" w:cstheme="majorBidi"/>
          <w:sz w:val="24"/>
          <w:szCs w:val="24"/>
        </w:rPr>
        <w:t>Biochemistry Department, Faculty of Pharmacy, Cairo University, Cairo, Egypt</w:t>
      </w:r>
    </w:p>
    <w:p w:rsidR="00BE36AA" w:rsidRPr="00BE36AA" w:rsidRDefault="00BE36AA" w:rsidP="00BE36AA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eastAsia="AdvP4DF60E" w:hAnsiTheme="majorBidi" w:cstheme="majorBidi"/>
          <w:sz w:val="24"/>
          <w:szCs w:val="24"/>
        </w:rPr>
      </w:pPr>
      <w:r w:rsidRPr="00BE36AA">
        <w:rPr>
          <w:rFonts w:asciiTheme="majorBidi" w:eastAsia="AdvP4DF60E" w:hAnsiTheme="majorBidi" w:cstheme="majorBidi"/>
          <w:sz w:val="24"/>
          <w:szCs w:val="24"/>
          <w:vertAlign w:val="superscript"/>
        </w:rPr>
        <w:t>2</w:t>
      </w:r>
      <w:r w:rsidRPr="00BE36AA">
        <w:rPr>
          <w:rFonts w:asciiTheme="majorBidi" w:eastAsia="AdvP4DF60E" w:hAnsiTheme="majorBidi" w:cstheme="majorBidi"/>
          <w:sz w:val="24"/>
          <w:szCs w:val="24"/>
        </w:rPr>
        <w:t>Medical Biochemistry and Molecular Biology Department, Faculty of Medicine, Cairo University, Cairo, Egypt</w:t>
      </w:r>
    </w:p>
    <w:p w:rsidR="00BE36AA" w:rsidRPr="00BE36AA" w:rsidRDefault="00BE36AA" w:rsidP="00BE36AA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E36AA">
        <w:rPr>
          <w:rFonts w:asciiTheme="majorBidi" w:eastAsia="AdvP4DF60E" w:hAnsiTheme="majorBidi" w:cstheme="majorBidi"/>
          <w:sz w:val="24"/>
          <w:szCs w:val="24"/>
          <w:vertAlign w:val="superscript"/>
        </w:rPr>
        <w:t>3</w:t>
      </w:r>
      <w:r w:rsidRPr="00BE36AA">
        <w:rPr>
          <w:rFonts w:asciiTheme="majorBidi" w:eastAsia="AdvP4DF60E" w:hAnsiTheme="majorBidi" w:cstheme="majorBidi"/>
          <w:sz w:val="24"/>
          <w:szCs w:val="24"/>
        </w:rPr>
        <w:t>National Institute of Diabetes and Endocrinology, Cairo, Egypt</w:t>
      </w:r>
    </w:p>
    <w:p w:rsidR="00BE36AA" w:rsidRPr="00BE36AA" w:rsidRDefault="00BE36AA" w:rsidP="00BE36AA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eastAsia="AdvP4DF60E" w:hAnsiTheme="majorBidi" w:cstheme="majorBidi"/>
          <w:sz w:val="24"/>
          <w:szCs w:val="24"/>
        </w:rPr>
      </w:pPr>
      <w:r w:rsidRPr="00BE36AA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E36AA">
        <w:rPr>
          <w:rFonts w:asciiTheme="majorBidi" w:hAnsiTheme="majorBidi" w:cstheme="majorBidi"/>
          <w:sz w:val="24"/>
          <w:szCs w:val="24"/>
        </w:rPr>
        <w:t xml:space="preserve">Internal medicine department, </w:t>
      </w:r>
      <w:r w:rsidRPr="00BE36AA">
        <w:rPr>
          <w:rFonts w:asciiTheme="majorBidi" w:eastAsia="AdvP4DF60E" w:hAnsiTheme="majorBidi" w:cstheme="majorBidi"/>
          <w:sz w:val="24"/>
          <w:szCs w:val="24"/>
        </w:rPr>
        <w:t>Faculty of Medicine, Cairo University, Cairo, Egypt</w:t>
      </w:r>
    </w:p>
    <w:p w:rsidR="00BE36AA" w:rsidRDefault="00BE36AA" w:rsidP="00BE36AA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A91441" w:rsidRPr="00BE36AA" w:rsidRDefault="00A91441" w:rsidP="00A91441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</w:p>
    <w:p w:rsidR="004F296B" w:rsidRDefault="00BE36AA" w:rsidP="00BE36AA">
      <w:pPr>
        <w:bidi w:val="0"/>
      </w:pP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 S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6AA" w:rsidRDefault="00BE36AA" w:rsidP="00BE36AA">
      <w:pPr>
        <w:bidi w:val="0"/>
      </w:pPr>
    </w:p>
    <w:p w:rsidR="00BE36AA" w:rsidRDefault="00BE36AA" w:rsidP="00BE36AA">
      <w:pPr>
        <w:bidi w:val="0"/>
      </w:pPr>
    </w:p>
    <w:p w:rsidR="00BE36AA" w:rsidRDefault="00BE36AA" w:rsidP="00BE36AA">
      <w:pPr>
        <w:bidi w:val="0"/>
        <w:spacing w:line="480" w:lineRule="auto"/>
        <w:jc w:val="lowKashida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bidi="ar-EG"/>
        </w:rPr>
        <w:t>Supplementary Figure S1.</w:t>
      </w:r>
      <w:proofErr w:type="gramEnd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bidi="ar-EG"/>
        </w:rPr>
        <w:t xml:space="preserve"> Effect of different treatment regimens on serum APRIL and studied </w:t>
      </w:r>
      <w:proofErr w:type="spell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bidi="ar-EG"/>
        </w:rPr>
        <w:t>miRNAs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data included any patient receiving steroid, n=30; methotrexate (MTX</w:t>
      </w:r>
      <w:proofErr w:type="gramStart"/>
      <w:r>
        <w:rPr>
          <w:rFonts w:ascii="Times New Roman" w:hAnsi="Times New Roman" w:cs="Times New Roman"/>
          <w:sz w:val="24"/>
          <w:szCs w:val="24"/>
        </w:rPr>
        <w:t>)=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108; or hydroquinone (HQN), n=30; MTX+HQN, n=24; or </w:t>
      </w:r>
      <w:proofErr w:type="spellStart"/>
      <w:r>
        <w:rPr>
          <w:rFonts w:ascii="Times New Roman" w:hAnsi="Times New Roman" w:cs="Times New Roman"/>
          <w:sz w:val="24"/>
          <w:szCs w:val="24"/>
        </w:rPr>
        <w:t>MTX+steroids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n=24. APRIL data were expressed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mean±SD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were compared with ANOVA.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miRNA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data were expressed as box plots and were compared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kruskal</w:t>
      </w:r>
      <w:proofErr w:type="spellEnd"/>
      <w:r>
        <w:rPr>
          <w:rFonts w:ascii="Times New Roman" w:hAnsi="Times New Roman" w:cs="Times New Roman"/>
          <w:sz w:val="24"/>
          <w:szCs w:val="24"/>
        </w:rPr>
        <w:t>-Wallis test.</w:t>
      </w:r>
    </w:p>
    <w:p w:rsidR="00BE36AA" w:rsidRDefault="00BE36AA" w:rsidP="00BE36AA">
      <w:pPr>
        <w:bidi w:val="0"/>
        <w:rPr>
          <w:lang w:bidi="ar-EG"/>
        </w:rPr>
      </w:pPr>
    </w:p>
    <w:sectPr w:rsidR="00BE36AA" w:rsidSect="00737A1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6AA"/>
    <w:rsid w:val="00487B5F"/>
    <w:rsid w:val="004F296B"/>
    <w:rsid w:val="00737A15"/>
    <w:rsid w:val="00A91441"/>
    <w:rsid w:val="00B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AA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6AA"/>
    <w:rPr>
      <w:rFonts w:ascii="Tahoma" w:eastAsiaTheme="minorEastAsia" w:hAnsi="Tahoma" w:cs="Tahoma"/>
      <w:sz w:val="16"/>
      <w:szCs w:val="16"/>
    </w:rPr>
  </w:style>
  <w:style w:type="paragraph" w:customStyle="1" w:styleId="DNALTTitel">
    <w:name w:val="DNA~LT~Titel"/>
    <w:uiPriority w:val="99"/>
    <w:rsid w:val="00A91441"/>
    <w:pPr>
      <w:autoSpaceDE w:val="0"/>
      <w:autoSpaceDN w:val="0"/>
      <w:adjustRightInd w:val="0"/>
      <w:spacing w:after="0" w:line="240" w:lineRule="auto"/>
      <w:jc w:val="center"/>
    </w:pPr>
    <w:rPr>
      <w:rFonts w:ascii="Lohit Hindi" w:eastAsiaTheme="minorEastAsia" w:hAnsi="Lohit Hindi" w:cs="Lohit Hindi"/>
      <w:color w:val="050505"/>
      <w:kern w:val="1"/>
      <w:sz w:val="88"/>
      <w:szCs w:val="8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AA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6AA"/>
    <w:rPr>
      <w:rFonts w:ascii="Tahoma" w:eastAsiaTheme="minorEastAsia" w:hAnsi="Tahoma" w:cs="Tahoma"/>
      <w:sz w:val="16"/>
      <w:szCs w:val="16"/>
    </w:rPr>
  </w:style>
  <w:style w:type="paragraph" w:customStyle="1" w:styleId="DNALTTitel">
    <w:name w:val="DNA~LT~Titel"/>
    <w:uiPriority w:val="99"/>
    <w:rsid w:val="00A91441"/>
    <w:pPr>
      <w:autoSpaceDE w:val="0"/>
      <w:autoSpaceDN w:val="0"/>
      <w:adjustRightInd w:val="0"/>
      <w:spacing w:after="0" w:line="240" w:lineRule="auto"/>
      <w:jc w:val="center"/>
    </w:pPr>
    <w:rPr>
      <w:rFonts w:ascii="Lohit Hindi" w:eastAsiaTheme="minorEastAsia" w:hAnsi="Lohit Hindi" w:cs="Lohit Hindi"/>
      <w:color w:val="050505"/>
      <w:kern w:val="1"/>
      <w:sz w:val="88"/>
      <w:szCs w:val="8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7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2019-08-29T13:37:00Z</dcterms:created>
  <dcterms:modified xsi:type="dcterms:W3CDTF">2020-05-17T02:32:00Z</dcterms:modified>
</cp:coreProperties>
</file>