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2E60B" w14:textId="2F0100DA" w:rsidR="00766F7D" w:rsidRPr="00165F17" w:rsidRDefault="00766F7D" w:rsidP="00766F7D">
      <w:pPr>
        <w:spacing w:line="480" w:lineRule="auto"/>
        <w:jc w:val="center"/>
        <w:rPr>
          <w:b/>
          <w:sz w:val="20"/>
          <w:szCs w:val="20"/>
        </w:rPr>
      </w:pPr>
      <w:r w:rsidRPr="00165F17">
        <w:rPr>
          <w:noProof/>
        </w:rPr>
        <w:drawing>
          <wp:inline distT="0" distB="0" distL="0" distR="0" wp14:anchorId="3C73C618" wp14:editId="54A8427A">
            <wp:extent cx="4762500" cy="3447782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962" cy="345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2060E" w14:textId="03AC4014" w:rsidR="000E50BC" w:rsidRPr="00165F17" w:rsidRDefault="000E50BC" w:rsidP="000E50BC">
      <w:pPr>
        <w:spacing w:line="480" w:lineRule="auto"/>
        <w:rPr>
          <w:sz w:val="20"/>
          <w:szCs w:val="20"/>
        </w:rPr>
      </w:pPr>
      <w:r w:rsidRPr="00165F17">
        <w:rPr>
          <w:b/>
          <w:sz w:val="20"/>
          <w:szCs w:val="20"/>
        </w:rPr>
        <w:t>Figure S1. Sandalore increases the intracellular calcium concentration of human primary alveolar macrophages in a dose-dependent manner.</w:t>
      </w:r>
      <w:r w:rsidRPr="00165F17">
        <w:rPr>
          <w:sz w:val="20"/>
          <w:szCs w:val="20"/>
        </w:rPr>
        <w:t xml:space="preserve"> The dose-response curve was fitted using Hill 3 calculation. The dotted line represents the EC</w:t>
      </w:r>
      <w:r w:rsidRPr="00165F17">
        <w:rPr>
          <w:sz w:val="20"/>
          <w:szCs w:val="20"/>
          <w:vertAlign w:val="subscript"/>
        </w:rPr>
        <w:t>50</w:t>
      </w:r>
      <w:r w:rsidRPr="00165F17">
        <w:rPr>
          <w:sz w:val="20"/>
          <w:szCs w:val="20"/>
        </w:rPr>
        <w:t xml:space="preserve"> value of 1</w:t>
      </w:r>
      <w:r w:rsidR="003B7056" w:rsidRPr="00165F17">
        <w:rPr>
          <w:sz w:val="20"/>
          <w:szCs w:val="20"/>
        </w:rPr>
        <w:t>90</w:t>
      </w:r>
      <w:r w:rsidRPr="00165F17">
        <w:rPr>
          <w:sz w:val="20"/>
          <w:szCs w:val="20"/>
        </w:rPr>
        <w:t> µM. Data significance was calculated by Friedman test with post hoc"</w:t>
      </w:r>
      <w:r w:rsidRPr="00165F17">
        <w:rPr>
          <w:rFonts w:cs="Arial"/>
          <w:bCs/>
          <w:color w:val="000000" w:themeColor="text1"/>
          <w:sz w:val="20"/>
          <w:szCs w:val="20"/>
        </w:rPr>
        <w:t xml:space="preserve"> Two-stage-up method of </w:t>
      </w:r>
      <w:proofErr w:type="spellStart"/>
      <w:r w:rsidRPr="00165F17">
        <w:rPr>
          <w:rFonts w:cs="Arial"/>
          <w:bCs/>
          <w:color w:val="000000" w:themeColor="text1"/>
          <w:sz w:val="20"/>
          <w:szCs w:val="20"/>
        </w:rPr>
        <w:t>Benjamini</w:t>
      </w:r>
      <w:proofErr w:type="spellEnd"/>
      <w:r w:rsidRPr="00165F17">
        <w:rPr>
          <w:rFonts w:cs="Arial"/>
          <w:bCs/>
          <w:color w:val="000000" w:themeColor="text1"/>
          <w:sz w:val="20"/>
          <w:szCs w:val="20"/>
        </w:rPr>
        <w:t xml:space="preserve">, Krieger, and </w:t>
      </w:r>
      <w:proofErr w:type="spellStart"/>
      <w:r w:rsidRPr="00165F17">
        <w:rPr>
          <w:rFonts w:cs="Arial"/>
          <w:bCs/>
          <w:color w:val="000000" w:themeColor="text1"/>
          <w:sz w:val="20"/>
          <w:szCs w:val="20"/>
        </w:rPr>
        <w:t>Yekutieli</w:t>
      </w:r>
      <w:proofErr w:type="spellEnd"/>
      <w:r w:rsidRPr="00165F17">
        <w:rPr>
          <w:rFonts w:cs="Arial"/>
          <w:bCs/>
          <w:color w:val="000000" w:themeColor="text1"/>
          <w:sz w:val="20"/>
          <w:szCs w:val="20"/>
        </w:rPr>
        <w:t>"</w:t>
      </w:r>
      <w:r w:rsidRPr="00165F17">
        <w:rPr>
          <w:sz w:val="20"/>
          <w:szCs w:val="20"/>
        </w:rPr>
        <w:t xml:space="preserve"> referring to the solvent control. The mean values </w:t>
      </w:r>
      <w:r w:rsidRPr="00165F17">
        <w:rPr>
          <w:sz w:val="20"/>
          <w:szCs w:val="20"/>
        </w:rPr>
        <w:sym w:font="Symbol" w:char="F0B1"/>
      </w:r>
      <w:r w:rsidRPr="00165F17">
        <w:rPr>
          <w:sz w:val="20"/>
          <w:szCs w:val="20"/>
        </w:rPr>
        <w:t xml:space="preserve"> SEM are shown (n=9 of three donors), **p≤0.01, and ***p≤0.001.</w:t>
      </w:r>
    </w:p>
    <w:p w14:paraId="5C665A10" w14:textId="3E03321E" w:rsidR="000E50BC" w:rsidRPr="00165F17" w:rsidRDefault="000E50BC" w:rsidP="008478D8"/>
    <w:p w14:paraId="77D52E72" w14:textId="77777777" w:rsidR="000E50BC" w:rsidRPr="00165F17" w:rsidRDefault="000E50BC" w:rsidP="008478D8"/>
    <w:p w14:paraId="57927B99" w14:textId="5D99FEEA" w:rsidR="008478D8" w:rsidRPr="00165F17" w:rsidRDefault="008478D8" w:rsidP="008478D8">
      <w:r w:rsidRPr="00165F17">
        <w:rPr>
          <w:noProof/>
        </w:rPr>
        <w:lastRenderedPageBreak/>
        <w:drawing>
          <wp:inline distT="0" distB="0" distL="0" distR="0" wp14:anchorId="1B0A80FB" wp14:editId="7D02CDCF">
            <wp:extent cx="5943600" cy="2490002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C809D" w14:textId="3761DFE7" w:rsidR="008478D8" w:rsidRPr="00165F17" w:rsidRDefault="008478D8" w:rsidP="00927777">
      <w:pPr>
        <w:spacing w:line="480" w:lineRule="auto"/>
        <w:jc w:val="both"/>
        <w:rPr>
          <w:sz w:val="20"/>
          <w:szCs w:val="20"/>
        </w:rPr>
      </w:pPr>
      <w:r w:rsidRPr="00165F17">
        <w:rPr>
          <w:b/>
          <w:sz w:val="20"/>
          <w:szCs w:val="20"/>
        </w:rPr>
        <w:t>Figure S</w:t>
      </w:r>
      <w:r w:rsidR="000E50BC" w:rsidRPr="00165F17">
        <w:rPr>
          <w:b/>
          <w:sz w:val="20"/>
          <w:szCs w:val="20"/>
        </w:rPr>
        <w:t>2</w:t>
      </w:r>
      <w:r w:rsidRPr="00165F17">
        <w:rPr>
          <w:b/>
          <w:sz w:val="20"/>
          <w:szCs w:val="20"/>
        </w:rPr>
        <w:t xml:space="preserve">. Comparison of custom-made and commercially available antibodies against OR2AT4 and OR1A2. </w:t>
      </w:r>
      <w:r w:rsidRPr="00165F17">
        <w:rPr>
          <w:sz w:val="20"/>
          <w:szCs w:val="20"/>
        </w:rPr>
        <w:t xml:space="preserve">Proteins of AM were </w:t>
      </w:r>
      <w:r w:rsidRPr="00165F17">
        <w:rPr>
          <w:color w:val="000000" w:themeColor="text1"/>
          <w:sz w:val="20"/>
          <w:szCs w:val="20"/>
        </w:rPr>
        <w:t>prepared as given in the methods section. Custom-made affinity purified rabbit IgG polyclonal antibody (Ab.) against OR2AT4 or OR1A2 (</w:t>
      </w:r>
      <w:proofErr w:type="spellStart"/>
      <w:r w:rsidRPr="00165F17">
        <w:rPr>
          <w:color w:val="000000" w:themeColor="text1"/>
          <w:sz w:val="20"/>
          <w:szCs w:val="20"/>
        </w:rPr>
        <w:t>Eurogentec</w:t>
      </w:r>
      <w:proofErr w:type="spellEnd"/>
      <w:r w:rsidRPr="00165F17">
        <w:rPr>
          <w:color w:val="000000" w:themeColor="text1"/>
          <w:sz w:val="20"/>
          <w:szCs w:val="20"/>
        </w:rPr>
        <w:t>; Ab 1 and 3) were compared with corresponding commercially available</w:t>
      </w:r>
      <w:r w:rsidRPr="00165F17">
        <w:rPr>
          <w:sz w:val="20"/>
          <w:szCs w:val="20"/>
        </w:rPr>
        <w:t xml:space="preserve"> antibodies (Thermo Fisher Scientific, Ab. 2 and 4). Arrows indicate the OR monomers.</w:t>
      </w:r>
    </w:p>
    <w:p w14:paraId="73FED8C7" w14:textId="77777777" w:rsidR="008478D8" w:rsidRPr="00165F17" w:rsidRDefault="008478D8" w:rsidP="008478D8">
      <w:pPr>
        <w:spacing w:line="480" w:lineRule="auto"/>
        <w:rPr>
          <w:sz w:val="20"/>
          <w:szCs w:val="20"/>
        </w:rPr>
      </w:pPr>
    </w:p>
    <w:p w14:paraId="12CF5104" w14:textId="234E82AD" w:rsidR="008478D8" w:rsidRPr="00165F17" w:rsidRDefault="008478D8" w:rsidP="00927777">
      <w:pPr>
        <w:spacing w:line="480" w:lineRule="auto"/>
        <w:jc w:val="both"/>
      </w:pPr>
      <w:r w:rsidRPr="00165F17">
        <w:rPr>
          <w:b/>
          <w:sz w:val="20"/>
        </w:rPr>
        <w:t>Table S</w:t>
      </w:r>
      <w:r w:rsidR="00165F17" w:rsidRPr="00165F17">
        <w:rPr>
          <w:b/>
          <w:sz w:val="20"/>
        </w:rPr>
        <w:t>1</w:t>
      </w:r>
      <w:r w:rsidRPr="00165F17">
        <w:rPr>
          <w:b/>
          <w:sz w:val="20"/>
        </w:rPr>
        <w:t xml:space="preserve">: </w:t>
      </w:r>
      <w:r w:rsidRPr="00165F17">
        <w:rPr>
          <w:b/>
          <w:color w:val="000000" w:themeColor="text1"/>
          <w:sz w:val="20"/>
        </w:rPr>
        <w:t>Individual donor characteristics.</w:t>
      </w:r>
      <w:r w:rsidRPr="00165F17">
        <w:rPr>
          <w:color w:val="000000" w:themeColor="text1"/>
          <w:sz w:val="20"/>
        </w:rPr>
        <w:t xml:space="preserve"> Sex, age, diagnosed lung disease(s), smoking status, and the experimental use of the corresponding sample are listed. Non-pulmonary diseases were not considered. The severity</w:t>
      </w:r>
      <w:r w:rsidRPr="00165F17">
        <w:rPr>
          <w:sz w:val="20"/>
        </w:rPr>
        <w:t xml:space="preserve"> of chronic obstructive pulmonary disease (COPD) was reported according to Standard level, I-IV. </w:t>
      </w:r>
      <w:r w:rsidRPr="00165F17">
        <w:rPr>
          <w:color w:val="000000" w:themeColor="text1"/>
          <w:sz w:val="20"/>
        </w:rPr>
        <w:t>Calcium</w:t>
      </w:r>
      <w:r w:rsidRPr="00165F17">
        <w:rPr>
          <w:sz w:val="20"/>
        </w:rPr>
        <w:t>-Imaging (Ca-</w:t>
      </w:r>
      <w:proofErr w:type="spellStart"/>
      <w:r w:rsidRPr="00165F17">
        <w:rPr>
          <w:sz w:val="20"/>
        </w:rPr>
        <w:t>Img</w:t>
      </w:r>
      <w:proofErr w:type="spellEnd"/>
      <w:r w:rsidRPr="00165F17">
        <w:rPr>
          <w:sz w:val="20"/>
        </w:rPr>
        <w:t>), Enzyme-linked Immunosorbent Assay (Elisa),</w:t>
      </w:r>
      <w:r w:rsidRPr="00165F17" w:rsidDel="00721B1A">
        <w:t xml:space="preserve"> </w:t>
      </w:r>
      <w:r w:rsidR="00FD6276" w:rsidRPr="00165F17">
        <w:rPr>
          <w:sz w:val="20"/>
        </w:rPr>
        <w:t xml:space="preserve">Immunocytochemistry </w:t>
      </w:r>
      <w:r w:rsidRPr="00165F17">
        <w:rPr>
          <w:color w:val="000000" w:themeColor="text1"/>
          <w:sz w:val="20"/>
        </w:rPr>
        <w:t>(I</w:t>
      </w:r>
      <w:r w:rsidR="00FD6276" w:rsidRPr="00165F17">
        <w:rPr>
          <w:color w:val="000000" w:themeColor="text1"/>
          <w:sz w:val="20"/>
        </w:rPr>
        <w:t>C</w:t>
      </w:r>
      <w:r w:rsidRPr="00165F17">
        <w:rPr>
          <w:color w:val="000000" w:themeColor="text1"/>
          <w:sz w:val="20"/>
        </w:rPr>
        <w:t>C),</w:t>
      </w:r>
      <w:r w:rsidRPr="00165F17">
        <w:rPr>
          <w:sz w:val="20"/>
        </w:rPr>
        <w:t xml:space="preserve"> non-small cell lung cancer (NSCLC), Polymerase chain reaction (PCR), Phagocytosis Assay (Phagocytosis),</w:t>
      </w:r>
      <w:r w:rsidRPr="00165F17" w:rsidDel="00721B1A">
        <w:t xml:space="preserve"> </w:t>
      </w:r>
      <w:r w:rsidRPr="00165F17">
        <w:rPr>
          <w:sz w:val="20"/>
        </w:rPr>
        <w:t>Western blot (WB).</w:t>
      </w:r>
    </w:p>
    <w:tbl>
      <w:tblPr>
        <w:tblW w:w="11466" w:type="dxa"/>
        <w:tblInd w:w="-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01"/>
        <w:gridCol w:w="868"/>
        <w:gridCol w:w="1134"/>
        <w:gridCol w:w="4768"/>
        <w:gridCol w:w="1753"/>
        <w:gridCol w:w="1842"/>
      </w:tblGrid>
      <w:tr w:rsidR="00766F7D" w:rsidRPr="00165F17" w14:paraId="5CA9D581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center"/>
            <w:hideMark/>
          </w:tcPr>
          <w:p w14:paraId="4E1C388D" w14:textId="39AC65A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Patient number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BB265A5" w14:textId="2AD9D88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F23E69" w14:textId="1E5DB5D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4768" w:type="dxa"/>
            <w:shd w:val="clear" w:color="auto" w:fill="auto"/>
            <w:noWrap/>
            <w:vAlign w:val="center"/>
            <w:hideMark/>
          </w:tcPr>
          <w:p w14:paraId="69512952" w14:textId="3656FB2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Diagnosed Lung Diseases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69AB0D45" w14:textId="3F505B4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Smoking status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2291224" w14:textId="7621B8E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Experiment used for</w:t>
            </w:r>
          </w:p>
        </w:tc>
      </w:tr>
      <w:tr w:rsidR="00766F7D" w:rsidRPr="00165F17" w14:paraId="3A488023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A709B50" w14:textId="0241979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D034A04" w14:textId="08D3189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3B6255" w14:textId="68F0301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0B38196B" w14:textId="2CC3F00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 xml:space="preserve">Severe asthma 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233DCBD" w14:textId="6104EF7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A80159" w14:textId="3952268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3CAF3CF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A68902A" w14:textId="4D5D28B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86F5FBD" w14:textId="67D81C7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B8D69D" w14:textId="5F29658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50E0FAA" w14:textId="0142008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IV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77BC34C" w14:textId="0370496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20032F1" w14:textId="528D714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7C245A4F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9C29B69" w14:textId="5E146FD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9D0D028" w14:textId="4A90B9A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CE4D2C" w14:textId="12EE8EE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7736520" w14:textId="5A56F2A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Pulmonary 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0FB7C27" w14:textId="2B7B08B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AD6C3DA" w14:textId="3AE0BE7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PCR</w:t>
            </w:r>
          </w:p>
        </w:tc>
      </w:tr>
      <w:tr w:rsidR="00766F7D" w:rsidRPr="00165F17" w14:paraId="40D03AD2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9A979EB" w14:textId="1619BF5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5B6F188" w14:textId="1F44DEB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5CBAFC" w14:textId="26AA960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E7E2173" w14:textId="447BAE2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7D612B1" w14:textId="4CFE473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A97E8F1" w14:textId="5041274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336BC265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F6D58E4" w14:textId="08EDE5E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0F7EB0E" w14:textId="0E32985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017C2F" w14:textId="3B161AC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E05F9E8" w14:textId="714103F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NSCLC, COPD Gold 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651033D" w14:textId="214C999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CF5F959" w14:textId="70D2E95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40B37E2E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80D684B" w14:textId="0A072A8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566E9A6" w14:textId="345876C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1E6E6F" w14:textId="200BEF5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27F45BB" w14:textId="2A672EF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Silicosis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47A2F39F" w14:textId="41850DB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168E8B0" w14:textId="2F5CEF8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3D45CF6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0FC872C" w14:textId="54EFC36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2DA825F" w14:textId="75DB170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C832C2" w14:textId="0CB4C29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24FF174" w14:textId="64FFB15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FEEB2BA" w14:textId="697BBB8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34B5D44" w14:textId="393BE4A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55144609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A333448" w14:textId="51F9D2E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9698406" w14:textId="2721D87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FABA2A" w14:textId="3FFD2E0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10C4AAE3" w14:textId="688CB6C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Sarcoidosis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63DC80D5" w14:textId="54BF300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D475854" w14:textId="53CA435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PCR</w:t>
            </w:r>
          </w:p>
        </w:tc>
      </w:tr>
      <w:tr w:rsidR="00766F7D" w:rsidRPr="00165F17" w14:paraId="17457318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5CFB7F7" w14:textId="3DAEE38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lastRenderedPageBreak/>
              <w:t>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CD13967" w14:textId="63A8D10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93E082" w14:textId="44F6291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118CEFE" w14:textId="4836E28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Sarcoidosis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1FC9B21A" w14:textId="29B910D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7C26265" w14:textId="7CB8BAC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1B95763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E5D0E3F" w14:textId="6079D27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2F87F5F" w14:textId="1324163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3B3C5A" w14:textId="2EEBC4B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586FE32" w14:textId="3676D6C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 xml:space="preserve"> NSCLC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16D2922B" w14:textId="1F6B4A9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73E4979" w14:textId="78868EE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7A5073FB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FE59604" w14:textId="4CFE424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5B8F677" w14:textId="0536661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D3F2FF" w14:textId="1C9E099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51DEA37" w14:textId="2BEE8ED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 xml:space="preserve">Asthma-COPD-Overlap 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Syndrom</w:t>
            </w:r>
            <w:proofErr w:type="spellEnd"/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27AF280F" w14:textId="4906562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5A08665" w14:textId="4A527E9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7607BFB9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B7E5339" w14:textId="65E79EB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84BB967" w14:textId="71B7EAE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147C75" w14:textId="35EED76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8F77EC1" w14:textId="6BCC13E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9C67B51" w14:textId="1C1BB5B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E75BE06" w14:textId="77C7D8F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WB</w:t>
            </w:r>
          </w:p>
        </w:tc>
      </w:tr>
      <w:tr w:rsidR="00766F7D" w:rsidRPr="00165F17" w14:paraId="2DD6BF2A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2530A5B" w14:textId="42325A6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6C0F922" w14:textId="02C6910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4227069" w14:textId="62BCDD8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083F2492" w14:textId="418A867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I, Silicosis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96A9FE5" w14:textId="2109AB4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851080" w14:textId="0282BCD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Dose response curve</w:t>
            </w:r>
          </w:p>
        </w:tc>
      </w:tr>
      <w:tr w:rsidR="00766F7D" w:rsidRPr="00165F17" w14:paraId="7F3FCF60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2707EBC" w14:textId="5CA7557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0BAA8EB" w14:textId="28DB7AC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EF292C" w14:textId="7A3E96C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290B42BF" w14:textId="7977EE3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00C50FC" w14:textId="3FD7F1F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38BA4D8" w14:textId="40F4444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WB</w:t>
            </w:r>
          </w:p>
        </w:tc>
      </w:tr>
      <w:tr w:rsidR="00766F7D" w:rsidRPr="00165F17" w14:paraId="1D39E60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E039F11" w14:textId="0EB52A3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BFA3F7D" w14:textId="241DE72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62A954" w14:textId="06A112D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606CC5D" w14:textId="1991C14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DDAE541" w14:textId="72A0746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Never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999D72" w14:textId="33C210C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Dose response curve</w:t>
            </w:r>
          </w:p>
        </w:tc>
      </w:tr>
      <w:tr w:rsidR="00766F7D" w:rsidRPr="00165F17" w14:paraId="6CEC756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13B26B6" w14:textId="0EA67D4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548F17A" w14:textId="18D2F95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64BB99" w14:textId="5E5F2D1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57DB419" w14:textId="38529A9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Chronic bronchitis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27302EB" w14:textId="414A952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143B110" w14:textId="0B8E7DD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ICC</w:t>
            </w:r>
          </w:p>
        </w:tc>
      </w:tr>
      <w:tr w:rsidR="00766F7D" w:rsidRPr="00165F17" w14:paraId="588C8C44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61B36F" w14:textId="41F21E4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D2D8543" w14:textId="7761AB9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5E304F" w14:textId="5169F76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26701FCA" w14:textId="0773656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6806119" w14:textId="3568FA7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619D851" w14:textId="0439E1F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Dose response curve</w:t>
            </w:r>
          </w:p>
        </w:tc>
      </w:tr>
      <w:tr w:rsidR="00766F7D" w:rsidRPr="00165F17" w14:paraId="759BA7AF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2EDFBD3" w14:textId="3F01187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EE28F71" w14:textId="3F02D69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A5A7F5" w14:textId="0EB0FE3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12294DE7" w14:textId="4B88FE4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Lung nodule, COPD Gold III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59E5FF9" w14:textId="56AC412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Unknown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7D4B11E" w14:textId="63AFD97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  <w:r w:rsidRPr="00165F17">
              <w:rPr>
                <w:rFonts w:ascii="Calibri" w:hAnsi="Calibri" w:cs="Calibri"/>
                <w:color w:val="000000"/>
              </w:rPr>
              <w:t>, ICC</w:t>
            </w:r>
          </w:p>
        </w:tc>
      </w:tr>
      <w:tr w:rsidR="00766F7D" w:rsidRPr="00165F17" w14:paraId="5192804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F7CD1F8" w14:textId="6B70C15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28FF86D" w14:textId="5427A05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3A45A4" w14:textId="1670155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E8E6877" w14:textId="6B44ABE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Interstitial Lung Disease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84A666F" w14:textId="7466DB2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9489BEC" w14:textId="16102D4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7C78AE70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C5011EF" w14:textId="4BAB370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6CCFE7A" w14:textId="54FCD05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4B6384" w14:textId="41C10B0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4358695" w14:textId="7648835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478F4D7" w14:textId="23E2C1E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F55DFD4" w14:textId="34552B3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1D5E0A44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CC90A81" w14:textId="4A0CE21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7A4CE9C" w14:textId="1712E77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96DEAF" w14:textId="1B2534C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2EE9B944" w14:textId="713612E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7752970" w14:textId="72F9220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4C38F52" w14:textId="393D120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  <w:r w:rsidRPr="00165F17">
              <w:rPr>
                <w:rFonts w:ascii="Calibri" w:hAnsi="Calibri" w:cs="Calibri"/>
                <w:color w:val="000000"/>
              </w:rPr>
              <w:t>, ICC</w:t>
            </w:r>
          </w:p>
        </w:tc>
      </w:tr>
      <w:tr w:rsidR="00766F7D" w:rsidRPr="00165F17" w14:paraId="6098F6F3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BBCA580" w14:textId="13EB67D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F25EE53" w14:textId="4381841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34C349" w14:textId="1E65C37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C34BF41" w14:textId="544FDE6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Alveolitis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E9A04A5" w14:textId="33B2544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5B0F44D" w14:textId="269A95C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Phagocytosis</w:t>
            </w:r>
          </w:p>
        </w:tc>
      </w:tr>
      <w:tr w:rsidR="00766F7D" w:rsidRPr="00165F17" w14:paraId="3F2005C5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746C555" w14:textId="48F5D98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10D2DCA" w14:textId="335E820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A2650B" w14:textId="3DB5F46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1E0B157D" w14:textId="232A4DE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III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2A44229F" w14:textId="3B7B8D7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2F0E8CF" w14:textId="4457F87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Ca-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Img</w:t>
            </w:r>
            <w:proofErr w:type="spellEnd"/>
          </w:p>
        </w:tc>
      </w:tr>
      <w:tr w:rsidR="00766F7D" w:rsidRPr="00165F17" w14:paraId="63754D2F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A8A35BA" w14:textId="18A5ECF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33BEE46" w14:textId="7353B75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30B4C5" w14:textId="0EEA3F4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7093AC06" w14:textId="2B6FC94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III, Sarcoidosis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6C3B66CD" w14:textId="0685E71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DE3B3CB" w14:textId="6E8FA3B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Phagocytosis</w:t>
            </w:r>
          </w:p>
        </w:tc>
      </w:tr>
      <w:tr w:rsidR="00766F7D" w:rsidRPr="00165F17" w14:paraId="5EAF272B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1EE722" w14:textId="6745A6A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A95BBC7" w14:textId="17E9729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516C27" w14:textId="3FAAE9D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27AEEA1D" w14:textId="48057FC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II, NSCLC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C581B1F" w14:textId="3E4A80E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B156421" w14:textId="7C76105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Phagocytosis</w:t>
            </w:r>
          </w:p>
        </w:tc>
      </w:tr>
      <w:tr w:rsidR="00766F7D" w:rsidRPr="00165F17" w14:paraId="22CC1E39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07E8D05" w14:textId="4DFC825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1F4979D" w14:textId="50A9BE3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692E9C" w14:textId="70E1D0A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12E1471" w14:textId="328E5BB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4FD2F55D" w14:textId="7B11293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B1BC11B" w14:textId="2831B3E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24C20E34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BB03C77" w14:textId="4923CA0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30C46D9" w14:textId="32566CD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06AD5B" w14:textId="26592C0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0352A37" w14:textId="26D0B49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Pneumonia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2A16C9D" w14:textId="7DC9BA2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5D0C27D" w14:textId="0AEDB19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05B4B8B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3A79DBC" w14:textId="7729DEA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05AFBA8" w14:textId="2DF148B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752504" w14:textId="4A48A85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219BAC8" w14:textId="205E601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101F6A91" w14:textId="65F62F7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0480356" w14:textId="128B09E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79FA703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11FCA82" w14:textId="18D21B2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BA89845" w14:textId="7CFAF86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E66E00" w14:textId="211199C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1C16E0A0" w14:textId="3E66A74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II, Pneumonia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4B41FCF" w14:textId="7707BF7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D351F30" w14:textId="4929181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258A2D32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7AFF0E2" w14:textId="719E6B3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3B8CE2A" w14:textId="1494D18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3CA06B5" w14:textId="5DD00AD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28704BB6" w14:textId="12A7FE8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Asthma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71545A1" w14:textId="71AA836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1D1A64" w14:textId="0C6269E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43732E0D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0F499DA" w14:textId="23CEE7B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2BF0D00" w14:textId="0C0822E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627371" w14:textId="79BCF2F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9F3A9F8" w14:textId="2AC3AB9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Alveolitis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3CC597F" w14:textId="2D0F7F0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1924523" w14:textId="5B884C1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08E1EF72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4BA7680" w14:textId="0DFD111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060D4CE" w14:textId="7A961F1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D0C78A" w14:textId="3E383A8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D83D7C4" w14:textId="5F1A114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Gold II, Pneumonia, 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25F963DB" w14:textId="7D95156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B788061" w14:textId="603C803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6BF1BE8F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EAB9299" w14:textId="47A005C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723DB89" w14:textId="46D44D1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A9FC73" w14:textId="4DE4CA4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5468DFC" w14:textId="4C64052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NSCLC, COPD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EC1DDF5" w14:textId="691524E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E6CB893" w14:textId="6AE9D6C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73ADB9F0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4286804" w14:textId="669B4E5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D2B22DE" w14:textId="4E63203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E56814" w14:textId="2ED8F7C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DD6A167" w14:textId="037DD76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Asthma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DFAD9F7" w14:textId="1A8A02E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B88A1A2" w14:textId="179AF5C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WB, PCR, Elisa</w:t>
            </w:r>
          </w:p>
        </w:tc>
      </w:tr>
      <w:tr w:rsidR="00766F7D" w:rsidRPr="00165F17" w14:paraId="6ED3A6D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AC31037" w14:textId="1AB13EB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851FAB3" w14:textId="791BC10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0B945F" w14:textId="47F4F18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347D734" w14:textId="0BF4AA5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617C5CD" w14:textId="03AD543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90C1021" w14:textId="51A6AF0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7EC8F065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8B472AD" w14:textId="43153D6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DA03854" w14:textId="277E7CD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9DD46C" w14:textId="725BD5E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FEAE7E9" w14:textId="759BB4F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Asthma, Sarcoidosis, Asbestosis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31CFA3B9" w14:textId="06E55D9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5C8AE07" w14:textId="62D69C6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Elisa, cAMP</w:t>
            </w:r>
          </w:p>
        </w:tc>
      </w:tr>
      <w:tr w:rsidR="00766F7D" w:rsidRPr="00165F17" w14:paraId="654757DB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DBB592F" w14:textId="4345774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7596214" w14:textId="6B0457A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14526F" w14:textId="165EDF4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5AB5CDE" w14:textId="3FD8EDA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NSCLC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A1683BF" w14:textId="7464913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C8FAB9" w14:textId="740752E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Elisa, cAMP</w:t>
            </w:r>
          </w:p>
        </w:tc>
      </w:tr>
      <w:tr w:rsidR="00766F7D" w:rsidRPr="00165F17" w14:paraId="0ED42072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D0265CA" w14:textId="40FDA6D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007F28A" w14:textId="3C61983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F07139" w14:textId="4CFE7CB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234706C" w14:textId="76BA9EC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Interstitial Lung Disease, Pneumonia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0C9BB78" w14:textId="5CE2D23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29DB71" w14:textId="1FCBBBB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Elisa, cAMP</w:t>
            </w:r>
          </w:p>
        </w:tc>
      </w:tr>
      <w:tr w:rsidR="00766F7D" w:rsidRPr="00165F17" w14:paraId="5A3CB7D0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AED7733" w14:textId="685461F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302CBCE" w14:textId="03E91A9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513D15" w14:textId="4CDF690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0A11EA7" w14:textId="677F667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 xml:space="preserve">Respiratory failure, Ex </w:t>
            </w:r>
            <w:proofErr w:type="spellStart"/>
            <w:r w:rsidRPr="00165F17">
              <w:rPr>
                <w:rFonts w:ascii="Calibri" w:hAnsi="Calibri" w:cs="Calibri"/>
                <w:color w:val="000000"/>
              </w:rPr>
              <w:t>Covid</w:t>
            </w:r>
            <w:proofErr w:type="spellEnd"/>
            <w:r w:rsidR="00EB5E46" w:rsidRPr="00165F17">
              <w:rPr>
                <w:rFonts w:ascii="Calibri" w:hAnsi="Calibri" w:cs="Calibri"/>
                <w:color w:val="000000"/>
              </w:rPr>
              <w:t>, Neutrophilia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021DD36" w14:textId="50B5D34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Never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E3033B7" w14:textId="5CE6820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WB, Elisa</w:t>
            </w:r>
          </w:p>
        </w:tc>
      </w:tr>
      <w:tr w:rsidR="00766F7D" w:rsidRPr="00165F17" w14:paraId="28B67634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6649993" w14:textId="744BCD8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C6495A3" w14:textId="30C46C0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CD6401" w14:textId="5409937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78279BE" w14:textId="622B98B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43853FC5" w14:textId="1C4309F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9EC48EC" w14:textId="5F2875D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6003379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AE17504" w14:textId="26FCDFE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6530946" w14:textId="268A9F9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978EC9" w14:textId="5238C7C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134D6C05" w14:textId="2FB3B32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Space-occupying lesions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1C35BBBC" w14:textId="7BC33C0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46FCC73" w14:textId="3AE11EB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4F09E2BC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67941B9" w14:textId="1DD7A3A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4DB3F2F" w14:textId="5F56D9D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13B3FC" w14:textId="0EC8BD9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30EC9015" w14:textId="6763E9F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Interstitial Lung Disease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E603EAE" w14:textId="05FB518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D519D3C" w14:textId="19E364A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cAMP</w:t>
            </w:r>
          </w:p>
        </w:tc>
      </w:tr>
      <w:tr w:rsidR="00766F7D" w:rsidRPr="00165F17" w14:paraId="0448D1A1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94C1B44" w14:textId="63B49C9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7BED8CC" w14:textId="5D94ED9A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8FBC76" w14:textId="1018B2F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083DD71C" w14:textId="25034A1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Lung nodule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4771F14A" w14:textId="63FC2F7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9426C7C" w14:textId="421712E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1458773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9EB546" w14:textId="627BF58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lastRenderedPageBreak/>
              <w:t>44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B9D2993" w14:textId="667806A3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50E303" w14:textId="0CF0933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521D89C" w14:textId="5AFEFB6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Chronic cough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0E7FAF71" w14:textId="7663E37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37A4290" w14:textId="5C1A87F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Elisa, cAMP</w:t>
            </w:r>
          </w:p>
        </w:tc>
      </w:tr>
      <w:tr w:rsidR="00766F7D" w:rsidRPr="00165F17" w14:paraId="0F23872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0E237D9" w14:textId="681E6B2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1854285" w14:textId="34D6649B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55B51F" w14:textId="2F856B8D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31220B5" w14:textId="2447420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Interstitial Lung Disease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297D8D4E" w14:textId="7F817762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0A2C319" w14:textId="0B22EDA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2E5D95EE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1049A50" w14:textId="0908133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8A0E348" w14:textId="5440638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3BEA12" w14:textId="6EB26D8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588F6EC2" w14:textId="646B8B4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Pneumonia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1198E77D" w14:textId="5EDDEBF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F5662D" w14:textId="0F1D2CE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Elisa</w:t>
            </w:r>
          </w:p>
        </w:tc>
      </w:tr>
      <w:tr w:rsidR="00766F7D" w:rsidRPr="00165F17" w14:paraId="359E0B08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74D8D2C" w14:textId="5D152F8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52DB649" w14:textId="1E50DB9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B6FE89" w14:textId="13B58910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684FBCD0" w14:textId="35DC920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COPD IV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60B58BE" w14:textId="2416698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Active 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C58616B" w14:textId="2107748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ICC</w:t>
            </w:r>
          </w:p>
        </w:tc>
      </w:tr>
      <w:tr w:rsidR="00766F7D" w:rsidRPr="00165F17" w14:paraId="1FCB8290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B19FE7D" w14:textId="4DB3DD0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F44A6F2" w14:textId="1D295E06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C59232" w14:textId="08EEFC3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41863A71" w14:textId="72FF14A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NSCLC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557CD651" w14:textId="73B9ADC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136D664" w14:textId="62D50BC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ICC</w:t>
            </w:r>
          </w:p>
        </w:tc>
      </w:tr>
      <w:tr w:rsidR="00766F7D" w:rsidRPr="00165F17" w14:paraId="5978DD27" w14:textId="77777777" w:rsidTr="006F255C">
        <w:trPr>
          <w:trHeight w:val="315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D5C85AF" w14:textId="670622F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1816D54" w14:textId="0EE0DCCC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4C18CB" w14:textId="3CE983F5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4768" w:type="dxa"/>
            <w:shd w:val="clear" w:color="auto" w:fill="auto"/>
            <w:noWrap/>
            <w:vAlign w:val="bottom"/>
            <w:hideMark/>
          </w:tcPr>
          <w:p w14:paraId="0B5FDF18" w14:textId="49FFC4C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Pneumonia</w:t>
            </w:r>
          </w:p>
        </w:tc>
        <w:tc>
          <w:tcPr>
            <w:tcW w:w="1753" w:type="dxa"/>
            <w:shd w:val="clear" w:color="auto" w:fill="auto"/>
            <w:noWrap/>
            <w:vAlign w:val="bottom"/>
            <w:hideMark/>
          </w:tcPr>
          <w:p w14:paraId="77FE49CC" w14:textId="0138F77E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Ex-Smoker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620C25" w14:textId="67110FD7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aa-ET" w:eastAsia="aa-ET"/>
              </w:rPr>
            </w:pPr>
            <w:r w:rsidRPr="00165F17">
              <w:rPr>
                <w:rFonts w:ascii="Calibri" w:hAnsi="Calibri" w:cs="Calibri"/>
                <w:color w:val="000000"/>
              </w:rPr>
              <w:t>ICC</w:t>
            </w:r>
          </w:p>
        </w:tc>
      </w:tr>
      <w:tr w:rsidR="00766F7D" w:rsidRPr="008478D8" w14:paraId="12325642" w14:textId="77777777" w:rsidTr="00D80B46">
        <w:trPr>
          <w:trHeight w:val="315"/>
        </w:trPr>
        <w:tc>
          <w:tcPr>
            <w:tcW w:w="1101" w:type="dxa"/>
            <w:shd w:val="clear" w:color="auto" w:fill="auto"/>
            <w:noWrap/>
          </w:tcPr>
          <w:p w14:paraId="02A8A6C3" w14:textId="1C42FC0F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50</w:t>
            </w:r>
          </w:p>
        </w:tc>
        <w:tc>
          <w:tcPr>
            <w:tcW w:w="868" w:type="dxa"/>
            <w:shd w:val="clear" w:color="auto" w:fill="auto"/>
            <w:noWrap/>
          </w:tcPr>
          <w:p w14:paraId="1B123F1D" w14:textId="50CC9571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Male</w:t>
            </w:r>
          </w:p>
        </w:tc>
        <w:tc>
          <w:tcPr>
            <w:tcW w:w="1134" w:type="dxa"/>
            <w:shd w:val="clear" w:color="auto" w:fill="auto"/>
            <w:noWrap/>
          </w:tcPr>
          <w:p w14:paraId="260BFED3" w14:textId="538DE4E8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48</w:t>
            </w:r>
          </w:p>
        </w:tc>
        <w:tc>
          <w:tcPr>
            <w:tcW w:w="4768" w:type="dxa"/>
            <w:shd w:val="clear" w:color="auto" w:fill="auto"/>
            <w:noWrap/>
          </w:tcPr>
          <w:p w14:paraId="353BB37A" w14:textId="05937A24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COPD</w:t>
            </w:r>
          </w:p>
        </w:tc>
        <w:tc>
          <w:tcPr>
            <w:tcW w:w="1753" w:type="dxa"/>
            <w:shd w:val="clear" w:color="auto" w:fill="auto"/>
            <w:noWrap/>
          </w:tcPr>
          <w:p w14:paraId="4E612C75" w14:textId="05C17319" w:rsidR="00766F7D" w:rsidRPr="00165F17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Never smoker</w:t>
            </w:r>
          </w:p>
        </w:tc>
        <w:tc>
          <w:tcPr>
            <w:tcW w:w="1842" w:type="dxa"/>
            <w:shd w:val="clear" w:color="auto" w:fill="auto"/>
            <w:noWrap/>
          </w:tcPr>
          <w:p w14:paraId="00F355E1" w14:textId="69694C83" w:rsidR="00766F7D" w:rsidRDefault="00766F7D" w:rsidP="00766F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65F17">
              <w:t>Elisa</w:t>
            </w:r>
            <w:bookmarkStart w:id="0" w:name="_GoBack"/>
            <w:bookmarkEnd w:id="0"/>
          </w:p>
        </w:tc>
      </w:tr>
    </w:tbl>
    <w:p w14:paraId="5117D9C7" w14:textId="77777777" w:rsidR="008478D8" w:rsidRDefault="008478D8" w:rsidP="008478D8">
      <w:pPr>
        <w:spacing w:line="480" w:lineRule="auto"/>
      </w:pPr>
    </w:p>
    <w:sectPr w:rsidR="008478D8" w:rsidSect="00165F17">
      <w:pgSz w:w="12240" w:h="15840"/>
      <w:pgMar w:top="1440" w:right="1440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D8"/>
    <w:rsid w:val="00043DF3"/>
    <w:rsid w:val="000A5C81"/>
    <w:rsid w:val="000E50BC"/>
    <w:rsid w:val="00165F17"/>
    <w:rsid w:val="002476F4"/>
    <w:rsid w:val="003B7056"/>
    <w:rsid w:val="00766F7D"/>
    <w:rsid w:val="008478D8"/>
    <w:rsid w:val="008C75BC"/>
    <w:rsid w:val="008F0640"/>
    <w:rsid w:val="00927777"/>
    <w:rsid w:val="00A36F45"/>
    <w:rsid w:val="00C740AE"/>
    <w:rsid w:val="00E31BEE"/>
    <w:rsid w:val="00EB5E46"/>
    <w:rsid w:val="00FD6276"/>
    <w:rsid w:val="00F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F3531"/>
  <w15:chartTrackingRefBased/>
  <w15:docId w15:val="{004D7F20-D6F7-4DF7-A73F-C1D47827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Weidinger</dc:creator>
  <cp:keywords/>
  <dc:description/>
  <cp:lastModifiedBy>Radha S</cp:lastModifiedBy>
  <cp:revision>2</cp:revision>
  <cp:lastPrinted>2022-08-17T07:47:00Z</cp:lastPrinted>
  <dcterms:created xsi:type="dcterms:W3CDTF">2022-11-13T13:16:00Z</dcterms:created>
  <dcterms:modified xsi:type="dcterms:W3CDTF">2022-11-13T13:16:00Z</dcterms:modified>
</cp:coreProperties>
</file>