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BD705" w14:textId="517E5A95" w:rsidR="00214D56" w:rsidRDefault="00F62E29" w:rsidP="00214D56">
      <w:pPr>
        <w:jc w:val="center"/>
      </w:pPr>
      <w:r>
        <w:rPr>
          <w:noProof/>
        </w:rPr>
        <w:drawing>
          <wp:inline distT="0" distB="0" distL="0" distR="0" wp14:anchorId="7765D77F" wp14:editId="101EC107">
            <wp:extent cx="5248656" cy="4026408"/>
            <wp:effectExtent l="0" t="0" r="0" b="0"/>
            <wp:docPr id="5" name="Picture 5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schematic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656" cy="402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FAB54" w14:textId="480DC844" w:rsidR="00214D56" w:rsidRDefault="00F62E29" w:rsidP="00BD77A1">
      <w:pPr>
        <w:spacing w:line="480" w:lineRule="auto"/>
        <w:jc w:val="left"/>
        <w:rPr>
          <w:rFonts w:cs="Times New Roman"/>
          <w:sz w:val="24"/>
          <w:szCs w:val="24"/>
        </w:rPr>
      </w:pPr>
      <w:r w:rsidRPr="00EC1727">
        <w:rPr>
          <w:rFonts w:cs="Times New Roman"/>
          <w:b/>
          <w:bCs/>
          <w:sz w:val="24"/>
          <w:szCs w:val="24"/>
        </w:rPr>
        <w:t>Figure S1 METTL3 expression varies after T</w:t>
      </w:r>
      <w:r>
        <w:rPr>
          <w:rFonts w:cs="Times New Roman"/>
          <w:b/>
          <w:bCs/>
          <w:sz w:val="24"/>
          <w:szCs w:val="24"/>
        </w:rPr>
        <w:t>-</w:t>
      </w:r>
      <w:r w:rsidRPr="00EC1727">
        <w:rPr>
          <w:rFonts w:cs="Times New Roman"/>
          <w:b/>
          <w:bCs/>
          <w:sz w:val="24"/>
          <w:szCs w:val="24"/>
        </w:rPr>
        <w:t>cell activation and Treg</w:t>
      </w:r>
      <w:r>
        <w:rPr>
          <w:rFonts w:cs="Times New Roman"/>
          <w:b/>
          <w:bCs/>
          <w:sz w:val="24"/>
          <w:szCs w:val="24"/>
        </w:rPr>
        <w:t>-</w:t>
      </w:r>
      <w:r w:rsidRPr="00EC1727">
        <w:rPr>
          <w:rFonts w:cs="Times New Roman"/>
          <w:b/>
          <w:bCs/>
          <w:sz w:val="24"/>
          <w:szCs w:val="24"/>
        </w:rPr>
        <w:t xml:space="preserve">cell differentiation </w:t>
      </w:r>
      <w:r w:rsidRPr="00FA649E">
        <w:rPr>
          <w:rFonts w:cs="Times New Roman"/>
          <w:b/>
          <w:bCs/>
          <w:i/>
          <w:iCs/>
          <w:sz w:val="24"/>
          <w:szCs w:val="24"/>
        </w:rPr>
        <w:t>in vitro</w:t>
      </w:r>
      <w:r w:rsidRPr="00EC1727">
        <w:rPr>
          <w:rFonts w:cs="Times New Roman"/>
          <w:b/>
          <w:bCs/>
          <w:sz w:val="24"/>
          <w:szCs w:val="24"/>
        </w:rPr>
        <w:t xml:space="preserve">. </w:t>
      </w:r>
      <w:r>
        <w:rPr>
          <w:rFonts w:cs="Times New Roman"/>
          <w:b/>
          <w:bCs/>
          <w:sz w:val="24"/>
          <w:szCs w:val="24"/>
        </w:rPr>
        <w:t>a</w:t>
      </w:r>
      <w:r w:rsidRPr="00EC1727">
        <w:rPr>
          <w:rFonts w:cs="Times New Roman"/>
          <w:sz w:val="24"/>
          <w:szCs w:val="24"/>
        </w:rPr>
        <w:t xml:space="preserve"> Representative dot plots showing the proportions of CD4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 xml:space="preserve"> T cells before and after </w:t>
      </w:r>
      <w:r>
        <w:rPr>
          <w:rFonts w:cs="Times New Roman"/>
          <w:sz w:val="24"/>
          <w:szCs w:val="24"/>
        </w:rPr>
        <w:t>activation</w:t>
      </w:r>
      <w:r w:rsidRPr="00EC1727">
        <w:rPr>
          <w:rFonts w:cs="Times New Roman"/>
          <w:sz w:val="24"/>
          <w:szCs w:val="24"/>
        </w:rPr>
        <w:t xml:space="preserve"> by anti-CD3 and anti-CD28 antibodies for 3 days. </w:t>
      </w:r>
      <w:r>
        <w:rPr>
          <w:rFonts w:cs="Times New Roman"/>
          <w:b/>
          <w:bCs/>
          <w:sz w:val="24"/>
          <w:szCs w:val="24"/>
        </w:rPr>
        <w:t>b</w:t>
      </w:r>
      <w:r w:rsidRPr="00EC1727">
        <w:rPr>
          <w:rFonts w:cs="Times New Roman"/>
          <w:sz w:val="24"/>
          <w:szCs w:val="24"/>
        </w:rPr>
        <w:t xml:space="preserve"> The mRNA expression of METTL3 in CD4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 xml:space="preserve"> T cells activated by anti-CD3 and anti-CD28 antibodies at 0, 12, 48, and 72 hours was detected by RT-qPCR, n=3. </w:t>
      </w:r>
      <w:r>
        <w:rPr>
          <w:rFonts w:cs="Times New Roman"/>
          <w:b/>
          <w:bCs/>
          <w:sz w:val="24"/>
          <w:szCs w:val="24"/>
        </w:rPr>
        <w:t>c</w:t>
      </w:r>
      <w:r w:rsidRPr="00EC1727">
        <w:rPr>
          <w:rFonts w:cs="Times New Roman"/>
          <w:sz w:val="24"/>
          <w:szCs w:val="24"/>
        </w:rPr>
        <w:t xml:space="preserve"> Left: </w:t>
      </w:r>
      <w:r>
        <w:rPr>
          <w:rFonts w:cs="Times New Roman"/>
          <w:sz w:val="24"/>
          <w:szCs w:val="24"/>
        </w:rPr>
        <w:t>W</w:t>
      </w:r>
      <w:r w:rsidRPr="00EC1727">
        <w:rPr>
          <w:rFonts w:cs="Times New Roman"/>
          <w:sz w:val="24"/>
          <w:szCs w:val="24"/>
        </w:rPr>
        <w:t xml:space="preserve">estern blot of METTL3 expression in Th0 and differentiated Tregs at 3 and 5 days, </w:t>
      </w:r>
      <w:r>
        <w:rPr>
          <w:rFonts w:cs="Times New Roman"/>
          <w:sz w:val="24"/>
          <w:szCs w:val="24"/>
        </w:rPr>
        <w:t xml:space="preserve">and </w:t>
      </w:r>
      <w:r w:rsidRPr="00EC1727">
        <w:rPr>
          <w:rFonts w:cs="Times New Roman"/>
          <w:sz w:val="24"/>
          <w:szCs w:val="24"/>
        </w:rPr>
        <w:t>β-actin was used as a loading control; right: quantification of METTL3 protein expression in Th0 and differentiated Tregs, n=3. (***</w:t>
      </w:r>
      <w:r w:rsidRPr="00EC1727">
        <w:rPr>
          <w:rFonts w:cs="Times New Roman"/>
          <w:i/>
          <w:iCs/>
          <w:sz w:val="24"/>
          <w:szCs w:val="24"/>
        </w:rPr>
        <w:t>p</w:t>
      </w:r>
      <w:r w:rsidRPr="00EC1727">
        <w:rPr>
          <w:rFonts w:cs="Times New Roman"/>
          <w:sz w:val="24"/>
          <w:szCs w:val="24"/>
        </w:rPr>
        <w:t xml:space="preserve">&lt;0.001, ns, no significance, one-way ANOVA with Dunnett’s multiple comparisons test for </w:t>
      </w:r>
      <w:r>
        <w:rPr>
          <w:rFonts w:cs="Times New Roman"/>
          <w:b/>
          <w:bCs/>
          <w:sz w:val="24"/>
          <w:szCs w:val="24"/>
        </w:rPr>
        <w:t>b</w:t>
      </w:r>
      <w:r w:rsidRPr="00EC1727">
        <w:rPr>
          <w:rFonts w:cs="Times New Roman"/>
          <w:sz w:val="24"/>
          <w:szCs w:val="24"/>
        </w:rPr>
        <w:t xml:space="preserve">, two-way ANOVA with </w:t>
      </w:r>
      <w:proofErr w:type="spellStart"/>
      <w:r w:rsidRPr="00EC1727">
        <w:rPr>
          <w:rFonts w:cs="Times New Roman"/>
          <w:sz w:val="24"/>
          <w:szCs w:val="24"/>
        </w:rPr>
        <w:t>Sidak’s</w:t>
      </w:r>
      <w:proofErr w:type="spellEnd"/>
      <w:r w:rsidRPr="00EC1727">
        <w:rPr>
          <w:rFonts w:cs="Times New Roman"/>
          <w:sz w:val="24"/>
          <w:szCs w:val="24"/>
        </w:rPr>
        <w:t xml:space="preserve"> multiple comparisons test for </w:t>
      </w:r>
      <w:r>
        <w:rPr>
          <w:rFonts w:cs="Times New Roman"/>
          <w:b/>
          <w:bCs/>
          <w:sz w:val="24"/>
          <w:szCs w:val="24"/>
        </w:rPr>
        <w:t>c</w:t>
      </w:r>
      <w:r w:rsidRPr="00EC1727">
        <w:rPr>
          <w:rFonts w:cs="Times New Roman"/>
          <w:sz w:val="24"/>
          <w:szCs w:val="24"/>
        </w:rPr>
        <w:t>.)</w:t>
      </w:r>
    </w:p>
    <w:p w14:paraId="633C62D8" w14:textId="415D6424" w:rsidR="00214D56" w:rsidRDefault="00F62E29" w:rsidP="00214D56">
      <w:pPr>
        <w:spacing w:line="48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36D782A9" wp14:editId="67EFA731">
            <wp:extent cx="5034915" cy="5727700"/>
            <wp:effectExtent l="0" t="0" r="0" b="6350"/>
            <wp:docPr id="6" name="Picture 6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, schematic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97"/>
                    <a:stretch/>
                  </pic:blipFill>
                  <pic:spPr bwMode="auto">
                    <a:xfrm>
                      <a:off x="0" y="0"/>
                      <a:ext cx="5035296" cy="5728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A9745" w14:textId="0226775C" w:rsidR="00214D56" w:rsidRDefault="00F62E29" w:rsidP="00BD77A1">
      <w:pPr>
        <w:spacing w:line="480" w:lineRule="auto"/>
        <w:jc w:val="center"/>
        <w:rPr>
          <w:b/>
          <w:bCs/>
        </w:rPr>
      </w:pPr>
      <w:bookmarkStart w:id="0" w:name="_Hlk130214351"/>
      <w:r w:rsidRPr="00EC1727">
        <w:rPr>
          <w:rFonts w:cs="Times New Roman"/>
          <w:b/>
          <w:bCs/>
          <w:sz w:val="24"/>
          <w:szCs w:val="24"/>
        </w:rPr>
        <w:t xml:space="preserve">Figure S2 Anti-SRBC antibodies and splenic </w:t>
      </w:r>
      <w:proofErr w:type="spellStart"/>
      <w:r w:rsidRPr="00EC1727">
        <w:rPr>
          <w:rFonts w:cs="Times New Roman"/>
          <w:b/>
          <w:bCs/>
          <w:sz w:val="24"/>
          <w:szCs w:val="24"/>
        </w:rPr>
        <w:t>Tfh</w:t>
      </w:r>
      <w:proofErr w:type="spellEnd"/>
      <w:r w:rsidRPr="00EC1727">
        <w:rPr>
          <w:rFonts w:cs="Times New Roman"/>
          <w:b/>
          <w:bCs/>
          <w:sz w:val="24"/>
          <w:szCs w:val="24"/>
        </w:rPr>
        <w:t xml:space="preserve"> cells are significantly elevated in SRBC-immunized mice.</w:t>
      </w:r>
      <w:r w:rsidRPr="00EC1727"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b/>
          <w:bCs/>
          <w:sz w:val="24"/>
          <w:szCs w:val="24"/>
        </w:rPr>
        <w:t>a</w:t>
      </w:r>
      <w:proofErr w:type="gramEnd"/>
      <w:r w:rsidRPr="00EC1727">
        <w:rPr>
          <w:rFonts w:cs="Times New Roman"/>
          <w:sz w:val="24"/>
          <w:szCs w:val="24"/>
        </w:rPr>
        <w:t xml:space="preserve"> ELISA of anti-SRBC specific antibodies IgM, IgG1, IgG2a, IgG2b, IgG (H+L), and IgG3 in </w:t>
      </w:r>
      <w:r>
        <w:rPr>
          <w:rFonts w:cs="Times New Roman"/>
          <w:sz w:val="24"/>
          <w:szCs w:val="24"/>
        </w:rPr>
        <w:t xml:space="preserve">the </w:t>
      </w:r>
      <w:r w:rsidRPr="00EC1727">
        <w:rPr>
          <w:rFonts w:cs="Times New Roman"/>
          <w:sz w:val="24"/>
          <w:szCs w:val="24"/>
        </w:rPr>
        <w:t xml:space="preserve">blood serum of control mice and SRBC-immunized mice. Serum dilution: IgM: 1:200; IgG1, IgG2a, and IgG (H+L): 1:400; IgG2b: 1:800; IgG3: 1:40; n=6. </w:t>
      </w:r>
      <w:r>
        <w:rPr>
          <w:rFonts w:cs="Times New Roman"/>
          <w:b/>
          <w:bCs/>
          <w:sz w:val="24"/>
          <w:szCs w:val="24"/>
        </w:rPr>
        <w:t>b</w:t>
      </w:r>
      <w:r w:rsidRPr="00EC1727">
        <w:rPr>
          <w:rFonts w:cs="Times New Roman"/>
          <w:sz w:val="24"/>
          <w:szCs w:val="24"/>
        </w:rPr>
        <w:t xml:space="preserve"> Left: representative dot plots showing the proportion of splenic CD4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 xml:space="preserve"> T cells in mice after SRBC challenge; right: quantification of splenic CD4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>PD1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>CXCR5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 xml:space="preserve"> </w:t>
      </w:r>
      <w:proofErr w:type="spellStart"/>
      <w:r w:rsidRPr="00EC1727">
        <w:rPr>
          <w:rFonts w:cs="Times New Roman"/>
          <w:sz w:val="24"/>
          <w:szCs w:val="24"/>
        </w:rPr>
        <w:t>Tfh</w:t>
      </w:r>
      <w:proofErr w:type="spellEnd"/>
      <w:r w:rsidRPr="00EC1727">
        <w:rPr>
          <w:rFonts w:cs="Times New Roman"/>
          <w:sz w:val="24"/>
          <w:szCs w:val="24"/>
        </w:rPr>
        <w:t xml:space="preserve"> cells, n=6. (*</w:t>
      </w:r>
      <w:r w:rsidRPr="00EC1727">
        <w:rPr>
          <w:rFonts w:cs="Times New Roman"/>
          <w:i/>
          <w:iCs/>
          <w:sz w:val="24"/>
          <w:szCs w:val="24"/>
        </w:rPr>
        <w:t>p</w:t>
      </w:r>
      <w:r w:rsidRPr="00EC1727">
        <w:rPr>
          <w:rFonts w:cs="Times New Roman"/>
          <w:sz w:val="24"/>
          <w:szCs w:val="24"/>
        </w:rPr>
        <w:t>&lt;0.05, **</w:t>
      </w:r>
      <w:r w:rsidRPr="00EC1727">
        <w:rPr>
          <w:rFonts w:cs="Times New Roman"/>
          <w:i/>
          <w:iCs/>
          <w:sz w:val="24"/>
          <w:szCs w:val="24"/>
        </w:rPr>
        <w:t>p</w:t>
      </w:r>
      <w:r w:rsidRPr="00EC1727">
        <w:rPr>
          <w:rFonts w:cs="Times New Roman"/>
          <w:sz w:val="24"/>
          <w:szCs w:val="24"/>
        </w:rPr>
        <w:t>&lt;0.01, ***</w:t>
      </w:r>
      <w:r w:rsidRPr="00EC1727">
        <w:rPr>
          <w:rFonts w:cs="Times New Roman"/>
          <w:i/>
          <w:iCs/>
          <w:sz w:val="24"/>
          <w:szCs w:val="24"/>
        </w:rPr>
        <w:t>p</w:t>
      </w:r>
      <w:r w:rsidRPr="00EC1727">
        <w:rPr>
          <w:rFonts w:cs="Times New Roman"/>
          <w:sz w:val="24"/>
          <w:szCs w:val="24"/>
        </w:rPr>
        <w:t>&lt;0.001 ****</w:t>
      </w:r>
      <w:r w:rsidRPr="00EC1727">
        <w:rPr>
          <w:rFonts w:cs="Times New Roman"/>
          <w:i/>
          <w:iCs/>
          <w:sz w:val="24"/>
          <w:szCs w:val="24"/>
        </w:rPr>
        <w:t>p</w:t>
      </w:r>
      <w:r w:rsidRPr="00EC1727">
        <w:rPr>
          <w:rFonts w:cs="Times New Roman"/>
          <w:sz w:val="24"/>
          <w:szCs w:val="24"/>
        </w:rPr>
        <w:t xml:space="preserve">&lt;0.0001, unpaired two-tailed </w:t>
      </w:r>
      <w:r>
        <w:rPr>
          <w:rFonts w:cs="Times New Roman"/>
          <w:sz w:val="24"/>
          <w:szCs w:val="24"/>
        </w:rPr>
        <w:t>S</w:t>
      </w:r>
      <w:r w:rsidRPr="00EC1727">
        <w:rPr>
          <w:rFonts w:cs="Times New Roman"/>
          <w:sz w:val="24"/>
          <w:szCs w:val="24"/>
        </w:rPr>
        <w:t xml:space="preserve">tudent’s </w:t>
      </w:r>
      <w:r w:rsidRPr="00EC1727">
        <w:rPr>
          <w:rFonts w:cs="Times New Roman"/>
          <w:i/>
          <w:iCs/>
          <w:sz w:val="24"/>
          <w:szCs w:val="24"/>
        </w:rPr>
        <w:t>t</w:t>
      </w:r>
      <w:r w:rsidRPr="00EC1727">
        <w:rPr>
          <w:rFonts w:cs="Times New Roman"/>
          <w:sz w:val="24"/>
          <w:szCs w:val="24"/>
        </w:rPr>
        <w:t xml:space="preserve"> test.) </w:t>
      </w:r>
      <w:bookmarkEnd w:id="0"/>
      <w:r>
        <w:rPr>
          <w:b/>
          <w:bCs/>
          <w:noProof/>
        </w:rPr>
        <w:lastRenderedPageBreak/>
        <w:drawing>
          <wp:inline distT="0" distB="0" distL="0" distR="0" wp14:anchorId="18BDC550" wp14:editId="7C52994D">
            <wp:extent cx="5274310" cy="4940300"/>
            <wp:effectExtent l="0" t="0" r="2540" b="0"/>
            <wp:docPr id="7" name="Picture 7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, schematic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897"/>
                    <a:stretch/>
                  </pic:blipFill>
                  <pic:spPr bwMode="auto">
                    <a:xfrm>
                      <a:off x="0" y="0"/>
                      <a:ext cx="5274310" cy="494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F3BCF" w14:textId="48B7A284" w:rsidR="00214D56" w:rsidRDefault="00F62E29" w:rsidP="00BD77A1">
      <w:pPr>
        <w:spacing w:line="480" w:lineRule="auto"/>
        <w:jc w:val="left"/>
        <w:rPr>
          <w:b/>
          <w:bCs/>
        </w:rPr>
      </w:pPr>
      <w:bookmarkStart w:id="1" w:name="_Hlk130214493"/>
      <w:r w:rsidRPr="00EC1727">
        <w:rPr>
          <w:rFonts w:cs="Times New Roman"/>
          <w:b/>
          <w:bCs/>
          <w:sz w:val="24"/>
          <w:szCs w:val="24"/>
        </w:rPr>
        <w:t xml:space="preserve">Figure S3 Proportions of </w:t>
      </w:r>
      <w:proofErr w:type="spellStart"/>
      <w:r w:rsidRPr="00EC1727">
        <w:rPr>
          <w:rFonts w:cs="Times New Roman"/>
          <w:b/>
          <w:bCs/>
          <w:sz w:val="24"/>
          <w:szCs w:val="24"/>
        </w:rPr>
        <w:t>Tfh</w:t>
      </w:r>
      <w:proofErr w:type="spellEnd"/>
      <w:r w:rsidRPr="00EC1727">
        <w:rPr>
          <w:rFonts w:cs="Times New Roman"/>
          <w:b/>
          <w:bCs/>
          <w:sz w:val="24"/>
          <w:szCs w:val="24"/>
        </w:rPr>
        <w:t xml:space="preserve"> and Th2 cells remain comparable between control and STM2457</w:t>
      </w:r>
      <w:r>
        <w:rPr>
          <w:rFonts w:cs="Times New Roman"/>
          <w:b/>
          <w:bCs/>
          <w:sz w:val="24"/>
          <w:szCs w:val="24"/>
        </w:rPr>
        <w:t>-</w:t>
      </w:r>
      <w:r w:rsidRPr="00EC1727">
        <w:rPr>
          <w:rFonts w:cs="Times New Roman"/>
          <w:b/>
          <w:bCs/>
          <w:sz w:val="24"/>
          <w:szCs w:val="24"/>
        </w:rPr>
        <w:t xml:space="preserve">administered cGVHD mice. </w:t>
      </w:r>
      <w:r>
        <w:rPr>
          <w:rFonts w:cs="Times New Roman"/>
          <w:b/>
          <w:bCs/>
          <w:sz w:val="24"/>
          <w:szCs w:val="24"/>
        </w:rPr>
        <w:t>a</w:t>
      </w:r>
      <w:r w:rsidRPr="00EC1727">
        <w:rPr>
          <w:rFonts w:cs="Times New Roman"/>
          <w:b/>
          <w:bCs/>
          <w:sz w:val="24"/>
          <w:szCs w:val="24"/>
        </w:rPr>
        <w:t xml:space="preserve"> </w:t>
      </w:r>
      <w:r w:rsidRPr="00EC1727">
        <w:rPr>
          <w:rFonts w:cs="Times New Roman"/>
          <w:sz w:val="24"/>
          <w:szCs w:val="24"/>
        </w:rPr>
        <w:t>Comparison of the body weight</w:t>
      </w:r>
      <w:r>
        <w:rPr>
          <w:rFonts w:cs="Times New Roman"/>
          <w:sz w:val="24"/>
          <w:szCs w:val="24"/>
        </w:rPr>
        <w:t>s</w:t>
      </w:r>
      <w:r w:rsidRPr="00EC1727">
        <w:rPr>
          <w:rFonts w:cs="Times New Roman"/>
          <w:sz w:val="24"/>
          <w:szCs w:val="24"/>
        </w:rPr>
        <w:t xml:space="preserve"> of cGVHD mice body treated with DMSO or STM2457. </w:t>
      </w:r>
      <w:r>
        <w:rPr>
          <w:rFonts w:cs="Times New Roman"/>
          <w:b/>
          <w:bCs/>
          <w:sz w:val="24"/>
          <w:szCs w:val="24"/>
        </w:rPr>
        <w:t>b</w:t>
      </w:r>
      <w:r w:rsidRPr="00EC1727">
        <w:rPr>
          <w:rFonts w:cs="Times New Roman"/>
          <w:sz w:val="24"/>
          <w:szCs w:val="24"/>
        </w:rPr>
        <w:t xml:space="preserve"> Left: spleen and </w:t>
      </w:r>
      <w:proofErr w:type="spellStart"/>
      <w:r w:rsidRPr="00EC1727">
        <w:rPr>
          <w:rFonts w:cs="Times New Roman"/>
          <w:sz w:val="24"/>
          <w:szCs w:val="24"/>
        </w:rPr>
        <w:t>dLN</w:t>
      </w:r>
      <w:proofErr w:type="spellEnd"/>
      <w:r w:rsidRPr="00EC1727">
        <w:rPr>
          <w:rFonts w:cs="Times New Roman"/>
          <w:sz w:val="24"/>
          <w:szCs w:val="24"/>
        </w:rPr>
        <w:t xml:space="preserve"> images of cGVHD mice; right: quantification of spleen weight. </w:t>
      </w:r>
      <w:r>
        <w:rPr>
          <w:rFonts w:cs="Times New Roman"/>
          <w:b/>
          <w:bCs/>
          <w:sz w:val="24"/>
          <w:szCs w:val="24"/>
        </w:rPr>
        <w:t>c</w:t>
      </w:r>
      <w:r w:rsidRPr="00EC1727">
        <w:rPr>
          <w:rFonts w:cs="Times New Roman"/>
          <w:sz w:val="24"/>
          <w:szCs w:val="24"/>
        </w:rPr>
        <w:t xml:space="preserve"> Top: representative dot plots showing the proportion of CD4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 xml:space="preserve"> T cells in the spleen and dLNs of cGVHD mice treated with DMSO or STM2457; bottom: quantification of CD4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>PD1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>CXCR5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 xml:space="preserve"> </w:t>
      </w:r>
      <w:proofErr w:type="spellStart"/>
      <w:r w:rsidRPr="00EC1727">
        <w:rPr>
          <w:rFonts w:cs="Times New Roman"/>
          <w:sz w:val="24"/>
          <w:szCs w:val="24"/>
        </w:rPr>
        <w:t>Tfh</w:t>
      </w:r>
      <w:proofErr w:type="spellEnd"/>
      <w:r w:rsidRPr="00EC1727">
        <w:rPr>
          <w:rFonts w:cs="Times New Roman"/>
          <w:sz w:val="24"/>
          <w:szCs w:val="24"/>
        </w:rPr>
        <w:t xml:space="preserve"> cells. </w:t>
      </w:r>
      <w:r>
        <w:rPr>
          <w:rFonts w:cs="Times New Roman"/>
          <w:b/>
          <w:bCs/>
          <w:sz w:val="24"/>
          <w:szCs w:val="24"/>
        </w:rPr>
        <w:t>d</w:t>
      </w:r>
      <w:r w:rsidRPr="00EC172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Left</w:t>
      </w:r>
      <w:r w:rsidRPr="00EC1727">
        <w:rPr>
          <w:rFonts w:cs="Times New Roman"/>
          <w:sz w:val="24"/>
          <w:szCs w:val="24"/>
        </w:rPr>
        <w:t>: representative dot plots showing the proportion of splenic CD4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 xml:space="preserve"> T cells in the spleen</w:t>
      </w:r>
      <w:r>
        <w:rPr>
          <w:rFonts w:cs="Times New Roman"/>
          <w:sz w:val="24"/>
          <w:szCs w:val="24"/>
        </w:rPr>
        <w:t>s</w:t>
      </w:r>
      <w:r w:rsidRPr="00EC1727">
        <w:rPr>
          <w:rFonts w:cs="Times New Roman"/>
          <w:sz w:val="24"/>
          <w:szCs w:val="24"/>
        </w:rPr>
        <w:t xml:space="preserve"> of cGVHD mice treated with DMSO or STM2457; </w:t>
      </w:r>
      <w:r>
        <w:rPr>
          <w:rFonts w:cs="Times New Roman"/>
          <w:sz w:val="24"/>
          <w:szCs w:val="24"/>
        </w:rPr>
        <w:t>right</w:t>
      </w:r>
      <w:r w:rsidRPr="00EC1727">
        <w:rPr>
          <w:rFonts w:cs="Times New Roman"/>
          <w:sz w:val="24"/>
          <w:szCs w:val="24"/>
        </w:rPr>
        <w:t>: quantification of CD4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>IL-4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 xml:space="preserve"> Th2 cells</w:t>
      </w:r>
      <w:r w:rsidRPr="00F62E29">
        <w:rPr>
          <w:rFonts w:cs="Times New Roman"/>
          <w:sz w:val="24"/>
          <w:szCs w:val="24"/>
        </w:rPr>
        <w:t xml:space="preserve">. e ELISA of IFN-γ and IL-17A levels in the blood serum of cGVHD mice treated with DMSO or STM2457. </w:t>
      </w:r>
      <w:r w:rsidRPr="00EC1727">
        <w:rPr>
          <w:rFonts w:cs="Times New Roman"/>
          <w:sz w:val="24"/>
          <w:szCs w:val="24"/>
        </w:rPr>
        <w:t>(ns, no significance, unpaired two-</w:t>
      </w:r>
      <w:r w:rsidRPr="00EC1727">
        <w:rPr>
          <w:rFonts w:cs="Times New Roman"/>
          <w:sz w:val="24"/>
          <w:szCs w:val="24"/>
        </w:rPr>
        <w:lastRenderedPageBreak/>
        <w:t xml:space="preserve">tailed </w:t>
      </w:r>
      <w:r>
        <w:rPr>
          <w:rFonts w:cs="Times New Roman"/>
          <w:sz w:val="24"/>
          <w:szCs w:val="24"/>
        </w:rPr>
        <w:t>S</w:t>
      </w:r>
      <w:r w:rsidRPr="00EC1727">
        <w:rPr>
          <w:rFonts w:cs="Times New Roman"/>
          <w:sz w:val="24"/>
          <w:szCs w:val="24"/>
        </w:rPr>
        <w:t xml:space="preserve">tudent’s </w:t>
      </w:r>
      <w:r w:rsidRPr="00EC1727">
        <w:rPr>
          <w:rFonts w:cs="Times New Roman"/>
          <w:i/>
          <w:iCs/>
          <w:sz w:val="24"/>
          <w:szCs w:val="24"/>
        </w:rPr>
        <w:t>t</w:t>
      </w:r>
      <w:r w:rsidRPr="00EC1727">
        <w:rPr>
          <w:rFonts w:cs="Times New Roman"/>
          <w:sz w:val="24"/>
          <w:szCs w:val="24"/>
        </w:rPr>
        <w:t xml:space="preserve"> test.) </w:t>
      </w:r>
      <w:bookmarkEnd w:id="1"/>
      <w:r>
        <w:rPr>
          <w:b/>
          <w:bCs/>
          <w:noProof/>
        </w:rPr>
        <w:drawing>
          <wp:inline distT="0" distB="0" distL="0" distR="0" wp14:anchorId="47E27C51" wp14:editId="6C8F69AB">
            <wp:extent cx="5284834" cy="4206240"/>
            <wp:effectExtent l="0" t="0" r="0" b="3810"/>
            <wp:docPr id="8" name="Picture 8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, schematic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39"/>
                    <a:stretch/>
                  </pic:blipFill>
                  <pic:spPr bwMode="auto">
                    <a:xfrm>
                      <a:off x="0" y="0"/>
                      <a:ext cx="5284834" cy="420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1EDC0" w14:textId="77777777" w:rsidR="00F62E29" w:rsidRPr="00EC1727" w:rsidRDefault="00F62E29" w:rsidP="00F62E29">
      <w:pPr>
        <w:spacing w:line="480" w:lineRule="auto"/>
        <w:rPr>
          <w:rFonts w:cs="Times New Roman"/>
          <w:b/>
          <w:bCs/>
          <w:sz w:val="24"/>
          <w:szCs w:val="24"/>
        </w:rPr>
      </w:pPr>
      <w:bookmarkStart w:id="2" w:name="_Hlk130214587"/>
      <w:r w:rsidRPr="00EC1727">
        <w:rPr>
          <w:rFonts w:cs="Times New Roman"/>
          <w:b/>
          <w:bCs/>
          <w:sz w:val="24"/>
          <w:szCs w:val="24"/>
        </w:rPr>
        <w:t>Figure S4 METTL3 catalytic inhibition or gene knockdown suppresses CD4</w:t>
      </w:r>
      <w:r w:rsidRPr="00EC1727">
        <w:rPr>
          <w:rFonts w:cs="Times New Roman"/>
          <w:b/>
          <w:bCs/>
          <w:sz w:val="24"/>
          <w:szCs w:val="24"/>
          <w:vertAlign w:val="superscript"/>
        </w:rPr>
        <w:t>+</w:t>
      </w:r>
      <w:r w:rsidRPr="00EC1727">
        <w:rPr>
          <w:rFonts w:cs="Times New Roman"/>
          <w:b/>
          <w:bCs/>
          <w:sz w:val="24"/>
          <w:szCs w:val="24"/>
        </w:rPr>
        <w:t xml:space="preserve"> T</w:t>
      </w:r>
      <w:r>
        <w:rPr>
          <w:rFonts w:cs="Times New Roman"/>
          <w:b/>
          <w:bCs/>
          <w:sz w:val="24"/>
          <w:szCs w:val="24"/>
        </w:rPr>
        <w:t>-</w:t>
      </w:r>
      <w:r w:rsidRPr="00EC1727">
        <w:rPr>
          <w:rFonts w:cs="Times New Roman"/>
          <w:b/>
          <w:bCs/>
          <w:sz w:val="24"/>
          <w:szCs w:val="24"/>
        </w:rPr>
        <w:t xml:space="preserve">cell activation </w:t>
      </w:r>
      <w:r w:rsidRPr="00FA649E">
        <w:rPr>
          <w:rFonts w:cs="Times New Roman"/>
          <w:b/>
          <w:bCs/>
          <w:i/>
          <w:iCs/>
          <w:sz w:val="24"/>
          <w:szCs w:val="24"/>
        </w:rPr>
        <w:t>in vitro</w:t>
      </w:r>
      <w:r w:rsidRPr="00EC1727">
        <w:rPr>
          <w:rFonts w:cs="Times New Roman"/>
          <w:b/>
          <w:bCs/>
          <w:sz w:val="24"/>
          <w:szCs w:val="24"/>
        </w:rPr>
        <w:t xml:space="preserve">. </w:t>
      </w:r>
      <w:r>
        <w:rPr>
          <w:rFonts w:cs="Times New Roman"/>
          <w:b/>
          <w:bCs/>
          <w:sz w:val="24"/>
          <w:szCs w:val="24"/>
        </w:rPr>
        <w:t>a</w:t>
      </w:r>
      <w:r w:rsidRPr="00EC1727">
        <w:rPr>
          <w:rFonts w:cs="Times New Roman"/>
          <w:b/>
          <w:bCs/>
          <w:sz w:val="24"/>
          <w:szCs w:val="24"/>
        </w:rPr>
        <w:t xml:space="preserve"> </w:t>
      </w:r>
      <w:r w:rsidRPr="00EC1727">
        <w:rPr>
          <w:rFonts w:cs="Times New Roman"/>
          <w:sz w:val="24"/>
          <w:szCs w:val="24"/>
        </w:rPr>
        <w:t>Comparison of total m</w:t>
      </w:r>
      <w:r w:rsidRPr="00EC1727">
        <w:rPr>
          <w:rFonts w:cs="Times New Roman"/>
          <w:sz w:val="24"/>
          <w:szCs w:val="24"/>
          <w:vertAlign w:val="superscript"/>
        </w:rPr>
        <w:t>6</w:t>
      </w:r>
      <w:r w:rsidRPr="00EC1727">
        <w:rPr>
          <w:rFonts w:cs="Times New Roman"/>
          <w:sz w:val="24"/>
          <w:szCs w:val="24"/>
        </w:rPr>
        <w:t>A modification between STM2457</w:t>
      </w:r>
      <w:r>
        <w:rPr>
          <w:rFonts w:cs="Times New Roman"/>
          <w:sz w:val="24"/>
          <w:szCs w:val="24"/>
        </w:rPr>
        <w:t>-</w:t>
      </w:r>
      <w:r w:rsidRPr="00EC1727">
        <w:rPr>
          <w:rFonts w:cs="Times New Roman"/>
          <w:sz w:val="24"/>
          <w:szCs w:val="24"/>
        </w:rPr>
        <w:t xml:space="preserve"> and DMSO</w:t>
      </w:r>
      <w:r>
        <w:rPr>
          <w:rFonts w:cs="Times New Roman"/>
          <w:sz w:val="24"/>
          <w:szCs w:val="24"/>
        </w:rPr>
        <w:t>-</w:t>
      </w:r>
      <w:r w:rsidRPr="00EC1727">
        <w:rPr>
          <w:rFonts w:cs="Times New Roman"/>
          <w:sz w:val="24"/>
          <w:szCs w:val="24"/>
        </w:rPr>
        <w:t>treated CD4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 xml:space="preserve"> T cells by colorimetric quantification, n=5. </w:t>
      </w:r>
      <w:r>
        <w:rPr>
          <w:rFonts w:cs="Times New Roman"/>
          <w:b/>
          <w:bCs/>
          <w:sz w:val="24"/>
          <w:szCs w:val="24"/>
        </w:rPr>
        <w:t>b</w:t>
      </w:r>
      <w:r w:rsidRPr="00EC1727">
        <w:rPr>
          <w:rFonts w:cs="Times New Roman"/>
          <w:sz w:val="24"/>
          <w:szCs w:val="24"/>
        </w:rPr>
        <w:t xml:space="preserve"> Left: representative dot plots showing the composition of CD4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 xml:space="preserve"> T cells in STM2457 (5</w:t>
      </w:r>
      <w:r>
        <w:rPr>
          <w:rFonts w:cs="Times New Roman"/>
          <w:sz w:val="24"/>
          <w:szCs w:val="24"/>
        </w:rPr>
        <w:t xml:space="preserve"> </w:t>
      </w:r>
      <w:r w:rsidRPr="00EC1727">
        <w:rPr>
          <w:rFonts w:cs="Times New Roman"/>
          <w:sz w:val="24"/>
          <w:szCs w:val="24"/>
        </w:rPr>
        <w:t>μM)</w:t>
      </w:r>
      <w:r>
        <w:rPr>
          <w:rFonts w:cs="Times New Roman"/>
          <w:sz w:val="24"/>
          <w:szCs w:val="24"/>
        </w:rPr>
        <w:t>-</w:t>
      </w:r>
      <w:r w:rsidRPr="00EC1727">
        <w:rPr>
          <w:rFonts w:cs="Times New Roman"/>
          <w:sz w:val="24"/>
          <w:szCs w:val="24"/>
        </w:rPr>
        <w:t xml:space="preserve">treated and DMSO control cells after </w:t>
      </w:r>
      <w:r>
        <w:rPr>
          <w:rFonts w:cs="Times New Roman"/>
          <w:sz w:val="24"/>
          <w:szCs w:val="24"/>
        </w:rPr>
        <w:t>activation</w:t>
      </w:r>
      <w:r w:rsidRPr="00EC1727">
        <w:rPr>
          <w:rFonts w:cs="Times New Roman"/>
          <w:sz w:val="24"/>
          <w:szCs w:val="24"/>
        </w:rPr>
        <w:t xml:space="preserve"> by anti-CD3 and anti-CD28 antibodies for 3 days; right: quantification of nonactivated CD4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>CD25</w:t>
      </w:r>
      <w:r w:rsidRPr="00EC1727">
        <w:rPr>
          <w:rFonts w:cs="Times New Roman"/>
          <w:sz w:val="24"/>
          <w:szCs w:val="24"/>
          <w:vertAlign w:val="superscript"/>
        </w:rPr>
        <w:t>-</w:t>
      </w:r>
      <w:r w:rsidRPr="00EC1727">
        <w:rPr>
          <w:rFonts w:cs="Times New Roman"/>
          <w:sz w:val="24"/>
          <w:szCs w:val="24"/>
        </w:rPr>
        <w:t>CD69</w:t>
      </w:r>
      <w:r w:rsidRPr="00EC1727">
        <w:rPr>
          <w:rFonts w:cs="Times New Roman"/>
          <w:sz w:val="24"/>
          <w:szCs w:val="24"/>
          <w:vertAlign w:val="superscript"/>
        </w:rPr>
        <w:t>-</w:t>
      </w:r>
      <w:r w:rsidRPr="00EC1727">
        <w:rPr>
          <w:rFonts w:cs="Times New Roman"/>
          <w:sz w:val="24"/>
          <w:szCs w:val="24"/>
        </w:rPr>
        <w:t xml:space="preserve"> cells, n=5. </w:t>
      </w:r>
      <w:r>
        <w:rPr>
          <w:rFonts w:cs="Times New Roman"/>
          <w:b/>
          <w:bCs/>
          <w:sz w:val="24"/>
          <w:szCs w:val="24"/>
        </w:rPr>
        <w:t>c</w:t>
      </w:r>
      <w:r w:rsidRPr="00EC1727">
        <w:rPr>
          <w:rFonts w:cs="Times New Roman"/>
          <w:sz w:val="24"/>
          <w:szCs w:val="24"/>
        </w:rPr>
        <w:t xml:space="preserve"> Immunoblot of METTL3 in CD4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 xml:space="preserve"> T cells treated with either METTL3 siRNA or scramble siRNA, </w:t>
      </w:r>
      <w:r>
        <w:rPr>
          <w:rFonts w:cs="Times New Roman"/>
          <w:sz w:val="24"/>
          <w:szCs w:val="24"/>
        </w:rPr>
        <w:t xml:space="preserve">and </w:t>
      </w:r>
      <w:r w:rsidRPr="00EC1727">
        <w:rPr>
          <w:rFonts w:cs="Times New Roman"/>
          <w:sz w:val="24"/>
          <w:szCs w:val="24"/>
        </w:rPr>
        <w:t>β-actin was used as a loading control.</w:t>
      </w:r>
      <w:r w:rsidRPr="00EC1727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d</w:t>
      </w:r>
      <w:r w:rsidRPr="00EC1727">
        <w:rPr>
          <w:rFonts w:cs="Times New Roman"/>
          <w:sz w:val="24"/>
          <w:szCs w:val="24"/>
        </w:rPr>
        <w:t xml:space="preserve"> Left: representative dot plots showing the proportion of CD4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 xml:space="preserve"> T cells treated with either scramble siRNA or METTL3 siRNA for 3 days after being activated by anti-CD3 and anti-CD28 antibodies; </w:t>
      </w:r>
      <w:r w:rsidRPr="00EC1727">
        <w:rPr>
          <w:rFonts w:cs="Times New Roman"/>
          <w:sz w:val="24"/>
          <w:szCs w:val="24"/>
        </w:rPr>
        <w:lastRenderedPageBreak/>
        <w:t>right: quantification of unactivated CD4</w:t>
      </w:r>
      <w:r w:rsidRPr="00EC1727">
        <w:rPr>
          <w:rFonts w:cs="Times New Roman"/>
          <w:sz w:val="24"/>
          <w:szCs w:val="24"/>
          <w:vertAlign w:val="superscript"/>
        </w:rPr>
        <w:t>+</w:t>
      </w:r>
      <w:r w:rsidRPr="00EC1727">
        <w:rPr>
          <w:rFonts w:cs="Times New Roman"/>
          <w:sz w:val="24"/>
          <w:szCs w:val="24"/>
        </w:rPr>
        <w:t>CD25</w:t>
      </w:r>
      <w:r w:rsidRPr="00EC1727">
        <w:rPr>
          <w:rFonts w:cs="Times New Roman"/>
          <w:sz w:val="24"/>
          <w:szCs w:val="24"/>
          <w:vertAlign w:val="superscript"/>
        </w:rPr>
        <w:t>-</w:t>
      </w:r>
      <w:r w:rsidRPr="00EC1727">
        <w:rPr>
          <w:rFonts w:cs="Times New Roman"/>
          <w:sz w:val="24"/>
          <w:szCs w:val="24"/>
        </w:rPr>
        <w:t>CD69</w:t>
      </w:r>
      <w:r w:rsidRPr="00EC1727">
        <w:rPr>
          <w:rFonts w:cs="Times New Roman"/>
          <w:sz w:val="24"/>
          <w:szCs w:val="24"/>
          <w:vertAlign w:val="superscript"/>
        </w:rPr>
        <w:t>-</w:t>
      </w:r>
      <w:r w:rsidRPr="00EC1727">
        <w:rPr>
          <w:rFonts w:cs="Times New Roman"/>
          <w:sz w:val="24"/>
          <w:szCs w:val="24"/>
        </w:rPr>
        <w:t xml:space="preserve"> cells, n=3. </w:t>
      </w:r>
      <w:proofErr w:type="spellStart"/>
      <w:r w:rsidRPr="00F62E29">
        <w:rPr>
          <w:rFonts w:cs="Times New Roman"/>
          <w:sz w:val="24"/>
          <w:szCs w:val="24"/>
        </w:rPr>
        <w:t>e</w:t>
      </w:r>
      <w:proofErr w:type="spellEnd"/>
      <w:r w:rsidRPr="00F62E29">
        <w:rPr>
          <w:rFonts w:cs="Times New Roman"/>
          <w:sz w:val="24"/>
          <w:szCs w:val="24"/>
        </w:rPr>
        <w:t xml:space="preserve"> Left: representative dot plots showing the proportion of CD4</w:t>
      </w:r>
      <w:r w:rsidRPr="00F62E29">
        <w:rPr>
          <w:rFonts w:cs="Times New Roman"/>
          <w:sz w:val="24"/>
          <w:szCs w:val="24"/>
          <w:vertAlign w:val="superscript"/>
        </w:rPr>
        <w:t>+</w:t>
      </w:r>
      <w:r w:rsidRPr="00F62E29">
        <w:rPr>
          <w:rFonts w:cs="Times New Roman"/>
          <w:sz w:val="24"/>
          <w:szCs w:val="24"/>
        </w:rPr>
        <w:t xml:space="preserve"> T cells treated with either DMSO or STM2457 for 5 days when cultured under Treg differentiation conditions; right: quantification of CD4</w:t>
      </w:r>
      <w:r w:rsidRPr="00F62E29">
        <w:rPr>
          <w:rFonts w:cs="Times New Roman"/>
          <w:sz w:val="24"/>
          <w:szCs w:val="24"/>
          <w:vertAlign w:val="superscript"/>
        </w:rPr>
        <w:t>+</w:t>
      </w:r>
      <w:r w:rsidRPr="00F62E29">
        <w:rPr>
          <w:rFonts w:cs="Times New Roman"/>
          <w:sz w:val="24"/>
          <w:szCs w:val="24"/>
        </w:rPr>
        <w:t>CD25</w:t>
      </w:r>
      <w:r w:rsidRPr="00F62E29">
        <w:rPr>
          <w:rFonts w:cs="Times New Roman"/>
          <w:sz w:val="24"/>
          <w:szCs w:val="24"/>
          <w:vertAlign w:val="superscript"/>
        </w:rPr>
        <w:t>+</w:t>
      </w:r>
      <w:r w:rsidRPr="00F62E29">
        <w:rPr>
          <w:rFonts w:cs="Times New Roman"/>
          <w:sz w:val="24"/>
          <w:szCs w:val="24"/>
        </w:rPr>
        <w:t>CD127</w:t>
      </w:r>
      <w:r w:rsidRPr="00F62E29">
        <w:rPr>
          <w:rFonts w:cs="Times New Roman"/>
          <w:sz w:val="24"/>
          <w:szCs w:val="24"/>
          <w:vertAlign w:val="superscript"/>
        </w:rPr>
        <w:t>-</w:t>
      </w:r>
      <w:r w:rsidRPr="00F62E29">
        <w:rPr>
          <w:rFonts w:cs="Times New Roman"/>
          <w:sz w:val="24"/>
          <w:szCs w:val="24"/>
        </w:rPr>
        <w:t xml:space="preserve"> cells, n=4. </w:t>
      </w:r>
      <w:r w:rsidRPr="00F62E29">
        <w:rPr>
          <w:rFonts w:cs="Times New Roman"/>
          <w:b/>
          <w:bCs/>
          <w:sz w:val="24"/>
          <w:szCs w:val="24"/>
        </w:rPr>
        <w:t>f</w:t>
      </w:r>
      <w:r w:rsidRPr="00F62E29">
        <w:rPr>
          <w:rFonts w:cs="Times New Roman"/>
          <w:sz w:val="24"/>
          <w:szCs w:val="24"/>
        </w:rPr>
        <w:t xml:space="preserve"> The mRNA expression of METTL3 in SLE CD4</w:t>
      </w:r>
      <w:r w:rsidRPr="00F62E29">
        <w:rPr>
          <w:rFonts w:cs="Times New Roman"/>
          <w:sz w:val="24"/>
          <w:szCs w:val="24"/>
          <w:vertAlign w:val="superscript"/>
        </w:rPr>
        <w:t>+</w:t>
      </w:r>
      <w:r w:rsidRPr="00F62E29">
        <w:rPr>
          <w:rFonts w:cs="Times New Roman"/>
          <w:sz w:val="24"/>
          <w:szCs w:val="24"/>
        </w:rPr>
        <w:t xml:space="preserve"> T cells treated with either DMSO or STM2457 when cultured under Treg differentiation conditions was detected by RT-qPCR, n=4. </w:t>
      </w:r>
      <w:r w:rsidRPr="00EC1727">
        <w:rPr>
          <w:rFonts w:cs="Times New Roman"/>
          <w:sz w:val="24"/>
          <w:szCs w:val="24"/>
        </w:rPr>
        <w:t>(*</w:t>
      </w:r>
      <w:r w:rsidRPr="00EC1727">
        <w:rPr>
          <w:rFonts w:cs="Times New Roman"/>
          <w:i/>
          <w:iCs/>
          <w:sz w:val="24"/>
          <w:szCs w:val="24"/>
        </w:rPr>
        <w:t>p</w:t>
      </w:r>
      <w:r w:rsidRPr="00EC1727">
        <w:rPr>
          <w:rFonts w:cs="Times New Roman"/>
          <w:sz w:val="24"/>
          <w:szCs w:val="24"/>
        </w:rPr>
        <w:t>&lt;0.05, **</w:t>
      </w:r>
      <w:r w:rsidRPr="00EC1727">
        <w:rPr>
          <w:rFonts w:cs="Times New Roman"/>
          <w:i/>
          <w:iCs/>
          <w:sz w:val="24"/>
          <w:szCs w:val="24"/>
        </w:rPr>
        <w:t>p</w:t>
      </w:r>
      <w:r w:rsidRPr="00EC1727">
        <w:rPr>
          <w:rFonts w:cs="Times New Roman"/>
          <w:sz w:val="24"/>
          <w:szCs w:val="24"/>
        </w:rPr>
        <w:t>&lt;0.01, ***</w:t>
      </w:r>
      <w:r w:rsidRPr="00EC1727">
        <w:rPr>
          <w:rFonts w:cs="Times New Roman"/>
          <w:i/>
          <w:iCs/>
          <w:sz w:val="24"/>
          <w:szCs w:val="24"/>
        </w:rPr>
        <w:t>p</w:t>
      </w:r>
      <w:r w:rsidRPr="00EC1727">
        <w:rPr>
          <w:rFonts w:cs="Times New Roman"/>
          <w:sz w:val="24"/>
          <w:szCs w:val="24"/>
        </w:rPr>
        <w:t>&lt;0.001,</w:t>
      </w:r>
      <w:r w:rsidRPr="00DC2E30">
        <w:rPr>
          <w:rFonts w:cs="Times New Roman"/>
          <w:sz w:val="24"/>
          <w:szCs w:val="24"/>
        </w:rPr>
        <w:t xml:space="preserve"> </w:t>
      </w:r>
      <w:r w:rsidRPr="00EC1727">
        <w:rPr>
          <w:rFonts w:cs="Times New Roman"/>
          <w:sz w:val="24"/>
          <w:szCs w:val="24"/>
        </w:rPr>
        <w:t>ns, no significance</w:t>
      </w:r>
      <w:r>
        <w:rPr>
          <w:rFonts w:cs="Times New Roman"/>
          <w:sz w:val="24"/>
          <w:szCs w:val="24"/>
        </w:rPr>
        <w:t>,</w:t>
      </w:r>
      <w:r w:rsidRPr="00EC1727">
        <w:rPr>
          <w:rFonts w:cs="Times New Roman"/>
          <w:sz w:val="24"/>
          <w:szCs w:val="24"/>
        </w:rPr>
        <w:t xml:space="preserve"> unpaired two-tailed </w:t>
      </w:r>
      <w:r>
        <w:rPr>
          <w:rFonts w:cs="Times New Roman"/>
          <w:sz w:val="24"/>
          <w:szCs w:val="24"/>
        </w:rPr>
        <w:t>S</w:t>
      </w:r>
      <w:r w:rsidRPr="00EC1727">
        <w:rPr>
          <w:rFonts w:cs="Times New Roman"/>
          <w:sz w:val="24"/>
          <w:szCs w:val="24"/>
        </w:rPr>
        <w:t xml:space="preserve">tudent’s </w:t>
      </w:r>
      <w:r w:rsidRPr="00EC1727">
        <w:rPr>
          <w:rFonts w:cs="Times New Roman"/>
          <w:i/>
          <w:iCs/>
          <w:sz w:val="24"/>
          <w:szCs w:val="24"/>
        </w:rPr>
        <w:t>t</w:t>
      </w:r>
      <w:r w:rsidRPr="00EC1727">
        <w:rPr>
          <w:rFonts w:cs="Times New Roman"/>
          <w:sz w:val="24"/>
          <w:szCs w:val="24"/>
        </w:rPr>
        <w:t xml:space="preserve"> test.)</w:t>
      </w:r>
    </w:p>
    <w:bookmarkEnd w:id="2"/>
    <w:p w14:paraId="312F18B2" w14:textId="77777777" w:rsidR="00573A4B" w:rsidRDefault="00573A4B" w:rsidP="00BD77A1">
      <w:pPr>
        <w:spacing w:line="480" w:lineRule="auto"/>
      </w:pPr>
    </w:p>
    <w:sectPr w:rsidR="00573A4B" w:rsidSect="00DB7734">
      <w:pgSz w:w="11906" w:h="16838" w:code="9"/>
      <w:pgMar w:top="1440" w:right="1800" w:bottom="1440" w:left="180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81E1A" w14:textId="77777777" w:rsidR="00E74FDB" w:rsidRDefault="00E74FDB" w:rsidP="00A661AC">
      <w:r>
        <w:separator/>
      </w:r>
    </w:p>
  </w:endnote>
  <w:endnote w:type="continuationSeparator" w:id="0">
    <w:p w14:paraId="01580D52" w14:textId="77777777" w:rsidR="00E74FDB" w:rsidRDefault="00E74FDB" w:rsidP="00A6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6AD84" w14:textId="77777777" w:rsidR="00E74FDB" w:rsidRDefault="00E74FDB" w:rsidP="00A661AC">
      <w:r>
        <w:separator/>
      </w:r>
    </w:p>
  </w:footnote>
  <w:footnote w:type="continuationSeparator" w:id="0">
    <w:p w14:paraId="336E23B5" w14:textId="77777777" w:rsidR="00E74FDB" w:rsidRDefault="00E74FDB" w:rsidP="00A66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56"/>
    <w:rsid w:val="00214D56"/>
    <w:rsid w:val="0031491B"/>
    <w:rsid w:val="0035048A"/>
    <w:rsid w:val="00350586"/>
    <w:rsid w:val="00573A4B"/>
    <w:rsid w:val="00710893"/>
    <w:rsid w:val="0072290D"/>
    <w:rsid w:val="007D3558"/>
    <w:rsid w:val="0081635E"/>
    <w:rsid w:val="009D7F95"/>
    <w:rsid w:val="00A3307E"/>
    <w:rsid w:val="00A661AC"/>
    <w:rsid w:val="00BD77A1"/>
    <w:rsid w:val="00DB7734"/>
    <w:rsid w:val="00E74FDB"/>
    <w:rsid w:val="00F6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761E0"/>
  <w15:chartTrackingRefBased/>
  <w15:docId w15:val="{9BE8548F-F924-4F7E-BF11-32117BC2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D5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1A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1AC"/>
  </w:style>
  <w:style w:type="paragraph" w:styleId="Footer">
    <w:name w:val="footer"/>
    <w:basedOn w:val="Normal"/>
    <w:link w:val="FooterChar"/>
    <w:uiPriority w:val="99"/>
    <w:unhideWhenUsed/>
    <w:rsid w:val="00A661A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Maria</dc:creator>
  <cp:keywords/>
  <dc:description/>
  <cp:lastModifiedBy>Brian Maria</cp:lastModifiedBy>
  <cp:revision>4</cp:revision>
  <dcterms:created xsi:type="dcterms:W3CDTF">2022-12-11T07:51:00Z</dcterms:created>
  <dcterms:modified xsi:type="dcterms:W3CDTF">2023-03-20T11:04:00Z</dcterms:modified>
</cp:coreProperties>
</file>