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FCB20" w14:textId="77777777" w:rsidR="000C0D72" w:rsidRDefault="00BC43C2">
      <w:pPr>
        <w:spacing w:after="0"/>
        <w:ind w:left="366"/>
        <w:jc w:val="center"/>
      </w:pPr>
      <w:r>
        <w:rPr>
          <w:rFonts w:ascii="Arial" w:eastAsia="Arial" w:hAnsi="Arial" w:cs="Arial"/>
          <w:sz w:val="28"/>
        </w:rPr>
        <w:t xml:space="preserve">Supplement Information </w:t>
      </w:r>
    </w:p>
    <w:p w14:paraId="279052A2" w14:textId="77777777" w:rsidR="000C0D72" w:rsidRDefault="00BC43C2">
      <w:pPr>
        <w:spacing w:after="0"/>
        <w:ind w:left="451"/>
        <w:jc w:val="center"/>
      </w:pPr>
      <w:r>
        <w:rPr>
          <w:rFonts w:ascii="Arial" w:eastAsia="Arial" w:hAnsi="Arial" w:cs="Arial"/>
          <w:sz w:val="28"/>
        </w:rPr>
        <w:t xml:space="preserve"> </w:t>
      </w:r>
    </w:p>
    <w:p w14:paraId="66BED9AE" w14:textId="77777777" w:rsidR="000C0D72" w:rsidRDefault="00BC43C2">
      <w:pPr>
        <w:spacing w:after="0"/>
        <w:ind w:left="-1" w:right="2082"/>
        <w:jc w:val="center"/>
      </w:pPr>
      <w:r>
        <w:rPr>
          <w:noProof/>
        </w:rPr>
        <w:drawing>
          <wp:inline distT="0" distB="0" distL="0" distR="0" wp14:anchorId="4E79FB07" wp14:editId="38A02771">
            <wp:extent cx="4343400" cy="2463800"/>
            <wp:effectExtent l="0" t="0" r="0" b="0"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46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 w:val="24"/>
        </w:rPr>
        <w:t xml:space="preserve"> </w:t>
      </w:r>
    </w:p>
    <w:p w14:paraId="42B1D754" w14:textId="77777777" w:rsidR="000C0D72" w:rsidRDefault="00BC43C2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3B9E99AB" w14:textId="77777777" w:rsidR="000C0D72" w:rsidRDefault="00BC43C2">
      <w:pPr>
        <w:spacing w:after="0" w:line="239" w:lineRule="auto"/>
      </w:pPr>
      <w:r>
        <w:rPr>
          <w:rFonts w:ascii="Arial" w:eastAsia="Arial" w:hAnsi="Arial" w:cs="Arial"/>
          <w:sz w:val="24"/>
        </w:rPr>
        <w:t xml:space="preserve">Supplement Figure S1. CCK8 analysis of SFBs treated with 0, 20, 30, 40, 50, 60 and 70µM A769662 for 24h and 48h. </w:t>
      </w:r>
    </w:p>
    <w:sectPr w:rsidR="000C0D72">
      <w:pgSz w:w="12240" w:h="15840"/>
      <w:pgMar w:top="1440" w:right="1808" w:bottom="1440" w:left="14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D72"/>
    <w:rsid w:val="000C0D72"/>
    <w:rsid w:val="00BC4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9B66078"/>
  <w15:docId w15:val="{9F20D5B3-B729-754B-BBAD-4B8373BD4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CN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 w:cs="Times New Roman"/>
      <w:color w:val="000000"/>
      <w:sz w:val="22"/>
      <w:lang w:val="en" w:eastAsia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122</Characters>
  <Application>Microsoft Office Word</Application>
  <DocSecurity>0</DocSecurity>
  <Lines>3</Lines>
  <Paragraphs>1</Paragraphs>
  <ScaleCrop>false</ScaleCrop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Microsoft Office User</cp:lastModifiedBy>
  <cp:revision>2</cp:revision>
  <dcterms:created xsi:type="dcterms:W3CDTF">2024-04-15T07:39:00Z</dcterms:created>
  <dcterms:modified xsi:type="dcterms:W3CDTF">2024-04-15T07:39:00Z</dcterms:modified>
</cp:coreProperties>
</file>