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05C9" w:rsidRDefault="00281256">
      <w:pPr>
        <w:spacing w:line="360" w:lineRule="auto"/>
      </w:pPr>
      <w:r>
        <w:t>Reviewer reports:</w:t>
      </w:r>
    </w:p>
    <w:p w:rsidR="001E05C9" w:rsidRDefault="00281256">
      <w:pPr>
        <w:spacing w:line="360" w:lineRule="auto"/>
      </w:pPr>
      <w:r>
        <w:rPr>
          <w:b/>
        </w:rPr>
        <w:t>Reviewer #1:</w:t>
      </w:r>
      <w:r>
        <w:t xml:space="preserve"> This randomized controlled clinical study evaluates the effect of SGL2 inhibitor (</w:t>
      </w:r>
      <w:proofErr w:type="spellStart"/>
      <w:r>
        <w:t>empagliflozin</w:t>
      </w:r>
      <w:proofErr w:type="spellEnd"/>
      <w:r>
        <w:t>) on early tubular injury in patients with type-2 diabetes. It is a well-designed clinical study. However, the manuscript lacks mechanistic insights and details</w:t>
      </w:r>
      <w:r>
        <w:t xml:space="preserve"> on dissecting the </w:t>
      </w:r>
      <w:proofErr w:type="spellStart"/>
      <w:r>
        <w:t>renoprotective</w:t>
      </w:r>
      <w:proofErr w:type="spellEnd"/>
      <w:r>
        <w:t xml:space="preserve"> role of SGL2 inhibitors evaluated in previous trials. This reviewer would request major revisions addressing the following comments:</w:t>
      </w:r>
    </w:p>
    <w:p w:rsidR="001E05C9" w:rsidRDefault="00281256">
      <w:pPr>
        <w:spacing w:line="360" w:lineRule="auto"/>
      </w:pPr>
      <w:r>
        <w:t>1. Did the authors measure other sensitive and well-characterized early biomarkers of tub</w:t>
      </w:r>
      <w:r>
        <w:t>ular injury? These include IL-18, L-FABP, A1M, B2M, etc. This will greatly add to the strength of this manuscript.</w:t>
      </w:r>
      <w:bookmarkStart w:id="0" w:name="_GoBack"/>
      <w:bookmarkEnd w:id="0"/>
    </w:p>
    <w:p w:rsidR="001E05C9" w:rsidRDefault="00281256">
      <w:pPr>
        <w:spacing w:line="360" w:lineRule="auto"/>
      </w:pPr>
      <w:r>
        <w:rPr>
          <w:b/>
        </w:rPr>
        <w:t>Response:</w:t>
      </w:r>
      <w:r>
        <w:t xml:space="preserve"> </w:t>
      </w:r>
      <w:bookmarkStart w:id="1" w:name="OLE_LINK1"/>
      <w:r>
        <w:t>Thank you for your suggestion. We have included this information in the text, with detailed specifics presented in Table 3. Followi</w:t>
      </w:r>
      <w:r>
        <w:t>ng treatment, the markers IL-18, A1M, B2M, and L-FABP exhibited a decrease.</w:t>
      </w:r>
    </w:p>
    <w:bookmarkEnd w:id="1"/>
    <w:p w:rsidR="001E05C9" w:rsidRDefault="001E05C9">
      <w:pPr>
        <w:spacing w:line="360" w:lineRule="auto"/>
      </w:pPr>
    </w:p>
    <w:p w:rsidR="001E05C9" w:rsidRDefault="00281256">
      <w:pPr>
        <w:spacing w:line="360" w:lineRule="auto"/>
      </w:pPr>
      <w:r>
        <w:t xml:space="preserve">2. Are there any pre-clinical studies on mouse models of early tubular injury where </w:t>
      </w:r>
      <w:proofErr w:type="spellStart"/>
      <w:r>
        <w:t>empagliflozin</w:t>
      </w:r>
      <w:proofErr w:type="spellEnd"/>
      <w:r>
        <w:t xml:space="preserve"> has shown a protective role? Please cite these studies, mention details on mechan</w:t>
      </w:r>
      <w:r>
        <w:t>isms involved.</w:t>
      </w:r>
    </w:p>
    <w:p w:rsidR="001E05C9" w:rsidRDefault="00281256">
      <w:pPr>
        <w:spacing w:line="360" w:lineRule="auto"/>
      </w:pPr>
      <w:r>
        <w:rPr>
          <w:b/>
        </w:rPr>
        <w:t>Response:</w:t>
      </w:r>
      <w:r>
        <w:t xml:space="preserve"> During our search of preclinical studies, we found that Lu et al. demonstrated in a diabetes mouse model that </w:t>
      </w:r>
      <w:proofErr w:type="spellStart"/>
      <w:r>
        <w:t>Empagliflozin</w:t>
      </w:r>
      <w:proofErr w:type="spellEnd"/>
      <w:r>
        <w:t xml:space="preserve"> prevents </w:t>
      </w:r>
      <w:proofErr w:type="spellStart"/>
      <w:r>
        <w:t>ferroptosis</w:t>
      </w:r>
      <w:proofErr w:type="spellEnd"/>
      <w:r>
        <w:t xml:space="preserve"> by promoting the AMPK-mediated NRF 2 activation pathway, thereby alleviating renal tub</w:t>
      </w:r>
      <w:r>
        <w:t>ular damage in diabetic mice (PMID: 36581059). The outcomes of this study further support the conclusions drawn in our paper, with corresponding explanations now included in the discussion section.</w:t>
      </w:r>
    </w:p>
    <w:p w:rsidR="001E05C9" w:rsidRDefault="001E05C9">
      <w:pPr>
        <w:spacing w:line="360" w:lineRule="auto"/>
      </w:pPr>
    </w:p>
    <w:p w:rsidR="001E05C9" w:rsidRDefault="00281256">
      <w:pPr>
        <w:spacing w:line="360" w:lineRule="auto"/>
      </w:pPr>
      <w:r>
        <w:t>3. It is important to mention the average dose of other a</w:t>
      </w:r>
      <w:r>
        <w:t>nti-diabetic medications given to the control group versus the intervention group. Depending on the dose, both oral hypoglycemic agents and insulin can have a dramatic effect on metabolic parameters other than blood glucose.</w:t>
      </w:r>
    </w:p>
    <w:p w:rsidR="001E05C9" w:rsidRDefault="00281256">
      <w:pPr>
        <w:spacing w:line="360" w:lineRule="auto"/>
      </w:pPr>
      <w:r>
        <w:rPr>
          <w:b/>
        </w:rPr>
        <w:t>Response:</w:t>
      </w:r>
      <w:r>
        <w:t xml:space="preserve"> We regret the oversig</w:t>
      </w:r>
      <w:r>
        <w:t xml:space="preserve">ht of not statistically analyzing the average types and doses of </w:t>
      </w:r>
      <w:proofErr w:type="spellStart"/>
      <w:r>
        <w:t>antidiabetic</w:t>
      </w:r>
      <w:proofErr w:type="spellEnd"/>
      <w:r>
        <w:t xml:space="preserve"> medication between the control and intervention groups. However, the primary medication used was metformin, with specific dose information now added to Table 1.</w:t>
      </w:r>
    </w:p>
    <w:p w:rsidR="001E05C9" w:rsidRDefault="001E05C9">
      <w:pPr>
        <w:spacing w:line="360" w:lineRule="auto"/>
      </w:pPr>
    </w:p>
    <w:p w:rsidR="001E05C9" w:rsidRDefault="00281256">
      <w:pPr>
        <w:spacing w:line="360" w:lineRule="auto"/>
      </w:pPr>
      <w:r>
        <w:t>4. Were any thes</w:t>
      </w:r>
      <w:r>
        <w:t>e patients taking lipid-lowering agents other than statins? Please also include average dose of statins received by the control versus the intervention group in table 1.</w:t>
      </w:r>
    </w:p>
    <w:p w:rsidR="001E05C9" w:rsidRDefault="00281256">
      <w:pPr>
        <w:spacing w:line="360" w:lineRule="auto"/>
      </w:pPr>
      <w:r>
        <w:rPr>
          <w:b/>
          <w:bCs/>
        </w:rPr>
        <w:t xml:space="preserve">Response: </w:t>
      </w:r>
      <w:r>
        <w:t>Apart from statins, no other lipid-lowering medications were administered. T</w:t>
      </w:r>
      <w:r>
        <w:t xml:space="preserve">he average </w:t>
      </w:r>
      <w:r>
        <w:lastRenderedPageBreak/>
        <w:t>dosage of statins, the lipid-lowering drugs used in both the experimental and control groups, has been incorporated into the revised Table 1.</w:t>
      </w:r>
    </w:p>
    <w:p w:rsidR="001E05C9" w:rsidRDefault="001E05C9">
      <w:pPr>
        <w:spacing w:line="360" w:lineRule="auto"/>
      </w:pPr>
    </w:p>
    <w:p w:rsidR="001E05C9" w:rsidRDefault="00281256">
      <w:pPr>
        <w:spacing w:line="360" w:lineRule="auto"/>
      </w:pPr>
      <w:r>
        <w:t xml:space="preserve">5. The arrow/curve X-Y graphs next to each bar </w:t>
      </w:r>
      <w:proofErr w:type="gramStart"/>
      <w:r>
        <w:t>graphs</w:t>
      </w:r>
      <w:proofErr w:type="gramEnd"/>
      <w:r>
        <w:t xml:space="preserve"> do not seem to add any value to the data already</w:t>
      </w:r>
      <w:r>
        <w:t xml:space="preserve"> represented in the bar graphs and hence are recommended to be removed. The interaction effect can be mentioned simply below the bar graphs.</w:t>
      </w:r>
    </w:p>
    <w:p w:rsidR="001E05C9" w:rsidRDefault="00281256">
      <w:pPr>
        <w:spacing w:line="360" w:lineRule="auto"/>
      </w:pPr>
      <w:r>
        <w:rPr>
          <w:b/>
        </w:rPr>
        <w:t>Response:</w:t>
      </w:r>
      <w:r>
        <w:t xml:space="preserve"> We agree that the X-Y graphs may not add significant value and have decided to remove them, simplifying t</w:t>
      </w:r>
      <w:r>
        <w:t>he presentation of our results as suggested.</w:t>
      </w:r>
    </w:p>
    <w:p w:rsidR="001E05C9" w:rsidRDefault="001E05C9">
      <w:pPr>
        <w:spacing w:line="360" w:lineRule="auto"/>
      </w:pPr>
    </w:p>
    <w:p w:rsidR="001E05C9" w:rsidRDefault="00281256">
      <w:pPr>
        <w:spacing w:line="360" w:lineRule="auto"/>
      </w:pPr>
      <w:r>
        <w:t xml:space="preserve">6. Throughout the results, the authors compare before treatment </w:t>
      </w:r>
      <w:proofErr w:type="spellStart"/>
      <w:r>
        <w:t>vs</w:t>
      </w:r>
      <w:proofErr w:type="spellEnd"/>
      <w:r>
        <w:t xml:space="preserve"> after treatment for each group. While this is a good comparison, in order to emphasize effect of intervention (</w:t>
      </w:r>
      <w:proofErr w:type="spellStart"/>
      <w:r>
        <w:t>empagliflozin</w:t>
      </w:r>
      <w:proofErr w:type="spellEnd"/>
      <w:r>
        <w:t xml:space="preserve">), it is important </w:t>
      </w:r>
      <w:r>
        <w:t xml:space="preserve">to statistically compare </w:t>
      </w:r>
      <w:proofErr w:type="gramStart"/>
      <w:r>
        <w:t>After</w:t>
      </w:r>
      <w:proofErr w:type="gramEnd"/>
      <w:r>
        <w:t xml:space="preserve"> treatment-control group versus After treatment-intervention group. Please highlight p-values for this comparison on the bar graphs. The </w:t>
      </w:r>
      <w:proofErr w:type="spellStart"/>
      <w:r>
        <w:t>renoprotective</w:t>
      </w:r>
      <w:proofErr w:type="spellEnd"/>
      <w:r>
        <w:t xml:space="preserve"> role on kidney function and metabolic parameters can only be claimed if af</w:t>
      </w:r>
      <w:r>
        <w:t>ter treatment values are significantly different between the control and intervention groups. Please revise the manuscript and claims accordingly.</w:t>
      </w:r>
    </w:p>
    <w:p w:rsidR="001E05C9" w:rsidRDefault="00281256">
      <w:pPr>
        <w:spacing w:line="360" w:lineRule="auto"/>
      </w:pPr>
      <w:r>
        <w:rPr>
          <w:b/>
        </w:rPr>
        <w:t>Response:</w:t>
      </w:r>
      <w:r>
        <w:t xml:space="preserve"> We have added P-values on the bar graphs in all figures to emphasize the comparative effectiveness </w:t>
      </w:r>
      <w:r>
        <w:t xml:space="preserve">between the two groups after </w:t>
      </w:r>
      <w:proofErr w:type="spellStart"/>
      <w:r>
        <w:t>Empagliflozin</w:t>
      </w:r>
      <w:proofErr w:type="spellEnd"/>
      <w:r>
        <w:t xml:space="preserve"> treatment, elucidating the protective effect of statin medication on the kidneys. Additionally, we have supplemented the legends of the figures to explain the significance of the symbols denoting differences.</w:t>
      </w:r>
    </w:p>
    <w:p w:rsidR="001E05C9" w:rsidRDefault="001E05C9">
      <w:pPr>
        <w:spacing w:line="360" w:lineRule="auto"/>
      </w:pPr>
    </w:p>
    <w:p w:rsidR="001E05C9" w:rsidRDefault="00281256">
      <w:pPr>
        <w:spacing w:line="360" w:lineRule="auto"/>
      </w:pPr>
      <w:r>
        <w:t>Min</w:t>
      </w:r>
      <w:r>
        <w:t>or comment:</w:t>
      </w:r>
    </w:p>
    <w:p w:rsidR="001E05C9" w:rsidRDefault="00281256">
      <w:pPr>
        <w:spacing w:line="360" w:lineRule="auto"/>
      </w:pPr>
      <w:r>
        <w:t>1. If the after treatment-HbA1c values are available - please plot in figure 2.S</w:t>
      </w:r>
    </w:p>
    <w:p w:rsidR="001E05C9" w:rsidRDefault="00281256">
      <w:pPr>
        <w:spacing w:line="360" w:lineRule="auto"/>
      </w:pPr>
      <w:r>
        <w:rPr>
          <w:b/>
        </w:rPr>
        <w:t>Response:</w:t>
      </w:r>
      <w:r>
        <w:t xml:space="preserve"> After treatment with </w:t>
      </w:r>
      <w:proofErr w:type="spellStart"/>
      <w:r>
        <w:t>Englitazone</w:t>
      </w:r>
      <w:proofErr w:type="spellEnd"/>
      <w:r>
        <w:t>, there was also an improvement in the levels of HbA1c. The statistically adjusted changes in HbA1c levels have been inco</w:t>
      </w:r>
      <w:r>
        <w:t>rporated into the revised Table 2 and Figure 2C, aiming to enhance the comprehensiveness of glycemic assessment parameters.</w:t>
      </w:r>
    </w:p>
    <w:p w:rsidR="001E05C9" w:rsidRDefault="001E05C9">
      <w:pPr>
        <w:spacing w:line="360" w:lineRule="auto"/>
      </w:pPr>
    </w:p>
    <w:p w:rsidR="001E05C9" w:rsidRDefault="00281256">
      <w:pPr>
        <w:spacing w:line="360" w:lineRule="auto"/>
      </w:pPr>
      <w:r>
        <w:rPr>
          <w:b/>
        </w:rPr>
        <w:t>Reviewer #2:</w:t>
      </w:r>
      <w:r>
        <w:t xml:space="preserve"> The manuscript by Zhang C et al. titled </w:t>
      </w:r>
      <w:proofErr w:type="gramStart"/>
      <w:r>
        <w:t xml:space="preserve">" </w:t>
      </w:r>
      <w:proofErr w:type="spellStart"/>
      <w:r>
        <w:t>Empagliflozin's</w:t>
      </w:r>
      <w:proofErr w:type="spellEnd"/>
      <w:proofErr w:type="gramEnd"/>
      <w:r>
        <w:t xml:space="preserve"> Role in Early Tubular Protection for Type 2 Diabetes" presen</w:t>
      </w:r>
      <w:r>
        <w:t xml:space="preserve">ts findings from a randomized controlled clinical trial evaluating the impact of the SGLT2 inhibitor </w:t>
      </w:r>
      <w:proofErr w:type="spellStart"/>
      <w:r>
        <w:t>empagliflozin</w:t>
      </w:r>
      <w:proofErr w:type="spellEnd"/>
      <w:r>
        <w:t xml:space="preserve"> on early tubular injury biomarkers in type 2 diabetes patients with normal albuminuria. The study focused on assessing KIM-1 and </w:t>
      </w:r>
      <w:r>
        <w:lastRenderedPageBreak/>
        <w:t>NGAL from ur</w:t>
      </w:r>
      <w:r>
        <w:t xml:space="preserve">ine as early tubular injury biomarkers. The results indicated that </w:t>
      </w:r>
      <w:proofErr w:type="spellStart"/>
      <w:r>
        <w:t>empagliflozin</w:t>
      </w:r>
      <w:proofErr w:type="spellEnd"/>
      <w:r>
        <w:t xml:space="preserve"> treatment led to improvements in these biomarkers, suggesting a potential role in early renal protection for type 2 diabetes patients. However, there are some points should be</w:t>
      </w:r>
      <w:r>
        <w:t xml:space="preserve"> addressed as following:</w:t>
      </w:r>
    </w:p>
    <w:p w:rsidR="001E05C9" w:rsidRDefault="00281256">
      <w:pPr>
        <w:spacing w:line="360" w:lineRule="auto"/>
      </w:pPr>
      <w:r>
        <w:t>1 Page 1, please change the abstract into English</w:t>
      </w:r>
    </w:p>
    <w:p w:rsidR="001E05C9" w:rsidRDefault="00281256">
      <w:pPr>
        <w:spacing w:line="360" w:lineRule="auto"/>
      </w:pPr>
      <w:r>
        <w:rPr>
          <w:b/>
        </w:rPr>
        <w:t>Response:</w:t>
      </w:r>
      <w:r>
        <w:t xml:space="preserve"> We apologize for the oversight. The abstract has been translated into English to ensure it is accessible to all readers.</w:t>
      </w:r>
    </w:p>
    <w:p w:rsidR="001E05C9" w:rsidRDefault="001E05C9">
      <w:pPr>
        <w:spacing w:line="360" w:lineRule="auto"/>
      </w:pPr>
    </w:p>
    <w:p w:rsidR="001E05C9" w:rsidRDefault="00281256">
      <w:pPr>
        <w:spacing w:line="360" w:lineRule="auto"/>
      </w:pPr>
      <w:r>
        <w:t>2 Table 2, since there is an improvement of fasti</w:t>
      </w:r>
      <w:r>
        <w:t>ng blood glucose level in treatment group and control group, what is the HbA1c level of these two group after treatment? Is there any improvement as well?</w:t>
      </w:r>
    </w:p>
    <w:p w:rsidR="001E05C9" w:rsidRDefault="00281256">
      <w:pPr>
        <w:spacing w:line="360" w:lineRule="auto"/>
      </w:pPr>
      <w:r>
        <w:rPr>
          <w:b/>
        </w:rPr>
        <w:t>Response:</w:t>
      </w:r>
      <w:r>
        <w:t xml:space="preserve"> Following </w:t>
      </w:r>
      <w:proofErr w:type="spellStart"/>
      <w:r>
        <w:t>Englitazone</w:t>
      </w:r>
      <w:proofErr w:type="spellEnd"/>
      <w:r>
        <w:t xml:space="preserve"> treatment, the levels of HbA1c showed improvement. We have included the statistically adjusted changes in HbA1c levels in the revised Table 2 and Figure 2C.</w:t>
      </w:r>
    </w:p>
    <w:p w:rsidR="001E05C9" w:rsidRDefault="001E05C9">
      <w:pPr>
        <w:spacing w:line="360" w:lineRule="auto"/>
      </w:pPr>
    </w:p>
    <w:p w:rsidR="001E05C9" w:rsidRDefault="00281256">
      <w:pPr>
        <w:spacing w:line="360" w:lineRule="auto"/>
      </w:pPr>
      <w:r>
        <w:t>3 The authors used tubule injury markers KIM-1 and NGAL to assess the progr</w:t>
      </w:r>
      <w:r>
        <w:t xml:space="preserve">ession of DN. Does the expression of these markers </w:t>
      </w:r>
      <w:proofErr w:type="spellStart"/>
      <w:r>
        <w:t>corelated</w:t>
      </w:r>
      <w:proofErr w:type="spellEnd"/>
      <w:r>
        <w:t xml:space="preserve"> with the level of ACR or </w:t>
      </w:r>
      <w:proofErr w:type="spellStart"/>
      <w:r>
        <w:t>eGFR</w:t>
      </w:r>
      <w:proofErr w:type="spellEnd"/>
      <w:r>
        <w:t xml:space="preserve"> in these patients?</w:t>
      </w:r>
    </w:p>
    <w:p w:rsidR="001E05C9" w:rsidRDefault="00281256">
      <w:pPr>
        <w:spacing w:line="360" w:lineRule="auto"/>
      </w:pPr>
      <w:r>
        <w:rPr>
          <w:b/>
        </w:rPr>
        <w:t>Response:</w:t>
      </w:r>
      <w:r>
        <w:t xml:space="preserve"> When </w:t>
      </w:r>
      <w:proofErr w:type="spellStart"/>
      <w:r>
        <w:t>eGFR</w:t>
      </w:r>
      <w:proofErr w:type="spellEnd"/>
      <w:r>
        <w:t xml:space="preserve"> increases, it signifies an improvement in renal filtration function. Given that the decrease in KIM-1 and NGAL levels is typic</w:t>
      </w:r>
      <w:r>
        <w:t xml:space="preserve">ally associated with reduced renal damage, it can be inferred that the improvement in </w:t>
      </w:r>
      <w:proofErr w:type="spellStart"/>
      <w:r>
        <w:t>eGFR</w:t>
      </w:r>
      <w:proofErr w:type="spellEnd"/>
      <w:r>
        <w:t xml:space="preserve"> may be linked to the decrease in KIM-1 and NGAL levels. We utilized KIM-1 and NGAL to assess the progression of Diabetic Nephropathy in the study, which is correlate</w:t>
      </w:r>
      <w:r>
        <w:t xml:space="preserve">d with the improvement in </w:t>
      </w:r>
      <w:proofErr w:type="spellStart"/>
      <w:r>
        <w:t>eGFR</w:t>
      </w:r>
      <w:proofErr w:type="spellEnd"/>
      <w:r>
        <w:t xml:space="preserve"> (PMID: 33951537). The relevant section discussed in the article has been revised accordingly.</w:t>
      </w:r>
    </w:p>
    <w:p w:rsidR="001E05C9" w:rsidRDefault="001E05C9">
      <w:pPr>
        <w:spacing w:line="360" w:lineRule="auto"/>
      </w:pPr>
    </w:p>
    <w:p w:rsidR="001E05C9" w:rsidRDefault="00281256">
      <w:pPr>
        <w:spacing w:line="360" w:lineRule="auto"/>
      </w:pPr>
      <w:r>
        <w:t xml:space="preserve">4 Table 3, </w:t>
      </w:r>
      <w:proofErr w:type="gramStart"/>
      <w:r>
        <w:t>It</w:t>
      </w:r>
      <w:proofErr w:type="gramEnd"/>
      <w:r>
        <w:t xml:space="preserve"> seems like ACR in control group also decreased after treatment? How to explain this result?</w:t>
      </w:r>
    </w:p>
    <w:p w:rsidR="001E05C9" w:rsidRDefault="00281256">
      <w:pPr>
        <w:spacing w:line="360" w:lineRule="auto"/>
      </w:pPr>
      <w:r>
        <w:rPr>
          <w:b/>
        </w:rPr>
        <w:t>Response:</w:t>
      </w:r>
      <w:r>
        <w:t xml:space="preserve"> While the cont</w:t>
      </w:r>
      <w:r>
        <w:t xml:space="preserve">rol group showed changes in ACR values before and after treatment, these changes did not reach statistical significance (P &gt; 0.05). ACR values only reflect the ratio of urinary albumin to </w:t>
      </w:r>
      <w:proofErr w:type="spellStart"/>
      <w:r>
        <w:t>creatinine</w:t>
      </w:r>
      <w:proofErr w:type="spellEnd"/>
      <w:r>
        <w:t xml:space="preserve"> and do not fully represent overall kidney function. Renal</w:t>
      </w:r>
      <w:r>
        <w:t xml:space="preserve"> function encompasses several aspects such as filtration, reabsorption, and secretion, whereas ACR values only reflect one of these aspects. Nonetheless, patients in both groups exhibited stabilized blood glucose levels during treatment, a phenomenon usual</w:t>
      </w:r>
      <w:r>
        <w:t>ly associated with a reduction in urinary albumin. In a hyperglycemic state, glucose may pass through damaged glomerular filtration membranes into the urine, resulting in positive urine protein. Controlling blood glucose improves the function of the glomer</w:t>
      </w:r>
      <w:r>
        <w:t>ular filtration membranes, consequently reducing the production of urine protein. Therefore, the slight decrease in ACR may be attributed to the stable blood glucose levels in the patients.</w:t>
      </w:r>
    </w:p>
    <w:p w:rsidR="001E05C9" w:rsidRDefault="001E05C9">
      <w:pPr>
        <w:spacing w:line="360" w:lineRule="auto"/>
      </w:pPr>
    </w:p>
    <w:p w:rsidR="001E05C9" w:rsidRDefault="00281256">
      <w:pPr>
        <w:spacing w:line="360" w:lineRule="auto"/>
      </w:pPr>
      <w:r>
        <w:t xml:space="preserve">5 Since there are so many trials already showed that </w:t>
      </w:r>
      <w:proofErr w:type="spellStart"/>
      <w:r>
        <w:t>Empagliflozi</w:t>
      </w:r>
      <w:r>
        <w:t>n</w:t>
      </w:r>
      <w:proofErr w:type="spellEnd"/>
      <w:r>
        <w:t xml:space="preserve"> and other SGLT2 inhibitors could improve and protect tubule injury and DN progression, please discuss further what is the novelty and uniqueness of this study.</w:t>
      </w:r>
    </w:p>
    <w:p w:rsidR="001E05C9" w:rsidRDefault="00281256">
      <w:pPr>
        <w:spacing w:line="360" w:lineRule="auto"/>
        <w:rPr>
          <w:rFonts w:eastAsia="宋体"/>
        </w:rPr>
      </w:pPr>
      <w:r>
        <w:rPr>
          <w:b/>
        </w:rPr>
        <w:t>Response:</w:t>
      </w:r>
      <w:r>
        <w:t xml:space="preserve"> Previous research has documented the ability of the SGLT2 inhibitor </w:t>
      </w:r>
      <w:proofErr w:type="spellStart"/>
      <w:r>
        <w:t>empagliflozin</w:t>
      </w:r>
      <w:proofErr w:type="spellEnd"/>
      <w:r>
        <w:t xml:space="preserve"> to</w:t>
      </w:r>
      <w:r>
        <w:t xml:space="preserve"> improve diabetic nephropathy in type 2 diabetes (PMID: 37616058). This study reveals a significant impact of </w:t>
      </w:r>
      <w:proofErr w:type="spellStart"/>
      <w:r>
        <w:t>empagliflozin</w:t>
      </w:r>
      <w:proofErr w:type="spellEnd"/>
      <w:r>
        <w:t>, an SGLT2 inhibitor, in reducing the markers of tubular damage, KIM-1, and NGAL in early-stage type 2 diabetes patients (Figure 10).</w:t>
      </w:r>
      <w:r>
        <w:t xml:space="preserve"> In comparison to previous studies, our research is the first to report on </w:t>
      </w:r>
      <w:proofErr w:type="spellStart"/>
      <w:r>
        <w:t>empagliflozin's</w:t>
      </w:r>
      <w:proofErr w:type="spellEnd"/>
      <w:r>
        <w:t xml:space="preserve"> capacity to ameliorate glomerular damage by reducing KIM-1, A1M, B2M, and NGAL levels. The results of this study demonstrate </w:t>
      </w:r>
      <w:proofErr w:type="spellStart"/>
      <w:r>
        <w:t>empagliflozin's</w:t>
      </w:r>
      <w:proofErr w:type="spellEnd"/>
      <w:r>
        <w:t xml:space="preserve"> dual regulatory effects </w:t>
      </w:r>
      <w:r>
        <w:t>on blood glucose and lipid levels. Taken together, this study offers a new therapeutic strategy and target for the protection of the kidneys in type 2 diabetic patients.</w:t>
      </w:r>
    </w:p>
    <w:sectPr w:rsidR="001E05C9">
      <w:pgSz w:w="11906" w:h="16838"/>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05C9" w:rsidRDefault="00281256">
      <w:pPr>
        <w:spacing w:line="240" w:lineRule="auto"/>
      </w:pPr>
      <w:r>
        <w:separator/>
      </w:r>
    </w:p>
  </w:endnote>
  <w:endnote w:type="continuationSeparator" w:id="0">
    <w:p w:rsidR="001E05C9" w:rsidRDefault="0028125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05C9" w:rsidRDefault="00281256">
      <w:r>
        <w:separator/>
      </w:r>
    </w:p>
  </w:footnote>
  <w:footnote w:type="continuationSeparator" w:id="0">
    <w:p w:rsidR="001E05C9" w:rsidRDefault="002812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420"/>
  <w:drawingGridHorizontalSpacing w:val="105"/>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Y2MjI2M2JhNTAxZDE1YjFiMzczYWNmMWVkNjAyNjkifQ=="/>
  </w:docVars>
  <w:rsids>
    <w:rsidRoot w:val="001D33E5"/>
    <w:rsid w:val="00000950"/>
    <w:rsid w:val="000231A1"/>
    <w:rsid w:val="00036044"/>
    <w:rsid w:val="00091775"/>
    <w:rsid w:val="001159BF"/>
    <w:rsid w:val="001225B9"/>
    <w:rsid w:val="0012534E"/>
    <w:rsid w:val="00141067"/>
    <w:rsid w:val="001435DE"/>
    <w:rsid w:val="00153EC9"/>
    <w:rsid w:val="00160623"/>
    <w:rsid w:val="00173A50"/>
    <w:rsid w:val="001768AE"/>
    <w:rsid w:val="0018122B"/>
    <w:rsid w:val="001D33E5"/>
    <w:rsid w:val="001E05C9"/>
    <w:rsid w:val="00222AF0"/>
    <w:rsid w:val="002241DC"/>
    <w:rsid w:val="00262369"/>
    <w:rsid w:val="0027386C"/>
    <w:rsid w:val="00281256"/>
    <w:rsid w:val="002B2BFE"/>
    <w:rsid w:val="002B7B78"/>
    <w:rsid w:val="002C1DD1"/>
    <w:rsid w:val="002D49DD"/>
    <w:rsid w:val="00351912"/>
    <w:rsid w:val="00351F9E"/>
    <w:rsid w:val="00397171"/>
    <w:rsid w:val="003A2E7A"/>
    <w:rsid w:val="003C6937"/>
    <w:rsid w:val="003F3262"/>
    <w:rsid w:val="0045178C"/>
    <w:rsid w:val="004572BD"/>
    <w:rsid w:val="00487E54"/>
    <w:rsid w:val="005433C6"/>
    <w:rsid w:val="00572EDD"/>
    <w:rsid w:val="005E0953"/>
    <w:rsid w:val="0061204D"/>
    <w:rsid w:val="00637645"/>
    <w:rsid w:val="006413DF"/>
    <w:rsid w:val="00654B4B"/>
    <w:rsid w:val="006B5788"/>
    <w:rsid w:val="006F0174"/>
    <w:rsid w:val="00705C9A"/>
    <w:rsid w:val="00712B7B"/>
    <w:rsid w:val="0072761D"/>
    <w:rsid w:val="007416FF"/>
    <w:rsid w:val="0075601F"/>
    <w:rsid w:val="00773ECE"/>
    <w:rsid w:val="00783995"/>
    <w:rsid w:val="00785B9C"/>
    <w:rsid w:val="007871CB"/>
    <w:rsid w:val="007A4736"/>
    <w:rsid w:val="007C2B7F"/>
    <w:rsid w:val="007D2AF4"/>
    <w:rsid w:val="007E36BC"/>
    <w:rsid w:val="0086241C"/>
    <w:rsid w:val="008C2E0A"/>
    <w:rsid w:val="008F37CC"/>
    <w:rsid w:val="00915CA6"/>
    <w:rsid w:val="00935139"/>
    <w:rsid w:val="00971E49"/>
    <w:rsid w:val="00987107"/>
    <w:rsid w:val="00992CB8"/>
    <w:rsid w:val="00A8116B"/>
    <w:rsid w:val="00AD6A81"/>
    <w:rsid w:val="00B51082"/>
    <w:rsid w:val="00B97695"/>
    <w:rsid w:val="00BC03C8"/>
    <w:rsid w:val="00BC2224"/>
    <w:rsid w:val="00BD34BF"/>
    <w:rsid w:val="00BF45EA"/>
    <w:rsid w:val="00C4449E"/>
    <w:rsid w:val="00CC3497"/>
    <w:rsid w:val="00CD4027"/>
    <w:rsid w:val="00CD5845"/>
    <w:rsid w:val="00CE28BD"/>
    <w:rsid w:val="00CE2FB1"/>
    <w:rsid w:val="00CF3B0D"/>
    <w:rsid w:val="00CF720B"/>
    <w:rsid w:val="00D00A67"/>
    <w:rsid w:val="00D02EC6"/>
    <w:rsid w:val="00D23D5D"/>
    <w:rsid w:val="00DB01D2"/>
    <w:rsid w:val="00DC6587"/>
    <w:rsid w:val="00E17D2E"/>
    <w:rsid w:val="00E4715F"/>
    <w:rsid w:val="00EA1BFD"/>
    <w:rsid w:val="00ED4831"/>
    <w:rsid w:val="00ED65D4"/>
    <w:rsid w:val="00EF4300"/>
    <w:rsid w:val="00EF6A95"/>
    <w:rsid w:val="00F21723"/>
    <w:rsid w:val="00F46CDE"/>
    <w:rsid w:val="00FB2B3D"/>
    <w:rsid w:val="00FB7867"/>
    <w:rsid w:val="00FE0781"/>
    <w:rsid w:val="00FF6E6B"/>
    <w:rsid w:val="03575C81"/>
    <w:rsid w:val="03C2134C"/>
    <w:rsid w:val="08A234FA"/>
    <w:rsid w:val="08E95BA0"/>
    <w:rsid w:val="09691401"/>
    <w:rsid w:val="108B5275"/>
    <w:rsid w:val="10FD643F"/>
    <w:rsid w:val="110E3E23"/>
    <w:rsid w:val="12C10A21"/>
    <w:rsid w:val="12DA1156"/>
    <w:rsid w:val="149D4CC4"/>
    <w:rsid w:val="14CF2124"/>
    <w:rsid w:val="16DC22CD"/>
    <w:rsid w:val="1939453A"/>
    <w:rsid w:val="1ACD76BE"/>
    <w:rsid w:val="1C3B7A96"/>
    <w:rsid w:val="1E5D3CF4"/>
    <w:rsid w:val="1F5A35D2"/>
    <w:rsid w:val="205E3D53"/>
    <w:rsid w:val="25695674"/>
    <w:rsid w:val="28812CD5"/>
    <w:rsid w:val="2E0515E5"/>
    <w:rsid w:val="2E3438AE"/>
    <w:rsid w:val="2F3B3E36"/>
    <w:rsid w:val="303643A5"/>
    <w:rsid w:val="304E7940"/>
    <w:rsid w:val="30FF50DE"/>
    <w:rsid w:val="417654C6"/>
    <w:rsid w:val="43E3619A"/>
    <w:rsid w:val="48943F06"/>
    <w:rsid w:val="493A4AAE"/>
    <w:rsid w:val="4BE5149F"/>
    <w:rsid w:val="4F602546"/>
    <w:rsid w:val="4FA32757"/>
    <w:rsid w:val="567158A4"/>
    <w:rsid w:val="582C7CB7"/>
    <w:rsid w:val="5EFF7ED4"/>
    <w:rsid w:val="611B6454"/>
    <w:rsid w:val="628233E4"/>
    <w:rsid w:val="62D33B51"/>
    <w:rsid w:val="635A5B72"/>
    <w:rsid w:val="65257F68"/>
    <w:rsid w:val="66E75E1D"/>
    <w:rsid w:val="696848C8"/>
    <w:rsid w:val="6C3D028D"/>
    <w:rsid w:val="6F0438F0"/>
    <w:rsid w:val="6F0F5F11"/>
    <w:rsid w:val="6F4638FD"/>
    <w:rsid w:val="717B3F21"/>
    <w:rsid w:val="729D7567"/>
    <w:rsid w:val="72B172DF"/>
    <w:rsid w:val="73702CF6"/>
    <w:rsid w:val="743D556E"/>
    <w:rsid w:val="78656BA2"/>
    <w:rsid w:val="796E77C6"/>
    <w:rsid w:val="7A1F6D4F"/>
    <w:rsid w:val="7CAF4E91"/>
    <w:rsid w:val="7D9C3282"/>
    <w:rsid w:val="7E1413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pacing w:line="480" w:lineRule="auto"/>
      <w:jc w:val="both"/>
    </w:pPr>
    <w:rPr>
      <w:rFonts w:eastAsiaTheme="minorEastAsia"/>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unhideWhenUsed/>
    <w:pPr>
      <w:jc w:val="left"/>
    </w:pPr>
  </w:style>
  <w:style w:type="paragraph" w:styleId="a4">
    <w:name w:val="Balloon Text"/>
    <w:basedOn w:val="a"/>
    <w:link w:val="Char0"/>
    <w:uiPriority w:val="99"/>
    <w:semiHidden/>
    <w:unhideWhenUsed/>
    <w:qFormat/>
    <w:rPr>
      <w:sz w:val="18"/>
      <w:szCs w:val="18"/>
    </w:rPr>
  </w:style>
  <w:style w:type="paragraph" w:styleId="a5">
    <w:name w:val="footer"/>
    <w:basedOn w:val="a"/>
    <w:link w:val="Char1"/>
    <w:uiPriority w:val="99"/>
    <w:unhideWhenUsed/>
    <w:pPr>
      <w:tabs>
        <w:tab w:val="center" w:pos="4153"/>
        <w:tab w:val="right" w:pos="8306"/>
      </w:tabs>
      <w:snapToGrid w:val="0"/>
      <w:jc w:val="left"/>
    </w:pPr>
    <w:rPr>
      <w:sz w:val="18"/>
      <w:szCs w:val="18"/>
    </w:rPr>
  </w:style>
  <w:style w:type="paragraph" w:styleId="a6">
    <w:name w:val="header"/>
    <w:basedOn w:val="a"/>
    <w:link w:val="Char2"/>
    <w:uiPriority w:val="99"/>
    <w:unhideWhenUsed/>
    <w:pPr>
      <w:pBdr>
        <w:bottom w:val="single" w:sz="6" w:space="1" w:color="auto"/>
      </w:pBdr>
      <w:tabs>
        <w:tab w:val="center" w:pos="4153"/>
        <w:tab w:val="right" w:pos="8306"/>
      </w:tabs>
      <w:snapToGrid w:val="0"/>
      <w:jc w:val="center"/>
    </w:pPr>
    <w:rPr>
      <w:sz w:val="18"/>
      <w:szCs w:val="18"/>
    </w:rPr>
  </w:style>
  <w:style w:type="paragraph" w:styleId="a7">
    <w:name w:val="annotation subject"/>
    <w:basedOn w:val="a3"/>
    <w:next w:val="a3"/>
    <w:link w:val="Char3"/>
    <w:uiPriority w:val="99"/>
    <w:semiHidden/>
    <w:unhideWhenUsed/>
    <w:rPr>
      <w:b/>
      <w:bCs/>
    </w:rPr>
  </w:style>
  <w:style w:type="character" w:styleId="a8">
    <w:name w:val="Strong"/>
    <w:qFormat/>
    <w:rPr>
      <w:b/>
    </w:rPr>
  </w:style>
  <w:style w:type="character" w:styleId="a9">
    <w:name w:val="annotation reference"/>
    <w:basedOn w:val="a0"/>
    <w:uiPriority w:val="99"/>
    <w:semiHidden/>
    <w:unhideWhenUsed/>
    <w:rPr>
      <w:sz w:val="21"/>
      <w:szCs w:val="21"/>
    </w:rPr>
  </w:style>
  <w:style w:type="character" w:customStyle="1" w:styleId="Char2">
    <w:name w:val="页眉 Char"/>
    <w:basedOn w:val="a0"/>
    <w:link w:val="a6"/>
    <w:uiPriority w:val="99"/>
    <w:rPr>
      <w:sz w:val="18"/>
      <w:szCs w:val="18"/>
    </w:rPr>
  </w:style>
  <w:style w:type="character" w:customStyle="1" w:styleId="Char1">
    <w:name w:val="页脚 Char"/>
    <w:basedOn w:val="a0"/>
    <w:link w:val="a5"/>
    <w:autoRedefine/>
    <w:uiPriority w:val="99"/>
    <w:rPr>
      <w:sz w:val="18"/>
      <w:szCs w:val="18"/>
    </w:rPr>
  </w:style>
  <w:style w:type="character" w:customStyle="1" w:styleId="Char0">
    <w:name w:val="批注框文本 Char"/>
    <w:basedOn w:val="a0"/>
    <w:link w:val="a4"/>
    <w:uiPriority w:val="99"/>
    <w:semiHidden/>
    <w:rPr>
      <w:rFonts w:asciiTheme="minorHAnsi" w:eastAsiaTheme="minorEastAsia" w:hAnsiTheme="minorHAnsi" w:cstheme="minorBidi"/>
      <w:kern w:val="2"/>
      <w:sz w:val="18"/>
      <w:szCs w:val="18"/>
    </w:rPr>
  </w:style>
  <w:style w:type="character" w:customStyle="1" w:styleId="Char">
    <w:name w:val="批注文字 Char"/>
    <w:basedOn w:val="a0"/>
    <w:link w:val="a3"/>
    <w:uiPriority w:val="99"/>
    <w:qFormat/>
    <w:rPr>
      <w:rFonts w:asciiTheme="minorHAnsi" w:eastAsiaTheme="minorEastAsia" w:hAnsiTheme="minorHAnsi" w:cstheme="minorBidi"/>
      <w:kern w:val="2"/>
      <w:sz w:val="21"/>
      <w:szCs w:val="22"/>
    </w:rPr>
  </w:style>
  <w:style w:type="character" w:customStyle="1" w:styleId="Char3">
    <w:name w:val="批注主题 Char"/>
    <w:basedOn w:val="Char"/>
    <w:link w:val="a7"/>
    <w:uiPriority w:val="99"/>
    <w:semiHidden/>
    <w:qFormat/>
    <w:rPr>
      <w:rFonts w:asciiTheme="minorHAnsi" w:eastAsiaTheme="minorEastAsia" w:hAnsiTheme="minorHAnsi" w:cstheme="minorBidi"/>
      <w:b/>
      <w:bCs/>
      <w:kern w:val="2"/>
      <w:sz w:val="21"/>
      <w:szCs w:val="22"/>
    </w:rPr>
  </w:style>
  <w:style w:type="paragraph" w:customStyle="1" w:styleId="1">
    <w:name w:val="修订1"/>
    <w:hidden/>
    <w:uiPriority w:val="99"/>
    <w:semiHidden/>
    <w:qFormat/>
    <w:rPr>
      <w:rFonts w:asciiTheme="minorHAnsi" w:eastAsiaTheme="minorEastAsia" w:hAnsiTheme="minorHAnsi" w:cstheme="minorBidi"/>
      <w:kern w:val="2"/>
      <w:sz w:val="21"/>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pacing w:line="480" w:lineRule="auto"/>
      <w:jc w:val="both"/>
    </w:pPr>
    <w:rPr>
      <w:rFonts w:eastAsiaTheme="minorEastAsia"/>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unhideWhenUsed/>
    <w:pPr>
      <w:jc w:val="left"/>
    </w:pPr>
  </w:style>
  <w:style w:type="paragraph" w:styleId="a4">
    <w:name w:val="Balloon Text"/>
    <w:basedOn w:val="a"/>
    <w:link w:val="Char0"/>
    <w:uiPriority w:val="99"/>
    <w:semiHidden/>
    <w:unhideWhenUsed/>
    <w:qFormat/>
    <w:rPr>
      <w:sz w:val="18"/>
      <w:szCs w:val="18"/>
    </w:rPr>
  </w:style>
  <w:style w:type="paragraph" w:styleId="a5">
    <w:name w:val="footer"/>
    <w:basedOn w:val="a"/>
    <w:link w:val="Char1"/>
    <w:uiPriority w:val="99"/>
    <w:unhideWhenUsed/>
    <w:pPr>
      <w:tabs>
        <w:tab w:val="center" w:pos="4153"/>
        <w:tab w:val="right" w:pos="8306"/>
      </w:tabs>
      <w:snapToGrid w:val="0"/>
      <w:jc w:val="left"/>
    </w:pPr>
    <w:rPr>
      <w:sz w:val="18"/>
      <w:szCs w:val="18"/>
    </w:rPr>
  </w:style>
  <w:style w:type="paragraph" w:styleId="a6">
    <w:name w:val="header"/>
    <w:basedOn w:val="a"/>
    <w:link w:val="Char2"/>
    <w:uiPriority w:val="99"/>
    <w:unhideWhenUsed/>
    <w:pPr>
      <w:pBdr>
        <w:bottom w:val="single" w:sz="6" w:space="1" w:color="auto"/>
      </w:pBdr>
      <w:tabs>
        <w:tab w:val="center" w:pos="4153"/>
        <w:tab w:val="right" w:pos="8306"/>
      </w:tabs>
      <w:snapToGrid w:val="0"/>
      <w:jc w:val="center"/>
    </w:pPr>
    <w:rPr>
      <w:sz w:val="18"/>
      <w:szCs w:val="18"/>
    </w:rPr>
  </w:style>
  <w:style w:type="paragraph" w:styleId="a7">
    <w:name w:val="annotation subject"/>
    <w:basedOn w:val="a3"/>
    <w:next w:val="a3"/>
    <w:link w:val="Char3"/>
    <w:uiPriority w:val="99"/>
    <w:semiHidden/>
    <w:unhideWhenUsed/>
    <w:rPr>
      <w:b/>
      <w:bCs/>
    </w:rPr>
  </w:style>
  <w:style w:type="character" w:styleId="a8">
    <w:name w:val="Strong"/>
    <w:qFormat/>
    <w:rPr>
      <w:b/>
    </w:rPr>
  </w:style>
  <w:style w:type="character" w:styleId="a9">
    <w:name w:val="annotation reference"/>
    <w:basedOn w:val="a0"/>
    <w:uiPriority w:val="99"/>
    <w:semiHidden/>
    <w:unhideWhenUsed/>
    <w:rPr>
      <w:sz w:val="21"/>
      <w:szCs w:val="21"/>
    </w:rPr>
  </w:style>
  <w:style w:type="character" w:customStyle="1" w:styleId="Char2">
    <w:name w:val="页眉 Char"/>
    <w:basedOn w:val="a0"/>
    <w:link w:val="a6"/>
    <w:uiPriority w:val="99"/>
    <w:rPr>
      <w:sz w:val="18"/>
      <w:szCs w:val="18"/>
    </w:rPr>
  </w:style>
  <w:style w:type="character" w:customStyle="1" w:styleId="Char1">
    <w:name w:val="页脚 Char"/>
    <w:basedOn w:val="a0"/>
    <w:link w:val="a5"/>
    <w:autoRedefine/>
    <w:uiPriority w:val="99"/>
    <w:rPr>
      <w:sz w:val="18"/>
      <w:szCs w:val="18"/>
    </w:rPr>
  </w:style>
  <w:style w:type="character" w:customStyle="1" w:styleId="Char0">
    <w:name w:val="批注框文本 Char"/>
    <w:basedOn w:val="a0"/>
    <w:link w:val="a4"/>
    <w:uiPriority w:val="99"/>
    <w:semiHidden/>
    <w:rPr>
      <w:rFonts w:asciiTheme="minorHAnsi" w:eastAsiaTheme="minorEastAsia" w:hAnsiTheme="minorHAnsi" w:cstheme="minorBidi"/>
      <w:kern w:val="2"/>
      <w:sz w:val="18"/>
      <w:szCs w:val="18"/>
    </w:rPr>
  </w:style>
  <w:style w:type="character" w:customStyle="1" w:styleId="Char">
    <w:name w:val="批注文字 Char"/>
    <w:basedOn w:val="a0"/>
    <w:link w:val="a3"/>
    <w:uiPriority w:val="99"/>
    <w:qFormat/>
    <w:rPr>
      <w:rFonts w:asciiTheme="minorHAnsi" w:eastAsiaTheme="minorEastAsia" w:hAnsiTheme="minorHAnsi" w:cstheme="minorBidi"/>
      <w:kern w:val="2"/>
      <w:sz w:val="21"/>
      <w:szCs w:val="22"/>
    </w:rPr>
  </w:style>
  <w:style w:type="character" w:customStyle="1" w:styleId="Char3">
    <w:name w:val="批注主题 Char"/>
    <w:basedOn w:val="Char"/>
    <w:link w:val="a7"/>
    <w:uiPriority w:val="99"/>
    <w:semiHidden/>
    <w:qFormat/>
    <w:rPr>
      <w:rFonts w:asciiTheme="minorHAnsi" w:eastAsiaTheme="minorEastAsia" w:hAnsiTheme="minorHAnsi" w:cstheme="minorBidi"/>
      <w:b/>
      <w:bCs/>
      <w:kern w:val="2"/>
      <w:sz w:val="21"/>
      <w:szCs w:val="22"/>
    </w:rPr>
  </w:style>
  <w:style w:type="paragraph" w:customStyle="1" w:styleId="1">
    <w:name w:val="修订1"/>
    <w:hidden/>
    <w:uiPriority w:val="99"/>
    <w:semiHidden/>
    <w:qFormat/>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0D6D87-FD59-4F26-9030-7211C30F6A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1238</Words>
  <Characters>7062</Characters>
  <Application>Microsoft Office Word</Application>
  <DocSecurity>0</DocSecurity>
  <Lines>58</Lines>
  <Paragraphs>16</Paragraphs>
  <ScaleCrop>false</ScaleCrop>
  <Company>Microsoft</Company>
  <LinksUpToDate>false</LinksUpToDate>
  <CharactersWithSpaces>8284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Jiaying Li</dc:creator>
  <cp:lastModifiedBy>Windows 用户</cp:lastModifiedBy>
  <cp:revision>2</cp:revision>
  <dcterms:created xsi:type="dcterms:W3CDTF">2024-06-21T02:12:00Z</dcterms:created>
  <dcterms:modified xsi:type="dcterms:W3CDTF">2024-06-21T02:12:00Z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BAD618D67D7B4D779868BDE20C5A168B_12</vt:lpwstr>
  </property>
</Properties>
</file>