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DPI31text"/>
        <w:spacing w:lineRule="auto" w:line="480"/>
        <w:ind w:hanging="0" w:left="0"/>
        <w:rPr>
          <w:rFonts w:ascii="Calibri" w:hAnsi="Calibri" w:cs="Calibri" w:asciiTheme="minorHAnsi" w:cstheme="minorHAnsi" w:hAnsiTheme="minorHAnsi"/>
          <w:sz w:val="24"/>
          <w:szCs w:val="24"/>
        </w:rPr>
      </w:pPr>
      <w:bookmarkStart w:id="0" w:name="_Toc157181111"/>
      <w:bookmarkStart w:id="1" w:name="_Toc146629878"/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Additional file 4.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The abbreviation of clusters and subtypes in KPMP single cell RNA-Seq</w:t>
      </w:r>
      <w:bookmarkEnd w:id="0"/>
      <w:bookmarkEnd w:id="1"/>
      <w:r>
        <w:rPr>
          <w:rFonts w:cs="Calibri" w:ascii="Calibri" w:hAnsi="Calibri" w:asciiTheme="minorHAnsi" w:cstheme="minorHAnsi" w:hAnsiTheme="minorHAnsi"/>
          <w:sz w:val="24"/>
          <w:szCs w:val="24"/>
        </w:rPr>
        <w:t>.</w:t>
      </w:r>
    </w:p>
    <w:tbl>
      <w:tblPr>
        <w:tblW w:w="8500" w:type="dxa"/>
        <w:jc w:val="left"/>
        <w:tblInd w:w="0" w:type="dxa"/>
        <w:tblLayout w:type="fixed"/>
        <w:tblCellMar>
          <w:top w:w="1" w:type="dxa"/>
          <w:left w:w="1" w:type="dxa"/>
          <w:bottom w:w="0" w:type="dxa"/>
          <w:right w:w="1" w:type="dxa"/>
        </w:tblCellMar>
        <w:tblLook w:firstRow="0" w:noVBand="1" w:lastRow="0" w:firstColumn="0" w:lastColumn="0" w:noHBand="1" w:val="0600"/>
      </w:tblPr>
      <w:tblGrid>
        <w:gridCol w:w="1643"/>
        <w:gridCol w:w="6856"/>
      </w:tblGrid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Abbreviation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Full Name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cycEC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Endothelial Cell (cycling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2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EC-AEA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Afferent / Efferent Arteriole Endothelial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B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B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cDC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Classical Dendritic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CNT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Connecting Tubule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dCNT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Connecting Tubule Cell (degenerative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3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CNT-IC-A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Connecting Tubule Intercalated Cell Type A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CNT-PC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Connecting Tubule Principal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dCNT-PC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Connecting Tubule Principal Cell (degenerative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3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C-TAL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Cortical Thick Ascending Limb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dC-TAL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Cortical Thick Ascending Limb Cell (degenerative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3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T-CYT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Cytotoxic T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DTL1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Descending Thin Limb Cell Type 1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dDCT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Distal Convoluted Tubule Cell (degenerative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3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DCT1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Distal Convoluted Tubule Cell Type 1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cycEPI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Epithelial Cell (cycling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2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FIB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Fibroblast</w:t>
            </w:r>
          </w:p>
        </w:tc>
      </w:tr>
      <w:tr>
        <w:trPr>
          <w:trHeight w:val="15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aFIB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Fibroblast (maladaptive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1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EC-GC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Glomerular Capillary Endothelial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IC-A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Intercalated Cell Type A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dIC-A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Intercalated Cell Type A (degenerative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3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IC-B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Intercalated Cell Type B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EC-LYM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Lymphatic Endothelial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MAC-M2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M2-Macrophage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MAST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Mast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M-TAL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Medullary Thick Ascending Limb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Mesangial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MON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Monocyte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MDC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Monocyte-derived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cycMNP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Mononuclear Phagocyte (cycling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2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MyoF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Myofibroblast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NK1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Natural Killer Cell Type 1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NK2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Natural Killer Cell Type 2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NKT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Natural Killer T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ncMON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Non-classical Monocyte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PEC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Parietal Epithelial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EC-PTC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Peritubular Capillary Endothelial Cell</w:t>
            </w:r>
          </w:p>
        </w:tc>
      </w:tr>
      <w:tr>
        <w:trPr>
          <w:trHeight w:val="15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dEC-PTC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Peritubular Capillary Endothelial Cell (degenerative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3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PL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Plasma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pDC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Plasmacytoid Dendritic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POD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Podocyte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Principal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dPC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Principal Cell (degenerative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3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tPC-IC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Principal-Intercalated Cell (transitional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4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91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aPT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Proximal Tubule Epithelial Cell (repairing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1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dPT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Proximal Tubule Epithelial Cell (degenerative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3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91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dPT/DTL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Proximal Tubule Epithelial Cell / Descending Thin Limb Cell (degenerative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3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PT-S1/S2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  <w:lang w:val="fr-FR"/>
              </w:rPr>
              <w:t>Proximal Tubule Epithelial Cell Segment 1 / Segment 2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PT-S3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Proximal Tubule Epithelial Cell Segment 3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T-REG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Regulatory T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REN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Renin-positive Juxtaglomerular Granular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T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T Cell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cycT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T Cell (cycling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2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91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aTAL1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Thick Ascending Limb Cell Cluster 1 (repairing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1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91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aTAL2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Thick Ascending Limb Cell Cluster 2 (repairing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1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dVSMC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Vascular Smooth Muscle Cell (degenerative</w:t>
            </w:r>
            <w:r>
              <w:rPr>
                <w:rFonts w:eastAsia="Times New Roman" w:cs="Arial"/>
                <w:color w:themeColor="text1" w:val="000000"/>
                <w:kern w:val="2"/>
                <w:position w:val="6"/>
                <w:sz w:val="22"/>
                <w:szCs w:val="22"/>
              </w:rPr>
              <w:t>3</w:t>
            </w: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)</w:t>
            </w:r>
          </w:p>
        </w:tc>
      </w:tr>
      <w:tr>
        <w:trPr>
          <w:trHeight w:val="129" w:hRule="atLeast"/>
        </w:trPr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VSMC/P</w:t>
            </w:r>
          </w:p>
        </w:tc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76"/>
              <w:textAlignment w:val="bottom"/>
              <w:rPr>
                <w:rFonts w:eastAsia="Times New Roman" w:cs="Arial"/>
                <w:color w:themeColor="text1" w:val="000000"/>
                <w:sz w:val="22"/>
                <w:szCs w:val="22"/>
              </w:rPr>
            </w:pPr>
            <w:r>
              <w:rPr>
                <w:rFonts w:eastAsia="Times New Roman" w:cs="Arial"/>
                <w:color w:themeColor="text1" w:val="000000"/>
                <w:kern w:val="2"/>
                <w:sz w:val="22"/>
                <w:szCs w:val="22"/>
              </w:rPr>
              <w:t>Vascular Smooth Muscle Cell / Pericyte</w:t>
            </w:r>
          </w:p>
        </w:tc>
      </w:tr>
    </w:tbl>
    <w:p>
      <w:pPr>
        <w:pStyle w:val="Normal"/>
        <w:spacing w:lineRule="auto" w:line="480"/>
        <w:rPr>
          <w:color w:themeColor="text1" w:val="000000"/>
        </w:rPr>
      </w:pPr>
      <w:r>
        <w:rPr>
          <w:color w:themeColor="text1" w:val="000000"/>
          <w:vertAlign w:val="superscript"/>
        </w:rPr>
        <w:t>1</w:t>
      </w:r>
      <w:r>
        <w:rPr>
          <w:color w:themeColor="text1" w:val="000000"/>
        </w:rPr>
        <w:t xml:space="preserve">Adaptive/maladaptive/repairing represented by cells that retain differentiation markers of reference </w:t>
      </w:r>
      <w:bookmarkStart w:id="2" w:name="_Hlk140005467"/>
      <w:r>
        <w:rPr>
          <w:color w:themeColor="text1" w:val="000000"/>
        </w:rPr>
        <w:t>states</w:t>
      </w:r>
      <w:bookmarkEnd w:id="2"/>
      <w:r>
        <w:rPr>
          <w:color w:themeColor="text1" w:val="000000"/>
        </w:rPr>
        <w:t xml:space="preserve">, albeit at lower levels, but also show expression of known injury associated genes, mesenchymal markers or factors promoting inflammation or fibrosis.  </w:t>
      </w:r>
    </w:p>
    <w:p>
      <w:pPr>
        <w:pStyle w:val="Normal"/>
        <w:spacing w:lineRule="auto" w:line="480"/>
        <w:rPr>
          <w:color w:themeColor="text1" w:val="000000"/>
        </w:rPr>
      </w:pPr>
      <w:r>
        <w:rPr>
          <w:color w:themeColor="text1" w:val="000000"/>
          <w:vertAlign w:val="superscript"/>
        </w:rPr>
        <w:t>2</w:t>
      </w:r>
      <w:r>
        <w:rPr>
          <w:color w:themeColor="text1" w:val="000000"/>
        </w:rPr>
        <w:t>cycling represented by enrichment of cell cycle genes.</w:t>
      </w:r>
    </w:p>
    <w:p>
      <w:pPr>
        <w:pStyle w:val="Normal"/>
        <w:spacing w:lineRule="auto" w:line="480"/>
        <w:rPr>
          <w:color w:themeColor="text1" w:val="000000"/>
        </w:rPr>
      </w:pPr>
      <w:r>
        <w:rPr>
          <w:color w:themeColor="text1" w:val="000000"/>
          <w:vertAlign w:val="superscript"/>
        </w:rPr>
        <w:t>3</w:t>
      </w:r>
      <w:r>
        <w:rPr>
          <w:color w:themeColor="text1" w:val="000000"/>
        </w:rPr>
        <w:t>degenerative marked loss of differentiation markers, and/or increased %ERT, %MT, and/or marked decrease in genes detected.</w:t>
      </w:r>
    </w:p>
    <w:p>
      <w:pPr>
        <w:pStyle w:val="Normal"/>
        <w:spacing w:lineRule="auto" w:line="480"/>
        <w:rPr>
          <w:color w:themeColor="text1" w:val="000000"/>
          <w:lang w:val="en-US"/>
        </w:rPr>
      </w:pPr>
      <w:r>
        <w:rPr>
          <w:color w:themeColor="text1" w:val="000000"/>
          <w:vertAlign w:val="superscript"/>
          <w:lang w:val="en-US"/>
        </w:rPr>
        <w:t>4</w:t>
      </w:r>
      <w:r>
        <w:rPr>
          <w:color w:themeColor="text1" w:val="000000"/>
          <w:lang w:val="en-US"/>
        </w:rPr>
        <w:t xml:space="preserve">transitional represented by an intermediate state showing markers of cells sharing the same parental lineage.  </w:t>
      </w:r>
    </w:p>
    <w:p>
      <w:pPr>
        <w:pStyle w:val="MDPI31text"/>
        <w:spacing w:lineRule="auto" w:line="480"/>
        <w:ind w:hanging="0" w:left="0"/>
        <w:rPr>
          <w:rFonts w:ascii="Calibri" w:hAnsi="Calibri" w:cs="" w:asciiTheme="minorHAnsi" w:cstheme="minorBidi" w:hAnsiTheme="minorHAnsi"/>
          <w:sz w:val="24"/>
          <w:szCs w:val="24"/>
        </w:rPr>
      </w:pPr>
      <w:r>
        <w:rPr>
          <w:rFonts w:cs="" w:cstheme="minorBidi" w:ascii="Calibri" w:hAnsi="Calibri"/>
          <w:sz w:val="24"/>
          <w:szCs w:val="24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 Linotype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8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等线" w:cs="" w:asciiTheme="minorHAnsi" w:cstheme="minorBidi" w:eastAsiaTheme="minorEastAsia" w:hAnsiTheme="minorHAnsi"/>
        <w:sz w:val="24"/>
        <w:szCs w:val="24"/>
        <w:lang w:val="en-GB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4f8e"/>
    <w:pPr>
      <w:widowControl/>
      <w:bidi w:val="0"/>
      <w:spacing w:before="0" w:after="0"/>
      <w:jc w:val="left"/>
    </w:pPr>
    <w:rPr>
      <w:rFonts w:ascii="Calibri" w:hAnsi="Calibri" w:eastAsia="等线" w:cs="" w:asciiTheme="minorHAnsi" w:cstheme="minorBidi" w:eastAsiaTheme="minorEastAsia" w:hAnsiTheme="minorHAnsi"/>
      <w:color w:val="auto"/>
      <w:kern w:val="0"/>
      <w:sz w:val="24"/>
      <w:szCs w:val="24"/>
      <w:lang w:val="en-GB"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303a"/>
    <w:pPr>
      <w:keepNext w:val="true"/>
      <w:keepLines/>
      <w:spacing w:lineRule="auto" w:line="360" w:before="240" w:after="120"/>
      <w:jc w:val="both"/>
      <w:outlineLvl w:val="0"/>
    </w:pPr>
    <w:rPr>
      <w:rFonts w:ascii="Arial" w:hAnsi="Arial" w:eastAsia="等线 Light" w:cs="" w:cstheme="majorBidi" w:eastAsiaTheme="majorEastAsia"/>
      <w:b/>
      <w:color w:themeColor="text1" w:val="000000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mmentReference">
    <w:name w:val="annotation reference"/>
    <w:uiPriority w:val="99"/>
    <w:qFormat/>
    <w:rsid w:val="005d4f8e"/>
    <w:rPr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d4f8e"/>
    <w:rPr>
      <w:color w:themeColor="hyperlink" w:val="0563C1"/>
      <w:u w:val="single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005d4f8e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69268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930cb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2b06f6"/>
    <w:rPr>
      <w:b/>
      <w:bCs/>
    </w:rPr>
  </w:style>
  <w:style w:type="character" w:styleId="Emphasis">
    <w:name w:val="Emphasis"/>
    <w:basedOn w:val="DefaultParagraphFont"/>
    <w:uiPriority w:val="20"/>
    <w:qFormat/>
    <w:rsid w:val="00f33fa6"/>
    <w:rPr>
      <w:i/>
      <w:iCs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17303a"/>
    <w:rPr>
      <w:rFonts w:ascii="Arial" w:hAnsi="Arial" w:eastAsia="等线 Light" w:cs="" w:cstheme="majorBidi" w:eastAsiaTheme="majorEastAsia"/>
      <w:b/>
      <w:color w:themeColor="text1" w:val="000000"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rsid w:val="0017303a"/>
    <w:pPr>
      <w:spacing w:before="0" w:after="200"/>
      <w:jc w:val="both"/>
    </w:pPr>
    <w:rPr>
      <w:rFonts w:ascii="Arial" w:hAnsi="Arial"/>
      <w:b/>
      <w:bCs/>
      <w:color w:themeColor="text1" w:val="000000"/>
      <w:sz w:val="22"/>
      <w:szCs w:val="22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MDPI31text" w:customStyle="1">
    <w:name w:val="MDPI_3.1_text"/>
    <w:qFormat/>
    <w:rsid w:val="005d4f8e"/>
    <w:pPr>
      <w:widowControl/>
      <w:bidi w:val="0"/>
      <w:snapToGrid w:val="false"/>
      <w:spacing w:lineRule="auto" w:line="228" w:before="0" w:after="0"/>
      <w:ind w:firstLine="425" w:left="2608"/>
      <w:jc w:val="both"/>
    </w:pPr>
    <w:rPr>
      <w:rFonts w:ascii="Palatino Linotype" w:hAnsi="Palatino Linotype" w:eastAsia="Times New Roman" w:cs="Times New Roman"/>
      <w:color w:val="000000"/>
      <w:kern w:val="0"/>
      <w:sz w:val="20"/>
      <w:szCs w:val="22"/>
      <w:lang w:val="en-US" w:eastAsia="de-DE" w:bidi="en-US"/>
    </w:rPr>
  </w:style>
  <w:style w:type="paragraph" w:styleId="MDPI51figurecaption" w:customStyle="1">
    <w:name w:val="MDPI_5.1_figure_caption"/>
    <w:qFormat/>
    <w:rsid w:val="005d4f8e"/>
    <w:pPr>
      <w:widowControl/>
      <w:bidi w:val="0"/>
      <w:snapToGrid w:val="false"/>
      <w:spacing w:lineRule="auto" w:line="228" w:before="120" w:after="240"/>
      <w:ind w:left="2608"/>
      <w:jc w:val="both"/>
    </w:pPr>
    <w:rPr>
      <w:rFonts w:ascii="Palatino Linotype" w:hAnsi="Palatino Linotype" w:eastAsia="Times New Roman" w:cs="Times New Roman"/>
      <w:color w:val="000000"/>
      <w:kern w:val="0"/>
      <w:sz w:val="18"/>
      <w:szCs w:val="20"/>
      <w:lang w:val="en-US" w:eastAsia="de-DE" w:bidi="en-US"/>
    </w:rPr>
  </w:style>
  <w:style w:type="paragraph" w:styleId="MDPI41tablecaption" w:customStyle="1">
    <w:name w:val="MDPI_4.1_table_caption"/>
    <w:qFormat/>
    <w:rsid w:val="005d4f8e"/>
    <w:pPr>
      <w:widowControl/>
      <w:bidi w:val="0"/>
      <w:snapToGrid w:val="false"/>
      <w:spacing w:lineRule="auto" w:line="228" w:before="240" w:after="120"/>
      <w:ind w:left="2608"/>
      <w:jc w:val="both"/>
    </w:pPr>
    <w:rPr>
      <w:rFonts w:ascii="Palatino Linotype" w:hAnsi="Palatino Linotype" w:eastAsia="Times New Roman" w:cs="Cordia New"/>
      <w:color w:val="000000"/>
      <w:kern w:val="0"/>
      <w:sz w:val="18"/>
      <w:szCs w:val="22"/>
      <w:lang w:val="en-US" w:eastAsia="de-DE" w:bidi="en-US"/>
    </w:rPr>
  </w:style>
  <w:style w:type="paragraph" w:styleId="MDPI43tablefooter" w:customStyle="1">
    <w:name w:val="MDPI_4.3_table_footer"/>
    <w:next w:val="MDPI31text"/>
    <w:qFormat/>
    <w:rsid w:val="005d4f8e"/>
    <w:pPr>
      <w:widowControl/>
      <w:bidi w:val="0"/>
      <w:snapToGrid w:val="false"/>
      <w:spacing w:lineRule="auto" w:line="228" w:before="0" w:after="0"/>
      <w:ind w:left="2608"/>
      <w:jc w:val="both"/>
    </w:pPr>
    <w:rPr>
      <w:rFonts w:ascii="Palatino Linotype" w:hAnsi="Palatino Linotype" w:eastAsia="Times New Roman" w:cs="Cordia New"/>
      <w:color w:val="000000"/>
      <w:kern w:val="0"/>
      <w:sz w:val="18"/>
      <w:szCs w:val="22"/>
      <w:lang w:val="en-US" w:eastAsia="de-DE" w:bidi="en-US"/>
    </w:rPr>
  </w:style>
  <w:style w:type="paragraph" w:styleId="ListParagraph">
    <w:name w:val="List Paragraph"/>
    <w:basedOn w:val="Normal"/>
    <w:uiPriority w:val="99"/>
    <w:qFormat/>
    <w:rsid w:val="005d4f8e"/>
    <w:pPr>
      <w:spacing w:before="120" w:after="120"/>
      <w:contextualSpacing/>
      <w:jc w:val="both"/>
    </w:pPr>
    <w:rPr>
      <w:rFonts w:ascii="Arial" w:hAnsi="Arial"/>
    </w:rPr>
  </w:style>
  <w:style w:type="paragraph" w:styleId="CommentText">
    <w:name w:val="annotation text"/>
    <w:basedOn w:val="Normal"/>
    <w:link w:val="CommentTextChar"/>
    <w:uiPriority w:val="99"/>
    <w:unhideWhenUsed/>
    <w:rsid w:val="005d4f8e"/>
    <w:pPr/>
    <w:rPr>
      <w:sz w:val="20"/>
      <w:szCs w:val="20"/>
    </w:rPr>
  </w:style>
  <w:style w:type="paragraph" w:styleId="MDPI35textbeforelist" w:customStyle="1">
    <w:name w:val="MDPI_3.5_text_before_list"/>
    <w:qFormat/>
    <w:rsid w:val="005d4f8e"/>
    <w:pPr>
      <w:widowControl/>
      <w:bidi w:val="0"/>
      <w:snapToGrid w:val="false"/>
      <w:spacing w:lineRule="auto" w:line="228" w:before="0" w:after="0"/>
      <w:ind w:firstLine="425" w:left="2608"/>
      <w:jc w:val="both"/>
    </w:pPr>
    <w:rPr>
      <w:rFonts w:ascii="Palatino Linotype" w:hAnsi="Palatino Linotype" w:eastAsia="Times New Roman" w:cs="Times New Roman"/>
      <w:color w:val="000000"/>
      <w:kern w:val="0"/>
      <w:sz w:val="20"/>
      <w:szCs w:val="22"/>
      <w:lang w:val="en-US" w:eastAsia="de-DE" w:bidi="en-US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692685"/>
    <w:pPr/>
    <w:rPr>
      <w:b/>
      <w:bCs/>
    </w:rPr>
  </w:style>
  <w:style w:type="paragraph" w:styleId="Revision">
    <w:name w:val="Revision"/>
    <w:uiPriority w:val="99"/>
    <w:semiHidden/>
    <w:qFormat/>
    <w:rsid w:val="00aa54c0"/>
    <w:pPr>
      <w:widowControl/>
      <w:bidi w:val="0"/>
      <w:spacing w:before="0" w:after="0"/>
      <w:jc w:val="left"/>
    </w:pPr>
    <w:rPr>
      <w:rFonts w:ascii="Calibri" w:hAnsi="Calibri" w:eastAsia="等线" w:cs="" w:asciiTheme="minorHAnsi" w:cstheme="minorBidi" w:eastAsiaTheme="minorEastAsia" w:hAnsiTheme="minorHAnsi"/>
      <w:color w:val="auto"/>
      <w:kern w:val="0"/>
      <w:sz w:val="24"/>
      <w:szCs w:val="24"/>
      <w:lang w:val="en-GB" w:eastAsia="zh-CN" w:bidi="ar-SA"/>
    </w:rPr>
  </w:style>
  <w:style w:type="paragraph" w:styleId="NormalWeb">
    <w:name w:val="Normal (Web)"/>
    <w:basedOn w:val="Normal"/>
    <w:uiPriority w:val="99"/>
    <w:semiHidden/>
    <w:unhideWhenUsed/>
    <w:qFormat/>
    <w:rsid w:val="00e02ed2"/>
    <w:pPr>
      <w:spacing w:beforeAutospacing="1" w:afterAutospacing="1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d4f8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1Light">
    <w:name w:val="Grid Table 1 Light"/>
    <w:basedOn w:val="TableNormal"/>
    <w:uiPriority w:val="46"/>
    <w:rsid w:val="00314d58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PlainTable2">
    <w:name w:val="Plain Table 2"/>
    <w:basedOn w:val="TableNormal"/>
    <w:uiPriority w:val="42"/>
    <w:rsid w:val="00314d58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C07E9-276A-A041-87DA-279B748C9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LibreOffice/24.8.1.2$Windows_X86_64 LibreOffice_project/87fa9aec1a63e70835390b81c40bb8993f1d4ff6</Application>
  <AppVersion>15.0000</AppVersion>
  <Pages>2</Pages>
  <Words>369</Words>
  <Characters>2379</Characters>
  <CharactersWithSpaces>2631</CharactersWithSpaces>
  <Paragraphs>121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2024-03-14T16:03:00Z</dcterms:created>
  <dc:creator>Minjie Zhang</dc:creator>
  <dc:description/>
  <dc:language>en-IN</dc:language>
  <cp:lastModifiedBy/>
  <dcterms:modified xsi:type="dcterms:W3CDTF">2024-10-06T14:39:06Z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