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F400C">
      <w:pPr>
        <w:spacing w:line="360" w:lineRule="auto"/>
        <w:jc w:val="center"/>
        <w:rPr>
          <w:b/>
          <w:bCs/>
          <w:sz w:val="32"/>
          <w:szCs w:val="32"/>
        </w:rPr>
      </w:pPr>
      <w:r>
        <w:rPr>
          <w:b/>
          <w:bCs/>
          <w:sz w:val="32"/>
          <w:szCs w:val="32"/>
        </w:rPr>
        <w:t>Supp</w:t>
      </w:r>
      <w:r>
        <w:rPr>
          <w:rFonts w:hint="eastAsia"/>
          <w:b/>
          <w:bCs/>
          <w:sz w:val="32"/>
          <w:szCs w:val="32"/>
        </w:rPr>
        <w:t>lementa</w:t>
      </w:r>
      <w:r>
        <w:rPr>
          <w:b/>
          <w:bCs/>
          <w:sz w:val="32"/>
          <w:szCs w:val="32"/>
        </w:rPr>
        <w:t>ry Information</w:t>
      </w:r>
    </w:p>
    <w:p w14:paraId="1388B8CB">
      <w:pPr>
        <w:autoSpaceDE w:val="0"/>
        <w:autoSpaceDN w:val="0"/>
        <w:spacing w:line="360" w:lineRule="auto"/>
        <w:outlineLvl w:val="0"/>
        <w:rPr>
          <w:b/>
          <w:bCs/>
          <w:kern w:val="0"/>
          <w:sz w:val="32"/>
          <w:szCs w:val="32"/>
        </w:rPr>
      </w:pPr>
      <w:bookmarkStart w:id="0" w:name="_Hlk165971892"/>
      <w:r>
        <w:rPr>
          <w:b/>
          <w:bCs/>
          <w:kern w:val="0"/>
          <w:sz w:val="32"/>
          <w:szCs w:val="32"/>
          <w:lang w:bidi="ar"/>
        </w:rPr>
        <w:t>Bioinformatics based exploration of the anti-NAFLD mechanism of Wang’s empirical formula via TLR4/NF-</w:t>
      </w:r>
      <w:r>
        <w:rPr>
          <w:rFonts w:hint="eastAsia"/>
          <w:b/>
          <w:bCs/>
          <w:kern w:val="0"/>
          <w:sz w:val="32"/>
          <w:szCs w:val="32"/>
          <w:lang w:bidi="ar"/>
        </w:rPr>
        <w:t xml:space="preserve"> </w:t>
      </w:r>
      <w:r>
        <w:rPr>
          <w:b/>
          <w:bCs/>
          <w:kern w:val="0"/>
          <w:sz w:val="32"/>
          <w:szCs w:val="32"/>
          <w:lang w:bidi="ar"/>
        </w:rPr>
        <w:t>κB/COX2 pathway</w:t>
      </w:r>
    </w:p>
    <w:bookmarkEnd w:id="0"/>
    <w:p w14:paraId="7F261291">
      <w:pPr>
        <w:spacing w:line="360" w:lineRule="auto"/>
        <w:rPr>
          <w:sz w:val="24"/>
          <w:szCs w:val="24"/>
          <w:vertAlign w:val="superscript"/>
        </w:rPr>
      </w:pPr>
      <w:bookmarkStart w:id="1" w:name="OLE_LINK46"/>
      <w:bookmarkEnd w:id="1"/>
      <w:bookmarkStart w:id="2" w:name="OLE_LINK181"/>
      <w:r>
        <w:rPr>
          <w:sz w:val="24"/>
          <w:szCs w:val="24"/>
          <w:lang w:bidi="ar"/>
        </w:rPr>
        <w:t>S</w:t>
      </w:r>
      <w:bookmarkEnd w:id="2"/>
      <w:r>
        <w:rPr>
          <w:sz w:val="24"/>
          <w:szCs w:val="24"/>
          <w:lang w:bidi="ar"/>
        </w:rPr>
        <w:t xml:space="preserve">uhong Chen </w:t>
      </w:r>
      <w:r>
        <w:rPr>
          <w:sz w:val="24"/>
          <w:szCs w:val="24"/>
          <w:vertAlign w:val="superscript"/>
          <w:lang w:bidi="ar"/>
        </w:rPr>
        <w:t>1, 3</w:t>
      </w:r>
      <w:r>
        <w:rPr>
          <w:rFonts w:hint="eastAsia"/>
          <w:sz w:val="24"/>
          <w:szCs w:val="24"/>
          <w:vertAlign w:val="superscript"/>
          <w:lang w:val="en-US" w:eastAsia="zh-CN" w:bidi="ar"/>
        </w:rPr>
        <w:t>, 4</w:t>
      </w:r>
      <w:r>
        <w:rPr>
          <w:sz w:val="24"/>
          <w:szCs w:val="24"/>
          <w:vertAlign w:val="superscript"/>
          <w:lang w:bidi="ar"/>
        </w:rPr>
        <w:t xml:space="preserve"> </w:t>
      </w:r>
      <w:bookmarkStart w:id="3" w:name="OLE_LINK49"/>
      <w:bookmarkEnd w:id="3"/>
      <w:r>
        <w:rPr>
          <w:rFonts w:hint="eastAsia"/>
          <w:sz w:val="24"/>
          <w:szCs w:val="24"/>
          <w:vertAlign w:val="superscript"/>
          <w:lang w:bidi="ar"/>
        </w:rPr>
        <w:t>†</w:t>
      </w:r>
      <w:r>
        <w:rPr>
          <w:sz w:val="24"/>
          <w:szCs w:val="24"/>
          <w:lang w:bidi="ar"/>
        </w:rPr>
        <w:t xml:space="preserve">, Chuanjie Zhou </w:t>
      </w:r>
      <w:r>
        <w:rPr>
          <w:kern w:val="0"/>
          <w:sz w:val="24"/>
          <w:szCs w:val="24"/>
          <w:vertAlign w:val="superscript"/>
          <w:lang w:bidi="ar"/>
        </w:rPr>
        <w:t xml:space="preserve">1, 3 </w:t>
      </w:r>
      <w:r>
        <w:rPr>
          <w:rFonts w:hint="eastAsia"/>
          <w:sz w:val="24"/>
          <w:szCs w:val="24"/>
          <w:vertAlign w:val="superscript"/>
          <w:lang w:bidi="ar"/>
        </w:rPr>
        <w:t>†</w:t>
      </w:r>
      <w:r>
        <w:rPr>
          <w:sz w:val="24"/>
          <w:szCs w:val="24"/>
          <w:lang w:bidi="ar"/>
        </w:rPr>
        <w:t xml:space="preserve">, Jiahui Huang </w:t>
      </w:r>
      <w:r>
        <w:rPr>
          <w:kern w:val="0"/>
          <w:sz w:val="24"/>
          <w:szCs w:val="24"/>
          <w:vertAlign w:val="superscript"/>
          <w:lang w:bidi="ar"/>
        </w:rPr>
        <w:t xml:space="preserve">1, 3 </w:t>
      </w:r>
      <w:bookmarkStart w:id="4" w:name="OLE_LINK51"/>
      <w:bookmarkEnd w:id="4"/>
      <w:r>
        <w:rPr>
          <w:rFonts w:hint="eastAsia"/>
          <w:sz w:val="24"/>
          <w:szCs w:val="24"/>
          <w:vertAlign w:val="superscript"/>
          <w:lang w:bidi="ar"/>
        </w:rPr>
        <w:t>†</w:t>
      </w:r>
      <w:r>
        <w:rPr>
          <w:sz w:val="24"/>
          <w:szCs w:val="24"/>
          <w:lang w:bidi="ar"/>
        </w:rPr>
        <w:t xml:space="preserve">, Yunlong Qiao </w:t>
      </w:r>
      <w:r>
        <w:rPr>
          <w:kern w:val="0"/>
          <w:sz w:val="24"/>
          <w:szCs w:val="24"/>
          <w:vertAlign w:val="superscript"/>
          <w:lang w:bidi="ar"/>
        </w:rPr>
        <w:t xml:space="preserve">1, </w:t>
      </w:r>
      <w:bookmarkStart w:id="5" w:name="OLE_LINK182"/>
      <w:r>
        <w:rPr>
          <w:kern w:val="0"/>
          <w:sz w:val="24"/>
          <w:szCs w:val="24"/>
          <w:vertAlign w:val="superscript"/>
          <w:lang w:bidi="ar"/>
        </w:rPr>
        <w:t xml:space="preserve">3 </w:t>
      </w:r>
      <w:r>
        <w:rPr>
          <w:rFonts w:hint="eastAsia"/>
          <w:kern w:val="0"/>
          <w:sz w:val="24"/>
          <w:szCs w:val="24"/>
          <w:vertAlign w:val="superscript"/>
          <w:lang w:bidi="ar"/>
        </w:rPr>
        <w:t>†</w:t>
      </w:r>
      <w:r>
        <w:rPr>
          <w:sz w:val="24"/>
          <w:szCs w:val="24"/>
          <w:lang w:bidi="ar"/>
        </w:rPr>
        <w:t>,</w:t>
      </w:r>
      <w:bookmarkEnd w:id="5"/>
      <w:r>
        <w:rPr>
          <w:sz w:val="24"/>
          <w:szCs w:val="24"/>
          <w:lang w:bidi="ar"/>
        </w:rPr>
        <w:t xml:space="preserve"> Ning Wang </w:t>
      </w:r>
      <w:r>
        <w:rPr>
          <w:kern w:val="0"/>
          <w:sz w:val="24"/>
          <w:szCs w:val="24"/>
          <w:vertAlign w:val="superscript"/>
          <w:lang w:bidi="ar"/>
        </w:rPr>
        <w:t>1, 3</w:t>
      </w:r>
      <w:r>
        <w:rPr>
          <w:sz w:val="24"/>
          <w:szCs w:val="24"/>
          <w:lang w:bidi="ar"/>
        </w:rPr>
        <w:t xml:space="preserve">, Yuzhen Huang </w:t>
      </w:r>
      <w:r>
        <w:rPr>
          <w:kern w:val="0"/>
          <w:sz w:val="24"/>
          <w:szCs w:val="24"/>
          <w:vertAlign w:val="superscript"/>
          <w:lang w:bidi="ar"/>
        </w:rPr>
        <w:t xml:space="preserve">1, </w:t>
      </w:r>
      <w:bookmarkStart w:id="6" w:name="OLE_LINK56"/>
      <w:bookmarkEnd w:id="6"/>
      <w:r>
        <w:rPr>
          <w:kern w:val="0"/>
          <w:sz w:val="24"/>
          <w:szCs w:val="24"/>
          <w:vertAlign w:val="superscript"/>
          <w:lang w:bidi="ar"/>
        </w:rPr>
        <w:t>3</w:t>
      </w:r>
      <w:r>
        <w:rPr>
          <w:sz w:val="24"/>
          <w:szCs w:val="24"/>
          <w:lang w:bidi="ar"/>
        </w:rPr>
        <w:t xml:space="preserve">, Bo Li </w:t>
      </w:r>
      <w:r>
        <w:rPr>
          <w:kern w:val="0"/>
          <w:sz w:val="24"/>
          <w:szCs w:val="24"/>
          <w:vertAlign w:val="superscript"/>
          <w:lang w:bidi="ar"/>
        </w:rPr>
        <w:t xml:space="preserve">1, </w:t>
      </w:r>
      <w:bookmarkStart w:id="7" w:name="OLE_LINK57"/>
      <w:bookmarkEnd w:id="7"/>
      <w:bookmarkStart w:id="8" w:name="OLE_LINK12"/>
      <w:r>
        <w:rPr>
          <w:kern w:val="0"/>
          <w:sz w:val="24"/>
          <w:szCs w:val="24"/>
          <w:vertAlign w:val="superscript"/>
          <w:lang w:bidi="ar"/>
        </w:rPr>
        <w:t>3</w:t>
      </w:r>
      <w:r>
        <w:rPr>
          <w:sz w:val="24"/>
          <w:szCs w:val="24"/>
          <w:lang w:bidi="ar"/>
        </w:rPr>
        <w:t>,</w:t>
      </w:r>
      <w:bookmarkEnd w:id="8"/>
      <w:r>
        <w:rPr>
          <w:sz w:val="24"/>
          <w:szCs w:val="24"/>
          <w:lang w:bidi="ar"/>
        </w:rPr>
        <w:t xml:space="preserve"> </w:t>
      </w:r>
      <w:bookmarkStart w:id="9" w:name="OLE_LINK191"/>
      <w:r>
        <w:rPr>
          <w:sz w:val="24"/>
          <w:szCs w:val="24"/>
          <w:lang w:bidi="ar"/>
        </w:rPr>
        <w:t xml:space="preserve">Wanfeng Xu </w:t>
      </w:r>
      <w:r>
        <w:rPr>
          <w:kern w:val="0"/>
          <w:sz w:val="24"/>
          <w:szCs w:val="24"/>
          <w:vertAlign w:val="superscript"/>
          <w:lang w:bidi="ar"/>
        </w:rPr>
        <w:t>1, 3</w:t>
      </w:r>
      <w:r>
        <w:rPr>
          <w:sz w:val="24"/>
          <w:szCs w:val="24"/>
          <w:lang w:bidi="ar"/>
        </w:rPr>
        <w:t>, Xinglishang H</w:t>
      </w:r>
      <w:bookmarkEnd w:id="9"/>
      <w:r>
        <w:rPr>
          <w:sz w:val="24"/>
          <w:szCs w:val="24"/>
          <w:lang w:bidi="ar"/>
        </w:rPr>
        <w:t xml:space="preserve">e </w:t>
      </w:r>
      <w:r>
        <w:rPr>
          <w:kern w:val="0"/>
          <w:sz w:val="24"/>
          <w:szCs w:val="24"/>
          <w:vertAlign w:val="superscript"/>
          <w:lang w:bidi="ar"/>
        </w:rPr>
        <w:t>1, 3</w:t>
      </w:r>
      <w:bookmarkStart w:id="10" w:name="OLE_LINK59"/>
      <w:bookmarkEnd w:id="10"/>
      <w:r>
        <w:rPr>
          <w:sz w:val="24"/>
          <w:szCs w:val="24"/>
          <w:lang w:bidi="ar"/>
        </w:rPr>
        <w:t xml:space="preserve">, Kungen Wang </w:t>
      </w:r>
      <w:r>
        <w:rPr>
          <w:rFonts w:hint="eastAsia"/>
          <w:sz w:val="24"/>
          <w:szCs w:val="24"/>
          <w:vertAlign w:val="superscript"/>
          <w:lang w:val="en-US" w:eastAsia="zh-CN" w:bidi="ar"/>
        </w:rPr>
        <w:t>2</w:t>
      </w:r>
      <w:r>
        <w:rPr>
          <w:sz w:val="24"/>
          <w:szCs w:val="24"/>
          <w:vertAlign w:val="superscript"/>
          <w:lang w:bidi="ar"/>
        </w:rPr>
        <w:t>, 5 *</w:t>
      </w:r>
      <w:r>
        <w:rPr>
          <w:sz w:val="24"/>
          <w:szCs w:val="24"/>
          <w:lang w:bidi="ar"/>
        </w:rPr>
        <w:t xml:space="preserve">, Yihui Zhi </w:t>
      </w:r>
      <w:r>
        <w:rPr>
          <w:rFonts w:hint="eastAsia"/>
          <w:sz w:val="24"/>
          <w:szCs w:val="24"/>
          <w:vertAlign w:val="superscript"/>
          <w:lang w:val="en-US" w:eastAsia="zh-CN" w:bidi="ar"/>
        </w:rPr>
        <w:t>2</w:t>
      </w:r>
      <w:r>
        <w:rPr>
          <w:sz w:val="24"/>
          <w:szCs w:val="24"/>
          <w:vertAlign w:val="superscript"/>
          <w:lang w:bidi="ar"/>
        </w:rPr>
        <w:t>, 5 *</w:t>
      </w:r>
      <w:r>
        <w:rPr>
          <w:sz w:val="24"/>
          <w:szCs w:val="24"/>
          <w:lang w:bidi="ar"/>
        </w:rPr>
        <w:t xml:space="preserve">, Guiyuan Lv </w:t>
      </w:r>
      <w:r>
        <w:rPr>
          <w:rFonts w:hint="eastAsia"/>
          <w:sz w:val="24"/>
          <w:szCs w:val="24"/>
          <w:vertAlign w:val="superscript"/>
          <w:lang w:val="en-US" w:eastAsia="zh-CN" w:bidi="ar"/>
        </w:rPr>
        <w:t>4</w:t>
      </w:r>
      <w:r>
        <w:rPr>
          <w:sz w:val="24"/>
          <w:szCs w:val="24"/>
          <w:vertAlign w:val="superscript"/>
          <w:lang w:bidi="ar"/>
        </w:rPr>
        <w:t xml:space="preserve"> *</w:t>
      </w:r>
      <w:r>
        <w:rPr>
          <w:sz w:val="24"/>
          <w:szCs w:val="24"/>
          <w:lang w:bidi="ar"/>
        </w:rPr>
        <w:t xml:space="preserve"> and Shuhua Shen </w:t>
      </w:r>
      <w:r>
        <w:rPr>
          <w:rFonts w:hint="eastAsia"/>
          <w:sz w:val="24"/>
          <w:szCs w:val="24"/>
          <w:vertAlign w:val="superscript"/>
          <w:lang w:val="en-US" w:eastAsia="zh-CN" w:bidi="ar"/>
        </w:rPr>
        <w:t>2</w:t>
      </w:r>
      <w:r>
        <w:rPr>
          <w:sz w:val="24"/>
          <w:szCs w:val="24"/>
          <w:vertAlign w:val="superscript"/>
          <w:lang w:bidi="ar"/>
        </w:rPr>
        <w:t>, 5 *</w:t>
      </w:r>
    </w:p>
    <w:p w14:paraId="72A3482C">
      <w:pPr>
        <w:spacing w:line="360" w:lineRule="auto"/>
        <w:ind w:firstLine="480" w:firstLineChars="200"/>
        <w:rPr>
          <w:color w:val="000000"/>
          <w:sz w:val="24"/>
          <w:szCs w:val="24"/>
        </w:rPr>
      </w:pPr>
      <w:r>
        <w:rPr>
          <w:color w:val="000000"/>
          <w:sz w:val="24"/>
          <w:szCs w:val="24"/>
          <w:vertAlign w:val="superscript"/>
          <w:lang w:bidi="ar"/>
        </w:rPr>
        <w:t>1</w:t>
      </w:r>
      <w:r>
        <w:rPr>
          <w:color w:val="000000"/>
          <w:sz w:val="24"/>
          <w:szCs w:val="24"/>
          <w:lang w:bidi="ar"/>
        </w:rPr>
        <w:t xml:space="preserve"> Collaborative Innovation Center of Yangtze River Delta Region Green Pharmaceuticals, No. 18, Chaowang Road, Gongshu District, Zhejiang University of Technology, Hangzhou, Zhejiang 310014, China</w:t>
      </w:r>
    </w:p>
    <w:p w14:paraId="7D14B7CB">
      <w:pPr>
        <w:spacing w:line="360" w:lineRule="auto"/>
        <w:ind w:firstLine="480" w:firstLineChars="200"/>
        <w:rPr>
          <w:color w:val="000000"/>
          <w:sz w:val="24"/>
          <w:szCs w:val="24"/>
        </w:rPr>
      </w:pPr>
      <w:r>
        <w:rPr>
          <w:color w:val="000000"/>
          <w:sz w:val="24"/>
          <w:szCs w:val="24"/>
          <w:vertAlign w:val="superscript"/>
          <w:lang w:bidi="ar"/>
        </w:rPr>
        <w:t>2</w:t>
      </w:r>
      <w:r>
        <w:rPr>
          <w:color w:val="000000"/>
          <w:sz w:val="24"/>
          <w:szCs w:val="24"/>
          <w:lang w:bidi="ar"/>
        </w:rPr>
        <w:t xml:space="preserve"> </w:t>
      </w:r>
      <w:r>
        <w:rPr>
          <w:rFonts w:eastAsia="等线"/>
          <w:sz w:val="24"/>
          <w:szCs w:val="24"/>
          <w:lang w:bidi="ar"/>
        </w:rPr>
        <w:t>The First Affiliated Hospital of Zhejiang Chinese Medical University</w:t>
      </w:r>
      <w:r>
        <w:rPr>
          <w:color w:val="000000"/>
          <w:sz w:val="24"/>
          <w:szCs w:val="24"/>
          <w:lang w:bidi="ar"/>
        </w:rPr>
        <w:t>, Hangzhou, Zhejiang, 310006, China</w:t>
      </w:r>
      <w:bookmarkStart w:id="13" w:name="_GoBack"/>
      <w:bookmarkEnd w:id="13"/>
    </w:p>
    <w:p w14:paraId="1EDBD1AC">
      <w:pPr>
        <w:spacing w:line="360" w:lineRule="auto"/>
        <w:ind w:firstLine="480" w:firstLineChars="200"/>
        <w:rPr>
          <w:color w:val="000000"/>
          <w:sz w:val="24"/>
          <w:szCs w:val="24"/>
        </w:rPr>
      </w:pPr>
      <w:r>
        <w:rPr>
          <w:color w:val="000000"/>
          <w:sz w:val="24"/>
          <w:szCs w:val="24"/>
          <w:vertAlign w:val="superscript"/>
          <w:lang w:bidi="ar"/>
        </w:rPr>
        <w:t>3</w:t>
      </w:r>
      <w:r>
        <w:rPr>
          <w:color w:val="000000"/>
          <w:sz w:val="24"/>
          <w:szCs w:val="24"/>
          <w:lang w:bidi="ar"/>
        </w:rPr>
        <w:t xml:space="preserve"> Zhejiang Provincial Key Laboratory of TCM for Innovative R &amp; D and Digital Intelligent Manufacturing of TCM Great Health Products. Huzhou, Zhejiang 313200, China</w:t>
      </w:r>
    </w:p>
    <w:p w14:paraId="72076EC0">
      <w:pPr>
        <w:spacing w:line="360" w:lineRule="auto"/>
        <w:ind w:firstLine="480" w:firstLineChars="200"/>
        <w:rPr>
          <w:color w:val="000000"/>
          <w:sz w:val="24"/>
          <w:szCs w:val="24"/>
        </w:rPr>
      </w:pPr>
      <w:r>
        <w:rPr>
          <w:color w:val="000000"/>
          <w:sz w:val="24"/>
          <w:szCs w:val="24"/>
          <w:vertAlign w:val="superscript"/>
          <w:lang w:bidi="ar"/>
        </w:rPr>
        <w:t>4</w:t>
      </w:r>
      <w:r>
        <w:rPr>
          <w:rFonts w:eastAsia="等线"/>
          <w:sz w:val="24"/>
          <w:szCs w:val="24"/>
          <w:lang w:bidi="ar"/>
        </w:rPr>
        <w:t xml:space="preserve"> </w:t>
      </w:r>
      <w:r>
        <w:rPr>
          <w:color w:val="000000"/>
          <w:sz w:val="24"/>
          <w:szCs w:val="24"/>
          <w:lang w:bidi="ar"/>
        </w:rPr>
        <w:t>College of Pharmaceutical Science, No. 548, Binwen Road, Binjiang District, Zhejiang Chinese Medical University, Hangzhou, Zhejiang 310053, China</w:t>
      </w:r>
    </w:p>
    <w:p w14:paraId="2230AF97">
      <w:pPr>
        <w:spacing w:line="360" w:lineRule="auto"/>
        <w:ind w:firstLine="480" w:firstLineChars="200"/>
        <w:rPr>
          <w:color w:val="000000"/>
          <w:sz w:val="24"/>
          <w:szCs w:val="24"/>
        </w:rPr>
      </w:pPr>
      <w:r>
        <w:rPr>
          <w:color w:val="000000"/>
          <w:sz w:val="24"/>
          <w:szCs w:val="24"/>
          <w:vertAlign w:val="superscript"/>
          <w:lang w:bidi="ar"/>
        </w:rPr>
        <w:t>5</w:t>
      </w:r>
      <w:r>
        <w:rPr>
          <w:color w:val="000000"/>
          <w:sz w:val="24"/>
          <w:szCs w:val="24"/>
          <w:lang w:bidi="ar"/>
        </w:rPr>
        <w:t xml:space="preserve"> Kun-Gen Wang National Famous Chinese Medicine Doctor Studio, Hangzhou, Zhejiang, 310006, China</w:t>
      </w:r>
    </w:p>
    <w:p w14:paraId="40CD06CD">
      <w:pPr>
        <w:spacing w:line="360" w:lineRule="auto"/>
        <w:ind w:firstLine="480" w:firstLineChars="200"/>
        <w:rPr>
          <w:color w:val="000000"/>
          <w:sz w:val="24"/>
          <w:szCs w:val="24"/>
        </w:rPr>
      </w:pPr>
      <w:r>
        <w:rPr>
          <w:rFonts w:hint="eastAsia"/>
          <w:color w:val="000000"/>
          <w:sz w:val="24"/>
          <w:szCs w:val="24"/>
          <w:lang w:bidi="ar"/>
        </w:rPr>
        <w:t>†</w:t>
      </w:r>
      <w:r>
        <w:rPr>
          <w:color w:val="000000"/>
          <w:sz w:val="24"/>
          <w:szCs w:val="24"/>
          <w:lang w:bidi="ar"/>
        </w:rPr>
        <w:t xml:space="preserve"> </w:t>
      </w:r>
      <w:r>
        <w:rPr>
          <w:sz w:val="24"/>
          <w:szCs w:val="24"/>
          <w:lang w:bidi="ar"/>
        </w:rPr>
        <w:t>Suhong Chen,</w:t>
      </w:r>
      <w:r>
        <w:rPr>
          <w:color w:val="000000"/>
          <w:sz w:val="24"/>
          <w:szCs w:val="24"/>
          <w:lang w:bidi="ar"/>
        </w:rPr>
        <w:t xml:space="preserve"> </w:t>
      </w:r>
      <w:r>
        <w:rPr>
          <w:sz w:val="24"/>
          <w:szCs w:val="24"/>
          <w:lang w:bidi="ar"/>
        </w:rPr>
        <w:t>Chuanjie Zhou, Jiahui Huang</w:t>
      </w:r>
      <w:r>
        <w:rPr>
          <w:color w:val="000000"/>
          <w:sz w:val="24"/>
          <w:szCs w:val="24"/>
          <w:lang w:bidi="ar"/>
        </w:rPr>
        <w:t xml:space="preserve"> and Yunlong Qiao shared co-first authorship.</w:t>
      </w:r>
    </w:p>
    <w:p w14:paraId="148AC33D">
      <w:pPr>
        <w:spacing w:line="360" w:lineRule="auto"/>
        <w:ind w:firstLine="480" w:firstLineChars="200"/>
        <w:rPr>
          <w:sz w:val="24"/>
          <w:szCs w:val="24"/>
        </w:rPr>
      </w:pPr>
      <w:r>
        <w:rPr>
          <w:color w:val="000000"/>
          <w:sz w:val="24"/>
          <w:szCs w:val="24"/>
          <w:vertAlign w:val="superscript"/>
          <w:lang w:bidi="ar"/>
        </w:rPr>
        <w:t>*</w:t>
      </w:r>
      <w:r>
        <w:rPr>
          <w:color w:val="000000"/>
          <w:sz w:val="24"/>
          <w:szCs w:val="24"/>
          <w:lang w:bidi="ar"/>
        </w:rPr>
        <w:t xml:space="preserve"> Correspondence: </w:t>
      </w:r>
      <w:r>
        <w:rPr>
          <w:sz w:val="24"/>
          <w:szCs w:val="24"/>
          <w:lang w:bidi="ar"/>
        </w:rPr>
        <w:t>ShuHua Shen: linda0358@163.com; GuiYuan Lv: zjtcmLgy@163.com; YiHui Zhi:</w:t>
      </w:r>
      <w:r>
        <w:rPr>
          <w:rFonts w:hint="eastAsia" w:ascii="等线" w:hAnsi="等线" w:eastAsia="等线"/>
          <w:sz w:val="24"/>
          <w:szCs w:val="24"/>
          <w:lang w:bidi="ar"/>
        </w:rPr>
        <w:t xml:space="preserve"> </w:t>
      </w:r>
      <w:r>
        <w:rPr>
          <w:sz w:val="24"/>
          <w:szCs w:val="24"/>
          <w:lang w:bidi="ar"/>
        </w:rPr>
        <w:t>medcat4@163.com; Kun-Gen Wang: wkg1220@ 163.com.</w:t>
      </w:r>
    </w:p>
    <w:p w14:paraId="2A70A9B1">
      <w:pPr>
        <w:spacing w:line="300" w:lineRule="auto"/>
        <w:rPr>
          <w:b/>
          <w:bCs/>
          <w:kern w:val="0"/>
          <w:sz w:val="18"/>
          <w:szCs w:val="18"/>
          <w:lang w:bidi="ar"/>
        </w:rPr>
      </w:pPr>
      <w:r>
        <w:rPr>
          <w:b/>
          <w:bCs/>
          <w:kern w:val="0"/>
          <w:sz w:val="18"/>
          <w:szCs w:val="18"/>
          <w:lang w:bidi="ar"/>
        </w:rPr>
        <w:br w:type="page"/>
      </w:r>
    </w:p>
    <w:p w14:paraId="3F2ABD6C">
      <w:pPr>
        <w:autoSpaceDE w:val="0"/>
        <w:autoSpaceDN w:val="0"/>
        <w:spacing w:line="300" w:lineRule="auto"/>
        <w:rPr>
          <w:kern w:val="0"/>
          <w:sz w:val="18"/>
          <w:szCs w:val="18"/>
          <w:lang w:bidi="ar"/>
        </w:rPr>
      </w:pPr>
      <w:r>
        <w:rPr>
          <w:b/>
          <w:bCs/>
          <w:kern w:val="0"/>
          <w:sz w:val="18"/>
          <w:szCs w:val="18"/>
          <w:lang w:bidi="ar"/>
        </w:rPr>
        <w:t>Table.</w:t>
      </w:r>
      <w:r>
        <w:rPr>
          <w:rFonts w:hint="eastAsia"/>
          <w:b/>
          <w:bCs/>
          <w:kern w:val="0"/>
          <w:sz w:val="18"/>
          <w:szCs w:val="18"/>
          <w:lang w:bidi="ar"/>
        </w:rPr>
        <w:t>S</w:t>
      </w:r>
      <w:r>
        <w:rPr>
          <w:b/>
          <w:bCs/>
          <w:kern w:val="0"/>
          <w:sz w:val="18"/>
          <w:szCs w:val="18"/>
          <w:lang w:bidi="ar"/>
        </w:rPr>
        <w:t xml:space="preserve">1 </w:t>
      </w:r>
      <w:r>
        <w:rPr>
          <w:kern w:val="0"/>
          <w:sz w:val="18"/>
          <w:szCs w:val="18"/>
          <w:lang w:bidi="ar"/>
        </w:rPr>
        <w:t xml:space="preserve">The catalog numbers of the </w:t>
      </w:r>
      <w:r>
        <w:rPr>
          <w:rFonts w:hint="eastAsia"/>
          <w:kern w:val="0"/>
          <w:sz w:val="18"/>
          <w:szCs w:val="18"/>
          <w:lang w:bidi="ar"/>
        </w:rPr>
        <w:t>reagents</w:t>
      </w:r>
    </w:p>
    <w:tbl>
      <w:tblPr>
        <w:tblStyle w:val="10"/>
        <w:tblW w:w="4822"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561"/>
        <w:gridCol w:w="2302"/>
        <w:gridCol w:w="1549"/>
        <w:gridCol w:w="3807"/>
      </w:tblGrid>
      <w:tr w14:paraId="4210DB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1" w:type="pct"/>
            <w:tcBorders>
              <w:top w:val="single" w:color="auto" w:sz="12" w:space="0"/>
              <w:left w:val="nil"/>
              <w:bottom w:val="single" w:color="auto" w:sz="8" w:space="0"/>
              <w:right w:val="nil"/>
            </w:tcBorders>
            <w:shd w:val="clear" w:color="auto" w:fill="auto"/>
            <w:vAlign w:val="center"/>
          </w:tcPr>
          <w:p w14:paraId="65B1B512">
            <w:pPr>
              <w:autoSpaceDE w:val="0"/>
              <w:autoSpaceDN w:val="0"/>
              <w:spacing w:line="300" w:lineRule="auto"/>
              <w:jc w:val="center"/>
              <w:rPr>
                <w:rFonts w:eastAsia="Times New Roman"/>
                <w:b/>
                <w:bCs/>
                <w:kern w:val="0"/>
                <w:sz w:val="18"/>
                <w:szCs w:val="18"/>
              </w:rPr>
            </w:pPr>
            <w:r>
              <w:rPr>
                <w:rFonts w:eastAsia="Times New Roman"/>
                <w:b/>
                <w:bCs/>
                <w:kern w:val="0"/>
                <w:sz w:val="18"/>
                <w:szCs w:val="18"/>
              </w:rPr>
              <w:t>No.</w:t>
            </w:r>
          </w:p>
        </w:tc>
        <w:tc>
          <w:tcPr>
            <w:tcW w:w="1400" w:type="pct"/>
            <w:tcBorders>
              <w:top w:val="single" w:color="auto" w:sz="12" w:space="0"/>
              <w:left w:val="nil"/>
              <w:bottom w:val="single" w:color="auto" w:sz="8" w:space="0"/>
              <w:right w:val="nil"/>
            </w:tcBorders>
            <w:shd w:val="clear" w:color="auto" w:fill="auto"/>
            <w:vAlign w:val="center"/>
          </w:tcPr>
          <w:p w14:paraId="6D7C4F66">
            <w:pPr>
              <w:autoSpaceDE w:val="0"/>
              <w:autoSpaceDN w:val="0"/>
              <w:spacing w:line="300" w:lineRule="auto"/>
              <w:jc w:val="center"/>
              <w:rPr>
                <w:rFonts w:eastAsia="Times New Roman"/>
                <w:b/>
                <w:bCs/>
                <w:kern w:val="0"/>
                <w:sz w:val="18"/>
                <w:szCs w:val="18"/>
              </w:rPr>
            </w:pPr>
            <w:r>
              <w:rPr>
                <w:rFonts w:hint="eastAsia" w:eastAsia="Times New Roman"/>
                <w:b/>
                <w:bCs/>
                <w:kern w:val="0"/>
                <w:sz w:val="18"/>
                <w:szCs w:val="18"/>
              </w:rPr>
              <w:t>Reagents</w:t>
            </w:r>
          </w:p>
        </w:tc>
        <w:tc>
          <w:tcPr>
            <w:tcW w:w="942" w:type="pct"/>
            <w:tcBorders>
              <w:top w:val="single" w:color="auto" w:sz="12" w:space="0"/>
              <w:left w:val="nil"/>
              <w:bottom w:val="single" w:color="auto" w:sz="8" w:space="0"/>
              <w:right w:val="nil"/>
            </w:tcBorders>
            <w:shd w:val="clear" w:color="auto" w:fill="auto"/>
            <w:vAlign w:val="center"/>
          </w:tcPr>
          <w:p w14:paraId="54FEF06B">
            <w:pPr>
              <w:autoSpaceDE w:val="0"/>
              <w:autoSpaceDN w:val="0"/>
              <w:spacing w:line="300" w:lineRule="auto"/>
              <w:jc w:val="center"/>
              <w:rPr>
                <w:rFonts w:eastAsia="Times New Roman"/>
                <w:b/>
                <w:bCs/>
                <w:kern w:val="0"/>
                <w:sz w:val="18"/>
                <w:szCs w:val="18"/>
              </w:rPr>
            </w:pPr>
            <w:r>
              <w:rPr>
                <w:rFonts w:eastAsia="Times New Roman"/>
                <w:b/>
                <w:bCs/>
                <w:kern w:val="0"/>
                <w:sz w:val="18"/>
                <w:szCs w:val="18"/>
              </w:rPr>
              <w:t>Catalog number</w:t>
            </w:r>
          </w:p>
        </w:tc>
        <w:tc>
          <w:tcPr>
            <w:tcW w:w="2315" w:type="pct"/>
            <w:tcBorders>
              <w:top w:val="single" w:color="auto" w:sz="12" w:space="0"/>
              <w:left w:val="nil"/>
              <w:bottom w:val="single" w:color="auto" w:sz="8" w:space="0"/>
              <w:right w:val="nil"/>
            </w:tcBorders>
            <w:shd w:val="clear" w:color="auto" w:fill="auto"/>
            <w:vAlign w:val="center"/>
          </w:tcPr>
          <w:p w14:paraId="535A1628">
            <w:pPr>
              <w:autoSpaceDE w:val="0"/>
              <w:autoSpaceDN w:val="0"/>
              <w:spacing w:line="300" w:lineRule="auto"/>
              <w:jc w:val="center"/>
              <w:rPr>
                <w:rFonts w:eastAsia="Times New Roman"/>
                <w:b/>
                <w:bCs/>
                <w:kern w:val="0"/>
                <w:sz w:val="18"/>
                <w:szCs w:val="18"/>
              </w:rPr>
            </w:pPr>
            <w:r>
              <w:rPr>
                <w:rFonts w:eastAsia="Times New Roman"/>
                <w:b/>
                <w:bCs/>
                <w:kern w:val="0"/>
                <w:sz w:val="18"/>
                <w:szCs w:val="18"/>
              </w:rPr>
              <w:t xml:space="preserve"> Manufacturer</w:t>
            </w:r>
          </w:p>
        </w:tc>
      </w:tr>
      <w:tr w14:paraId="5D1B43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1" w:type="pct"/>
            <w:tcBorders>
              <w:top w:val="nil"/>
              <w:left w:val="nil"/>
              <w:bottom w:val="nil"/>
              <w:right w:val="nil"/>
            </w:tcBorders>
            <w:shd w:val="clear" w:color="auto" w:fill="auto"/>
            <w:vAlign w:val="center"/>
          </w:tcPr>
          <w:p w14:paraId="1BCEA2BF">
            <w:pPr>
              <w:autoSpaceDE w:val="0"/>
              <w:autoSpaceDN w:val="0"/>
              <w:spacing w:line="300" w:lineRule="auto"/>
              <w:jc w:val="center"/>
              <w:rPr>
                <w:rFonts w:eastAsia="Times New Roman"/>
                <w:kern w:val="0"/>
                <w:sz w:val="18"/>
                <w:szCs w:val="18"/>
              </w:rPr>
            </w:pPr>
            <w:r>
              <w:rPr>
                <w:rFonts w:eastAsia="Times New Roman"/>
                <w:kern w:val="0"/>
                <w:sz w:val="18"/>
                <w:szCs w:val="18"/>
              </w:rPr>
              <w:t>1</w:t>
            </w:r>
          </w:p>
        </w:tc>
        <w:tc>
          <w:tcPr>
            <w:tcW w:w="1400" w:type="pct"/>
            <w:tcBorders>
              <w:top w:val="nil"/>
              <w:left w:val="nil"/>
              <w:bottom w:val="nil"/>
              <w:right w:val="nil"/>
            </w:tcBorders>
            <w:shd w:val="clear" w:color="auto" w:fill="auto"/>
            <w:vAlign w:val="center"/>
          </w:tcPr>
          <w:p w14:paraId="6146327B">
            <w:pPr>
              <w:autoSpaceDE w:val="0"/>
              <w:autoSpaceDN w:val="0"/>
              <w:spacing w:line="300" w:lineRule="auto"/>
              <w:jc w:val="center"/>
              <w:rPr>
                <w:rFonts w:eastAsia="Times New Roman"/>
                <w:kern w:val="0"/>
                <w:sz w:val="18"/>
                <w:szCs w:val="18"/>
              </w:rPr>
            </w:pPr>
            <w:r>
              <w:rPr>
                <w:rFonts w:hint="eastAsia" w:eastAsia="Times New Roman"/>
                <w:kern w:val="0"/>
                <w:sz w:val="18"/>
                <w:szCs w:val="18"/>
              </w:rPr>
              <w:t>Essentiale (PPC)</w:t>
            </w:r>
          </w:p>
        </w:tc>
        <w:tc>
          <w:tcPr>
            <w:tcW w:w="942" w:type="pct"/>
            <w:tcBorders>
              <w:top w:val="nil"/>
              <w:left w:val="nil"/>
              <w:bottom w:val="nil"/>
              <w:right w:val="nil"/>
            </w:tcBorders>
            <w:shd w:val="clear" w:color="auto" w:fill="auto"/>
            <w:vAlign w:val="center"/>
          </w:tcPr>
          <w:p w14:paraId="5D0B8242">
            <w:pPr>
              <w:autoSpaceDE w:val="0"/>
              <w:autoSpaceDN w:val="0"/>
              <w:spacing w:line="300" w:lineRule="auto"/>
              <w:jc w:val="center"/>
              <w:rPr>
                <w:rFonts w:eastAsia="Times New Roman"/>
                <w:kern w:val="0"/>
                <w:sz w:val="18"/>
                <w:szCs w:val="18"/>
              </w:rPr>
            </w:pPr>
            <w:r>
              <w:rPr>
                <w:rFonts w:hint="eastAsia" w:eastAsia="Times New Roman"/>
                <w:kern w:val="0"/>
                <w:sz w:val="18"/>
                <w:szCs w:val="18"/>
              </w:rPr>
              <w:t>BBJD209B</w:t>
            </w:r>
          </w:p>
        </w:tc>
        <w:tc>
          <w:tcPr>
            <w:tcW w:w="2315" w:type="pct"/>
            <w:tcBorders>
              <w:top w:val="single" w:color="auto" w:sz="8" w:space="0"/>
              <w:left w:val="nil"/>
              <w:bottom w:val="nil"/>
              <w:right w:val="nil"/>
            </w:tcBorders>
            <w:shd w:val="clear" w:color="auto" w:fill="auto"/>
            <w:vAlign w:val="center"/>
          </w:tcPr>
          <w:p w14:paraId="1D90F532">
            <w:pPr>
              <w:autoSpaceDE w:val="0"/>
              <w:autoSpaceDN w:val="0"/>
              <w:spacing w:line="300" w:lineRule="auto"/>
              <w:jc w:val="center"/>
              <w:rPr>
                <w:rFonts w:eastAsia="Times New Roman"/>
                <w:kern w:val="0"/>
                <w:sz w:val="18"/>
                <w:szCs w:val="18"/>
              </w:rPr>
            </w:pPr>
            <w:r>
              <w:rPr>
                <w:rFonts w:eastAsia="Times New Roman"/>
                <w:kern w:val="0"/>
                <w:sz w:val="18"/>
                <w:szCs w:val="18"/>
              </w:rPr>
              <w:t>Sanofi - Aventis Pharmaceutical Co., Ltd.</w:t>
            </w:r>
          </w:p>
        </w:tc>
      </w:tr>
      <w:tr w14:paraId="3E5A30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1" w:type="pct"/>
            <w:tcBorders>
              <w:top w:val="nil"/>
              <w:left w:val="nil"/>
              <w:bottom w:val="nil"/>
              <w:right w:val="nil"/>
            </w:tcBorders>
            <w:shd w:val="clear" w:color="auto" w:fill="auto"/>
            <w:vAlign w:val="center"/>
          </w:tcPr>
          <w:p w14:paraId="79EAF2CC">
            <w:pPr>
              <w:autoSpaceDE w:val="0"/>
              <w:autoSpaceDN w:val="0"/>
              <w:spacing w:line="300" w:lineRule="auto"/>
              <w:jc w:val="center"/>
              <w:rPr>
                <w:rFonts w:eastAsia="Times New Roman"/>
                <w:kern w:val="0"/>
                <w:sz w:val="18"/>
                <w:szCs w:val="18"/>
              </w:rPr>
            </w:pPr>
            <w:r>
              <w:rPr>
                <w:rFonts w:eastAsia="Times New Roman"/>
                <w:kern w:val="0"/>
                <w:sz w:val="18"/>
                <w:szCs w:val="18"/>
              </w:rPr>
              <w:t>2</w:t>
            </w:r>
          </w:p>
        </w:tc>
        <w:tc>
          <w:tcPr>
            <w:tcW w:w="1400" w:type="pct"/>
            <w:tcBorders>
              <w:top w:val="nil"/>
              <w:left w:val="nil"/>
              <w:bottom w:val="nil"/>
              <w:right w:val="nil"/>
            </w:tcBorders>
            <w:shd w:val="clear" w:color="auto" w:fill="auto"/>
            <w:vAlign w:val="center"/>
          </w:tcPr>
          <w:p w14:paraId="45716396">
            <w:pPr>
              <w:autoSpaceDE w:val="0"/>
              <w:autoSpaceDN w:val="0"/>
              <w:spacing w:line="300" w:lineRule="auto"/>
              <w:jc w:val="center"/>
              <w:rPr>
                <w:rFonts w:eastAsia="Times New Roman"/>
                <w:kern w:val="0"/>
                <w:sz w:val="18"/>
                <w:szCs w:val="18"/>
              </w:rPr>
            </w:pPr>
            <w:r>
              <w:rPr>
                <w:rFonts w:hint="eastAsia" w:eastAsia="Times New Roman"/>
                <w:kern w:val="0"/>
                <w:sz w:val="18"/>
                <w:szCs w:val="18"/>
              </w:rPr>
              <w:t>TC kit</w:t>
            </w:r>
          </w:p>
        </w:tc>
        <w:tc>
          <w:tcPr>
            <w:tcW w:w="942" w:type="pct"/>
            <w:tcBorders>
              <w:top w:val="nil"/>
              <w:left w:val="nil"/>
              <w:bottom w:val="nil"/>
              <w:right w:val="nil"/>
            </w:tcBorders>
            <w:shd w:val="clear" w:color="auto" w:fill="auto"/>
            <w:vAlign w:val="center"/>
          </w:tcPr>
          <w:p w14:paraId="2A06457D">
            <w:pPr>
              <w:autoSpaceDE w:val="0"/>
              <w:autoSpaceDN w:val="0"/>
              <w:spacing w:line="300" w:lineRule="auto"/>
              <w:jc w:val="center"/>
              <w:rPr>
                <w:rFonts w:eastAsia="Times New Roman"/>
                <w:kern w:val="0"/>
                <w:sz w:val="18"/>
                <w:szCs w:val="18"/>
              </w:rPr>
            </w:pPr>
            <w:r>
              <w:rPr>
                <w:rFonts w:hint="eastAsia" w:eastAsia="Times New Roman"/>
                <w:kern w:val="0"/>
                <w:sz w:val="18"/>
                <w:szCs w:val="18"/>
              </w:rPr>
              <w:t>R202</w:t>
            </w:r>
          </w:p>
        </w:tc>
        <w:tc>
          <w:tcPr>
            <w:tcW w:w="2315" w:type="pct"/>
            <w:vMerge w:val="restart"/>
            <w:tcBorders>
              <w:top w:val="nil"/>
              <w:left w:val="nil"/>
              <w:bottom w:val="nil"/>
              <w:right w:val="nil"/>
            </w:tcBorders>
            <w:shd w:val="clear" w:color="auto" w:fill="auto"/>
            <w:vAlign w:val="center"/>
          </w:tcPr>
          <w:p w14:paraId="4DA497A3">
            <w:pPr>
              <w:autoSpaceDE w:val="0"/>
              <w:autoSpaceDN w:val="0"/>
              <w:spacing w:line="300" w:lineRule="auto"/>
              <w:jc w:val="center"/>
              <w:rPr>
                <w:rFonts w:eastAsia="Times New Roman"/>
                <w:kern w:val="0"/>
                <w:sz w:val="18"/>
                <w:szCs w:val="18"/>
              </w:rPr>
            </w:pPr>
            <w:r>
              <w:rPr>
                <w:rFonts w:eastAsia="Times New Roman"/>
                <w:kern w:val="0"/>
                <w:sz w:val="18"/>
                <w:szCs w:val="18"/>
              </w:rPr>
              <w:t>Ningbo Medical System Biotechnology Co., Ltd</w:t>
            </w:r>
          </w:p>
        </w:tc>
      </w:tr>
      <w:tr w14:paraId="266CE6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1" w:type="pct"/>
            <w:tcBorders>
              <w:top w:val="nil"/>
              <w:left w:val="nil"/>
              <w:bottom w:val="nil"/>
              <w:right w:val="nil"/>
            </w:tcBorders>
            <w:shd w:val="clear" w:color="auto" w:fill="auto"/>
            <w:vAlign w:val="center"/>
          </w:tcPr>
          <w:p w14:paraId="24F5AC72">
            <w:pPr>
              <w:autoSpaceDE w:val="0"/>
              <w:autoSpaceDN w:val="0"/>
              <w:spacing w:line="300" w:lineRule="auto"/>
              <w:jc w:val="center"/>
              <w:rPr>
                <w:rFonts w:eastAsia="Times New Roman"/>
                <w:kern w:val="0"/>
                <w:sz w:val="18"/>
                <w:szCs w:val="18"/>
              </w:rPr>
            </w:pPr>
            <w:r>
              <w:rPr>
                <w:rFonts w:eastAsia="Times New Roman"/>
                <w:kern w:val="0"/>
                <w:sz w:val="18"/>
                <w:szCs w:val="18"/>
              </w:rPr>
              <w:t>3</w:t>
            </w:r>
          </w:p>
        </w:tc>
        <w:tc>
          <w:tcPr>
            <w:tcW w:w="1400" w:type="pct"/>
            <w:tcBorders>
              <w:top w:val="nil"/>
              <w:left w:val="nil"/>
              <w:bottom w:val="nil"/>
              <w:right w:val="nil"/>
            </w:tcBorders>
            <w:shd w:val="clear" w:color="auto" w:fill="auto"/>
            <w:vAlign w:val="center"/>
          </w:tcPr>
          <w:p w14:paraId="7FE5634F">
            <w:pPr>
              <w:autoSpaceDE w:val="0"/>
              <w:autoSpaceDN w:val="0"/>
              <w:spacing w:line="300" w:lineRule="auto"/>
              <w:jc w:val="center"/>
              <w:rPr>
                <w:rFonts w:eastAsia="Times New Roman"/>
                <w:kern w:val="0"/>
                <w:sz w:val="18"/>
                <w:szCs w:val="18"/>
              </w:rPr>
            </w:pPr>
            <w:r>
              <w:rPr>
                <w:rFonts w:hint="eastAsia" w:eastAsia="Times New Roman"/>
                <w:kern w:val="0"/>
                <w:sz w:val="18"/>
                <w:szCs w:val="18"/>
              </w:rPr>
              <w:t>TG kit</w:t>
            </w:r>
          </w:p>
        </w:tc>
        <w:tc>
          <w:tcPr>
            <w:tcW w:w="942" w:type="pct"/>
            <w:tcBorders>
              <w:top w:val="nil"/>
              <w:left w:val="nil"/>
              <w:bottom w:val="nil"/>
              <w:right w:val="nil"/>
            </w:tcBorders>
            <w:shd w:val="clear" w:color="auto" w:fill="auto"/>
            <w:vAlign w:val="center"/>
          </w:tcPr>
          <w:p w14:paraId="1E1FBBFF">
            <w:pPr>
              <w:autoSpaceDE w:val="0"/>
              <w:autoSpaceDN w:val="0"/>
              <w:spacing w:line="300" w:lineRule="auto"/>
              <w:jc w:val="center"/>
              <w:rPr>
                <w:rFonts w:eastAsia="Times New Roman"/>
                <w:kern w:val="0"/>
                <w:sz w:val="18"/>
                <w:szCs w:val="18"/>
              </w:rPr>
            </w:pPr>
            <w:r>
              <w:rPr>
                <w:rFonts w:hint="eastAsia" w:eastAsia="Times New Roman"/>
                <w:kern w:val="0"/>
                <w:sz w:val="18"/>
                <w:szCs w:val="18"/>
              </w:rPr>
              <w:t>R201</w:t>
            </w:r>
          </w:p>
        </w:tc>
        <w:tc>
          <w:tcPr>
            <w:tcW w:w="2315" w:type="pct"/>
            <w:vMerge w:val="continue"/>
            <w:tcBorders>
              <w:top w:val="nil"/>
              <w:left w:val="nil"/>
              <w:bottom w:val="nil"/>
              <w:right w:val="nil"/>
            </w:tcBorders>
            <w:shd w:val="clear" w:color="auto" w:fill="auto"/>
            <w:vAlign w:val="center"/>
          </w:tcPr>
          <w:p w14:paraId="427BE780">
            <w:pPr>
              <w:autoSpaceDE w:val="0"/>
              <w:autoSpaceDN w:val="0"/>
              <w:spacing w:line="300" w:lineRule="auto"/>
              <w:jc w:val="center"/>
              <w:rPr>
                <w:rFonts w:eastAsia="Times New Roman"/>
                <w:kern w:val="0"/>
                <w:sz w:val="18"/>
                <w:szCs w:val="18"/>
              </w:rPr>
            </w:pPr>
          </w:p>
        </w:tc>
      </w:tr>
      <w:tr w14:paraId="01F3E9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1" w:type="pct"/>
            <w:tcBorders>
              <w:top w:val="nil"/>
              <w:left w:val="nil"/>
              <w:bottom w:val="nil"/>
              <w:right w:val="nil"/>
            </w:tcBorders>
            <w:shd w:val="clear" w:color="auto" w:fill="auto"/>
            <w:vAlign w:val="center"/>
          </w:tcPr>
          <w:p w14:paraId="3ACED8A7">
            <w:pPr>
              <w:autoSpaceDE w:val="0"/>
              <w:autoSpaceDN w:val="0"/>
              <w:spacing w:line="300" w:lineRule="auto"/>
              <w:jc w:val="center"/>
              <w:rPr>
                <w:rFonts w:eastAsia="Times New Roman"/>
                <w:kern w:val="0"/>
                <w:sz w:val="18"/>
                <w:szCs w:val="18"/>
              </w:rPr>
            </w:pPr>
            <w:r>
              <w:rPr>
                <w:rFonts w:eastAsia="Times New Roman"/>
                <w:kern w:val="0"/>
                <w:sz w:val="18"/>
                <w:szCs w:val="18"/>
              </w:rPr>
              <w:t>4</w:t>
            </w:r>
          </w:p>
        </w:tc>
        <w:tc>
          <w:tcPr>
            <w:tcW w:w="1400" w:type="pct"/>
            <w:tcBorders>
              <w:top w:val="nil"/>
              <w:left w:val="nil"/>
              <w:bottom w:val="nil"/>
              <w:right w:val="nil"/>
            </w:tcBorders>
            <w:shd w:val="clear" w:color="auto" w:fill="auto"/>
            <w:vAlign w:val="center"/>
          </w:tcPr>
          <w:p w14:paraId="2C5A4819">
            <w:pPr>
              <w:autoSpaceDE w:val="0"/>
              <w:autoSpaceDN w:val="0"/>
              <w:spacing w:line="300" w:lineRule="auto"/>
              <w:jc w:val="center"/>
              <w:rPr>
                <w:rFonts w:eastAsia="Times New Roman"/>
                <w:kern w:val="0"/>
                <w:sz w:val="18"/>
                <w:szCs w:val="18"/>
              </w:rPr>
            </w:pPr>
            <w:r>
              <w:rPr>
                <w:rFonts w:hint="eastAsia" w:eastAsia="Times New Roman"/>
                <w:kern w:val="0"/>
                <w:sz w:val="18"/>
                <w:szCs w:val="18"/>
              </w:rPr>
              <w:t>HDL-c kit</w:t>
            </w:r>
          </w:p>
        </w:tc>
        <w:tc>
          <w:tcPr>
            <w:tcW w:w="942" w:type="pct"/>
            <w:tcBorders>
              <w:top w:val="nil"/>
              <w:left w:val="nil"/>
              <w:bottom w:val="nil"/>
              <w:right w:val="nil"/>
            </w:tcBorders>
            <w:shd w:val="clear" w:color="auto" w:fill="auto"/>
            <w:vAlign w:val="center"/>
          </w:tcPr>
          <w:p w14:paraId="1E8CC139">
            <w:pPr>
              <w:autoSpaceDE w:val="0"/>
              <w:autoSpaceDN w:val="0"/>
              <w:spacing w:line="300" w:lineRule="auto"/>
              <w:jc w:val="center"/>
              <w:rPr>
                <w:rFonts w:eastAsia="Times New Roman"/>
                <w:kern w:val="0"/>
                <w:sz w:val="18"/>
                <w:szCs w:val="18"/>
              </w:rPr>
            </w:pPr>
            <w:r>
              <w:rPr>
                <w:rFonts w:hint="eastAsia" w:eastAsia="Times New Roman"/>
                <w:kern w:val="0"/>
                <w:sz w:val="18"/>
                <w:szCs w:val="18"/>
              </w:rPr>
              <w:t>R203T</w:t>
            </w:r>
          </w:p>
        </w:tc>
        <w:tc>
          <w:tcPr>
            <w:tcW w:w="2315" w:type="pct"/>
            <w:vMerge w:val="continue"/>
            <w:tcBorders>
              <w:top w:val="nil"/>
              <w:left w:val="nil"/>
              <w:bottom w:val="nil"/>
              <w:right w:val="nil"/>
            </w:tcBorders>
            <w:shd w:val="clear" w:color="auto" w:fill="auto"/>
            <w:vAlign w:val="center"/>
          </w:tcPr>
          <w:p w14:paraId="18DD6EE4">
            <w:pPr>
              <w:autoSpaceDE w:val="0"/>
              <w:autoSpaceDN w:val="0"/>
              <w:spacing w:line="300" w:lineRule="auto"/>
              <w:jc w:val="center"/>
              <w:rPr>
                <w:rFonts w:eastAsia="Times New Roman"/>
                <w:kern w:val="0"/>
                <w:sz w:val="18"/>
                <w:szCs w:val="18"/>
              </w:rPr>
            </w:pPr>
          </w:p>
        </w:tc>
      </w:tr>
      <w:tr w14:paraId="69EBC3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1" w:type="pct"/>
            <w:tcBorders>
              <w:top w:val="nil"/>
              <w:left w:val="nil"/>
              <w:bottom w:val="nil"/>
              <w:right w:val="nil"/>
            </w:tcBorders>
            <w:shd w:val="clear" w:color="auto" w:fill="auto"/>
            <w:vAlign w:val="center"/>
          </w:tcPr>
          <w:p w14:paraId="055AA106">
            <w:pPr>
              <w:autoSpaceDE w:val="0"/>
              <w:autoSpaceDN w:val="0"/>
              <w:spacing w:line="300" w:lineRule="auto"/>
              <w:jc w:val="center"/>
              <w:rPr>
                <w:rFonts w:eastAsia="Times New Roman"/>
                <w:kern w:val="0"/>
                <w:sz w:val="18"/>
                <w:szCs w:val="18"/>
              </w:rPr>
            </w:pPr>
            <w:r>
              <w:rPr>
                <w:rFonts w:hint="eastAsia" w:eastAsia="Times New Roman"/>
                <w:kern w:val="0"/>
                <w:sz w:val="18"/>
                <w:szCs w:val="18"/>
              </w:rPr>
              <w:t>5</w:t>
            </w:r>
          </w:p>
        </w:tc>
        <w:tc>
          <w:tcPr>
            <w:tcW w:w="1400" w:type="pct"/>
            <w:tcBorders>
              <w:top w:val="nil"/>
              <w:left w:val="nil"/>
              <w:bottom w:val="nil"/>
              <w:right w:val="nil"/>
            </w:tcBorders>
            <w:shd w:val="clear" w:color="auto" w:fill="auto"/>
            <w:vAlign w:val="center"/>
          </w:tcPr>
          <w:p w14:paraId="00E020DA">
            <w:pPr>
              <w:autoSpaceDE w:val="0"/>
              <w:autoSpaceDN w:val="0"/>
              <w:spacing w:line="300" w:lineRule="auto"/>
              <w:jc w:val="center"/>
              <w:rPr>
                <w:rFonts w:eastAsia="Times New Roman"/>
                <w:kern w:val="0"/>
                <w:sz w:val="18"/>
                <w:szCs w:val="18"/>
              </w:rPr>
            </w:pPr>
            <w:r>
              <w:rPr>
                <w:rFonts w:hint="eastAsia" w:eastAsia="Times New Roman"/>
                <w:kern w:val="0"/>
                <w:sz w:val="18"/>
                <w:szCs w:val="18"/>
              </w:rPr>
              <w:t>GLU kit</w:t>
            </w:r>
          </w:p>
        </w:tc>
        <w:tc>
          <w:tcPr>
            <w:tcW w:w="942" w:type="pct"/>
            <w:tcBorders>
              <w:top w:val="nil"/>
              <w:left w:val="nil"/>
              <w:bottom w:val="nil"/>
              <w:right w:val="nil"/>
            </w:tcBorders>
            <w:shd w:val="clear" w:color="auto" w:fill="auto"/>
            <w:vAlign w:val="center"/>
          </w:tcPr>
          <w:p w14:paraId="3159021C">
            <w:pPr>
              <w:autoSpaceDE w:val="0"/>
              <w:autoSpaceDN w:val="0"/>
              <w:spacing w:line="300" w:lineRule="auto"/>
              <w:jc w:val="center"/>
              <w:rPr>
                <w:rFonts w:eastAsia="Times New Roman"/>
                <w:kern w:val="0"/>
                <w:sz w:val="18"/>
                <w:szCs w:val="18"/>
              </w:rPr>
            </w:pPr>
            <w:r>
              <w:rPr>
                <w:rFonts w:hint="eastAsia" w:eastAsia="Times New Roman"/>
                <w:kern w:val="0"/>
                <w:sz w:val="18"/>
                <w:szCs w:val="18"/>
              </w:rPr>
              <w:t>R108</w:t>
            </w:r>
          </w:p>
        </w:tc>
        <w:tc>
          <w:tcPr>
            <w:tcW w:w="2315" w:type="pct"/>
            <w:vMerge w:val="continue"/>
            <w:tcBorders>
              <w:top w:val="nil"/>
              <w:left w:val="nil"/>
              <w:bottom w:val="nil"/>
              <w:right w:val="nil"/>
            </w:tcBorders>
            <w:shd w:val="clear" w:color="auto" w:fill="auto"/>
            <w:vAlign w:val="center"/>
          </w:tcPr>
          <w:p w14:paraId="3EB2BC3A">
            <w:pPr>
              <w:autoSpaceDE w:val="0"/>
              <w:autoSpaceDN w:val="0"/>
              <w:spacing w:line="300" w:lineRule="auto"/>
              <w:jc w:val="center"/>
              <w:rPr>
                <w:rFonts w:eastAsia="Times New Roman"/>
                <w:kern w:val="0"/>
                <w:sz w:val="18"/>
                <w:szCs w:val="18"/>
              </w:rPr>
            </w:pPr>
          </w:p>
        </w:tc>
      </w:tr>
      <w:tr w14:paraId="5150C8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1" w:type="pct"/>
            <w:tcBorders>
              <w:top w:val="nil"/>
              <w:left w:val="nil"/>
              <w:bottom w:val="nil"/>
              <w:right w:val="nil"/>
            </w:tcBorders>
            <w:shd w:val="clear" w:color="auto" w:fill="auto"/>
            <w:vAlign w:val="center"/>
          </w:tcPr>
          <w:p w14:paraId="14AB0C5C">
            <w:pPr>
              <w:autoSpaceDE w:val="0"/>
              <w:autoSpaceDN w:val="0"/>
              <w:spacing w:line="300" w:lineRule="auto"/>
              <w:jc w:val="center"/>
              <w:rPr>
                <w:rFonts w:eastAsia="Times New Roman"/>
                <w:kern w:val="0"/>
                <w:sz w:val="18"/>
                <w:szCs w:val="18"/>
              </w:rPr>
            </w:pPr>
            <w:r>
              <w:rPr>
                <w:rFonts w:hint="eastAsia" w:eastAsia="Times New Roman"/>
                <w:kern w:val="0"/>
                <w:sz w:val="18"/>
                <w:szCs w:val="18"/>
              </w:rPr>
              <w:t>6</w:t>
            </w:r>
          </w:p>
        </w:tc>
        <w:tc>
          <w:tcPr>
            <w:tcW w:w="1400" w:type="pct"/>
            <w:tcBorders>
              <w:top w:val="nil"/>
              <w:left w:val="nil"/>
              <w:bottom w:val="nil"/>
              <w:right w:val="nil"/>
            </w:tcBorders>
            <w:shd w:val="clear" w:color="auto" w:fill="auto"/>
            <w:vAlign w:val="center"/>
          </w:tcPr>
          <w:p w14:paraId="0105E0B2">
            <w:pPr>
              <w:autoSpaceDE w:val="0"/>
              <w:autoSpaceDN w:val="0"/>
              <w:spacing w:line="300" w:lineRule="auto"/>
              <w:jc w:val="center"/>
              <w:rPr>
                <w:rFonts w:eastAsia="Times New Roman"/>
                <w:kern w:val="0"/>
                <w:sz w:val="18"/>
                <w:szCs w:val="18"/>
              </w:rPr>
            </w:pPr>
            <w:r>
              <w:rPr>
                <w:rFonts w:hint="eastAsia" w:eastAsia="Times New Roman"/>
                <w:kern w:val="0"/>
                <w:sz w:val="18"/>
                <w:szCs w:val="18"/>
              </w:rPr>
              <w:t>AST kit</w:t>
            </w:r>
          </w:p>
        </w:tc>
        <w:tc>
          <w:tcPr>
            <w:tcW w:w="942" w:type="pct"/>
            <w:tcBorders>
              <w:top w:val="nil"/>
              <w:left w:val="nil"/>
              <w:bottom w:val="nil"/>
              <w:right w:val="nil"/>
            </w:tcBorders>
            <w:shd w:val="clear" w:color="auto" w:fill="auto"/>
            <w:vAlign w:val="center"/>
          </w:tcPr>
          <w:p w14:paraId="5989B3C7">
            <w:pPr>
              <w:autoSpaceDE w:val="0"/>
              <w:autoSpaceDN w:val="0"/>
              <w:spacing w:line="300" w:lineRule="auto"/>
              <w:jc w:val="center"/>
              <w:rPr>
                <w:rFonts w:eastAsia="Times New Roman"/>
                <w:kern w:val="0"/>
                <w:sz w:val="18"/>
                <w:szCs w:val="18"/>
              </w:rPr>
            </w:pPr>
            <w:r>
              <w:rPr>
                <w:rFonts w:hint="eastAsia" w:eastAsia="Times New Roman"/>
                <w:kern w:val="0"/>
                <w:sz w:val="18"/>
                <w:szCs w:val="18"/>
              </w:rPr>
              <w:t>R001</w:t>
            </w:r>
          </w:p>
        </w:tc>
        <w:tc>
          <w:tcPr>
            <w:tcW w:w="2315" w:type="pct"/>
            <w:vMerge w:val="continue"/>
            <w:tcBorders>
              <w:top w:val="nil"/>
              <w:left w:val="nil"/>
              <w:bottom w:val="nil"/>
              <w:right w:val="nil"/>
            </w:tcBorders>
            <w:shd w:val="clear" w:color="auto" w:fill="auto"/>
            <w:vAlign w:val="center"/>
          </w:tcPr>
          <w:p w14:paraId="12C2AC18">
            <w:pPr>
              <w:autoSpaceDE w:val="0"/>
              <w:autoSpaceDN w:val="0"/>
              <w:spacing w:line="300" w:lineRule="auto"/>
              <w:jc w:val="center"/>
              <w:rPr>
                <w:rFonts w:eastAsia="Times New Roman"/>
                <w:kern w:val="0"/>
                <w:sz w:val="18"/>
                <w:szCs w:val="18"/>
              </w:rPr>
            </w:pPr>
          </w:p>
        </w:tc>
      </w:tr>
      <w:tr w14:paraId="6E8B94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1" w:type="pct"/>
            <w:tcBorders>
              <w:top w:val="nil"/>
              <w:left w:val="nil"/>
              <w:bottom w:val="nil"/>
              <w:right w:val="nil"/>
            </w:tcBorders>
            <w:shd w:val="clear" w:color="auto" w:fill="auto"/>
            <w:vAlign w:val="center"/>
          </w:tcPr>
          <w:p w14:paraId="232E3710">
            <w:pPr>
              <w:autoSpaceDE w:val="0"/>
              <w:autoSpaceDN w:val="0"/>
              <w:spacing w:line="300" w:lineRule="auto"/>
              <w:jc w:val="center"/>
              <w:rPr>
                <w:rFonts w:eastAsia="Times New Roman"/>
                <w:kern w:val="0"/>
                <w:sz w:val="18"/>
                <w:szCs w:val="18"/>
              </w:rPr>
            </w:pPr>
            <w:r>
              <w:rPr>
                <w:rFonts w:hint="eastAsia" w:eastAsia="Times New Roman"/>
                <w:kern w:val="0"/>
                <w:sz w:val="18"/>
                <w:szCs w:val="18"/>
              </w:rPr>
              <w:t>7</w:t>
            </w:r>
          </w:p>
        </w:tc>
        <w:tc>
          <w:tcPr>
            <w:tcW w:w="1400" w:type="pct"/>
            <w:tcBorders>
              <w:top w:val="nil"/>
              <w:left w:val="nil"/>
              <w:bottom w:val="nil"/>
              <w:right w:val="nil"/>
            </w:tcBorders>
            <w:shd w:val="clear" w:color="auto" w:fill="auto"/>
            <w:vAlign w:val="center"/>
          </w:tcPr>
          <w:p w14:paraId="3F03217A">
            <w:pPr>
              <w:autoSpaceDE w:val="0"/>
              <w:autoSpaceDN w:val="0"/>
              <w:spacing w:line="300" w:lineRule="auto"/>
              <w:jc w:val="center"/>
              <w:rPr>
                <w:rFonts w:eastAsia="Times New Roman"/>
                <w:kern w:val="0"/>
                <w:sz w:val="18"/>
                <w:szCs w:val="18"/>
              </w:rPr>
            </w:pPr>
            <w:r>
              <w:rPr>
                <w:rFonts w:hint="eastAsia" w:eastAsia="Times New Roman"/>
                <w:kern w:val="0"/>
                <w:sz w:val="18"/>
                <w:szCs w:val="18"/>
              </w:rPr>
              <w:t>ALT kit</w:t>
            </w:r>
          </w:p>
        </w:tc>
        <w:tc>
          <w:tcPr>
            <w:tcW w:w="942" w:type="pct"/>
            <w:tcBorders>
              <w:top w:val="nil"/>
              <w:left w:val="nil"/>
              <w:bottom w:val="nil"/>
              <w:right w:val="nil"/>
            </w:tcBorders>
            <w:shd w:val="clear" w:color="auto" w:fill="auto"/>
            <w:vAlign w:val="center"/>
          </w:tcPr>
          <w:p w14:paraId="762815CA">
            <w:pPr>
              <w:autoSpaceDE w:val="0"/>
              <w:autoSpaceDN w:val="0"/>
              <w:spacing w:line="300" w:lineRule="auto"/>
              <w:jc w:val="center"/>
              <w:rPr>
                <w:rFonts w:eastAsia="Times New Roman"/>
                <w:kern w:val="0"/>
                <w:sz w:val="18"/>
                <w:szCs w:val="18"/>
              </w:rPr>
            </w:pPr>
            <w:r>
              <w:rPr>
                <w:rFonts w:hint="eastAsia" w:eastAsia="Times New Roman"/>
                <w:kern w:val="0"/>
                <w:sz w:val="18"/>
                <w:szCs w:val="18"/>
              </w:rPr>
              <w:t>R002</w:t>
            </w:r>
          </w:p>
        </w:tc>
        <w:tc>
          <w:tcPr>
            <w:tcW w:w="2315" w:type="pct"/>
            <w:vMerge w:val="continue"/>
            <w:tcBorders>
              <w:top w:val="nil"/>
              <w:left w:val="nil"/>
              <w:bottom w:val="nil"/>
              <w:right w:val="nil"/>
            </w:tcBorders>
            <w:shd w:val="clear" w:color="auto" w:fill="auto"/>
            <w:vAlign w:val="center"/>
          </w:tcPr>
          <w:p w14:paraId="7AD8E9BB">
            <w:pPr>
              <w:autoSpaceDE w:val="0"/>
              <w:autoSpaceDN w:val="0"/>
              <w:spacing w:line="300" w:lineRule="auto"/>
              <w:jc w:val="center"/>
              <w:rPr>
                <w:rFonts w:eastAsia="Times New Roman"/>
                <w:kern w:val="0"/>
                <w:sz w:val="18"/>
                <w:szCs w:val="18"/>
              </w:rPr>
            </w:pPr>
          </w:p>
        </w:tc>
      </w:tr>
      <w:tr w14:paraId="2C4AC7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1" w:type="pct"/>
            <w:tcBorders>
              <w:top w:val="nil"/>
              <w:left w:val="nil"/>
              <w:bottom w:val="nil"/>
              <w:right w:val="nil"/>
            </w:tcBorders>
            <w:shd w:val="clear" w:color="auto" w:fill="auto"/>
            <w:vAlign w:val="center"/>
          </w:tcPr>
          <w:p w14:paraId="7BD895FF">
            <w:pPr>
              <w:autoSpaceDE w:val="0"/>
              <w:autoSpaceDN w:val="0"/>
              <w:spacing w:line="300" w:lineRule="auto"/>
              <w:jc w:val="center"/>
              <w:rPr>
                <w:rFonts w:eastAsia="Times New Roman"/>
                <w:kern w:val="0"/>
                <w:sz w:val="18"/>
                <w:szCs w:val="18"/>
              </w:rPr>
            </w:pPr>
            <w:r>
              <w:rPr>
                <w:rFonts w:hint="eastAsia" w:eastAsia="Times New Roman"/>
                <w:kern w:val="0"/>
                <w:sz w:val="18"/>
                <w:szCs w:val="18"/>
              </w:rPr>
              <w:t>8</w:t>
            </w:r>
          </w:p>
        </w:tc>
        <w:tc>
          <w:tcPr>
            <w:tcW w:w="1400" w:type="pct"/>
            <w:tcBorders>
              <w:top w:val="nil"/>
              <w:left w:val="nil"/>
              <w:bottom w:val="nil"/>
              <w:right w:val="nil"/>
            </w:tcBorders>
            <w:shd w:val="clear" w:color="auto" w:fill="auto"/>
            <w:vAlign w:val="center"/>
          </w:tcPr>
          <w:p w14:paraId="3EFF5EE2">
            <w:pPr>
              <w:autoSpaceDE w:val="0"/>
              <w:autoSpaceDN w:val="0"/>
              <w:spacing w:line="300" w:lineRule="auto"/>
              <w:jc w:val="center"/>
              <w:rPr>
                <w:rFonts w:eastAsia="Times New Roman"/>
                <w:kern w:val="0"/>
                <w:sz w:val="18"/>
                <w:szCs w:val="18"/>
              </w:rPr>
            </w:pPr>
            <w:r>
              <w:rPr>
                <w:rFonts w:hint="eastAsia" w:eastAsia="Times New Roman"/>
                <w:kern w:val="0"/>
                <w:sz w:val="18"/>
                <w:szCs w:val="18"/>
              </w:rPr>
              <w:t>Hematoxylin-Eosin reagent</w:t>
            </w:r>
          </w:p>
        </w:tc>
        <w:tc>
          <w:tcPr>
            <w:tcW w:w="942" w:type="pct"/>
            <w:tcBorders>
              <w:top w:val="nil"/>
              <w:left w:val="nil"/>
              <w:bottom w:val="nil"/>
              <w:right w:val="nil"/>
            </w:tcBorders>
            <w:shd w:val="clear" w:color="auto" w:fill="auto"/>
            <w:vAlign w:val="center"/>
          </w:tcPr>
          <w:p w14:paraId="65E7D8B2">
            <w:pPr>
              <w:autoSpaceDE w:val="0"/>
              <w:autoSpaceDN w:val="0"/>
              <w:spacing w:line="300" w:lineRule="auto"/>
              <w:jc w:val="center"/>
              <w:rPr>
                <w:rFonts w:eastAsia="Times New Roman"/>
                <w:kern w:val="0"/>
                <w:sz w:val="18"/>
                <w:szCs w:val="18"/>
              </w:rPr>
            </w:pPr>
            <w:r>
              <w:rPr>
                <w:rFonts w:eastAsia="Times New Roman"/>
                <w:kern w:val="0"/>
                <w:sz w:val="18"/>
                <w:szCs w:val="18"/>
              </w:rPr>
              <w:t>R20570-2</w:t>
            </w:r>
          </w:p>
        </w:tc>
        <w:tc>
          <w:tcPr>
            <w:tcW w:w="2315" w:type="pct"/>
            <w:tcBorders>
              <w:top w:val="nil"/>
              <w:left w:val="nil"/>
              <w:bottom w:val="nil"/>
              <w:right w:val="nil"/>
            </w:tcBorders>
            <w:shd w:val="clear" w:color="auto" w:fill="auto"/>
            <w:vAlign w:val="center"/>
          </w:tcPr>
          <w:p w14:paraId="0A710147">
            <w:pPr>
              <w:autoSpaceDE w:val="0"/>
              <w:autoSpaceDN w:val="0"/>
              <w:spacing w:line="300" w:lineRule="auto"/>
              <w:jc w:val="center"/>
              <w:rPr>
                <w:rFonts w:eastAsia="Times New Roman"/>
                <w:kern w:val="0"/>
                <w:sz w:val="18"/>
                <w:szCs w:val="18"/>
              </w:rPr>
            </w:pPr>
            <w:r>
              <w:rPr>
                <w:rFonts w:hint="eastAsia" w:eastAsia="Times New Roman"/>
                <w:kern w:val="0"/>
                <w:sz w:val="18"/>
                <w:szCs w:val="18"/>
              </w:rPr>
              <w:t>Shanghai Yuanye Biotechnology Co., Ltd.</w:t>
            </w:r>
          </w:p>
        </w:tc>
      </w:tr>
      <w:tr w14:paraId="4EA978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1" w:type="pct"/>
            <w:tcBorders>
              <w:top w:val="nil"/>
              <w:left w:val="nil"/>
              <w:bottom w:val="nil"/>
              <w:right w:val="nil"/>
            </w:tcBorders>
            <w:shd w:val="clear" w:color="auto" w:fill="auto"/>
            <w:vAlign w:val="center"/>
          </w:tcPr>
          <w:p w14:paraId="4BDDEB1D">
            <w:pPr>
              <w:autoSpaceDE w:val="0"/>
              <w:autoSpaceDN w:val="0"/>
              <w:spacing w:line="300" w:lineRule="auto"/>
              <w:jc w:val="center"/>
              <w:rPr>
                <w:rFonts w:eastAsia="Times New Roman"/>
                <w:kern w:val="0"/>
                <w:sz w:val="18"/>
                <w:szCs w:val="18"/>
              </w:rPr>
            </w:pPr>
            <w:r>
              <w:rPr>
                <w:rFonts w:hint="eastAsia" w:eastAsia="Times New Roman"/>
                <w:kern w:val="0"/>
                <w:sz w:val="18"/>
                <w:szCs w:val="18"/>
              </w:rPr>
              <w:t>9</w:t>
            </w:r>
          </w:p>
        </w:tc>
        <w:tc>
          <w:tcPr>
            <w:tcW w:w="1400" w:type="pct"/>
            <w:tcBorders>
              <w:top w:val="nil"/>
              <w:left w:val="nil"/>
              <w:bottom w:val="nil"/>
              <w:right w:val="nil"/>
            </w:tcBorders>
            <w:shd w:val="clear" w:color="auto" w:fill="auto"/>
            <w:vAlign w:val="center"/>
          </w:tcPr>
          <w:p w14:paraId="1B9193A0">
            <w:pPr>
              <w:autoSpaceDE w:val="0"/>
              <w:autoSpaceDN w:val="0"/>
              <w:spacing w:line="300" w:lineRule="auto"/>
              <w:jc w:val="center"/>
              <w:rPr>
                <w:rFonts w:eastAsia="Times New Roman"/>
                <w:kern w:val="0"/>
                <w:sz w:val="18"/>
                <w:szCs w:val="18"/>
              </w:rPr>
            </w:pPr>
            <w:r>
              <w:rPr>
                <w:rFonts w:hint="eastAsia" w:eastAsia="Times New Roman"/>
                <w:kern w:val="0"/>
                <w:sz w:val="18"/>
                <w:szCs w:val="18"/>
              </w:rPr>
              <w:t>Oil red O reagent</w:t>
            </w:r>
          </w:p>
        </w:tc>
        <w:tc>
          <w:tcPr>
            <w:tcW w:w="942" w:type="pct"/>
            <w:tcBorders>
              <w:top w:val="nil"/>
              <w:left w:val="nil"/>
              <w:bottom w:val="nil"/>
              <w:right w:val="nil"/>
            </w:tcBorders>
            <w:shd w:val="clear" w:color="auto" w:fill="auto"/>
            <w:vAlign w:val="center"/>
          </w:tcPr>
          <w:p w14:paraId="3AD91DAB">
            <w:pPr>
              <w:autoSpaceDE w:val="0"/>
              <w:autoSpaceDN w:val="0"/>
              <w:spacing w:line="300" w:lineRule="auto"/>
              <w:jc w:val="center"/>
              <w:rPr>
                <w:rFonts w:eastAsia="Times New Roman"/>
                <w:kern w:val="0"/>
                <w:sz w:val="18"/>
                <w:szCs w:val="18"/>
              </w:rPr>
            </w:pPr>
            <w:r>
              <w:rPr>
                <w:rFonts w:hint="eastAsia" w:eastAsia="Times New Roman"/>
                <w:kern w:val="0"/>
                <w:sz w:val="18"/>
                <w:szCs w:val="18"/>
              </w:rPr>
              <w:t>A600395</w:t>
            </w:r>
          </w:p>
        </w:tc>
        <w:tc>
          <w:tcPr>
            <w:tcW w:w="2315" w:type="pct"/>
            <w:tcBorders>
              <w:top w:val="nil"/>
              <w:left w:val="nil"/>
              <w:bottom w:val="nil"/>
              <w:right w:val="nil"/>
            </w:tcBorders>
            <w:shd w:val="clear" w:color="auto" w:fill="auto"/>
            <w:vAlign w:val="center"/>
          </w:tcPr>
          <w:p w14:paraId="3653F9F8">
            <w:pPr>
              <w:autoSpaceDE w:val="0"/>
              <w:autoSpaceDN w:val="0"/>
              <w:spacing w:line="300" w:lineRule="auto"/>
              <w:jc w:val="center"/>
              <w:rPr>
                <w:rFonts w:eastAsia="Times New Roman"/>
                <w:kern w:val="0"/>
                <w:sz w:val="18"/>
                <w:szCs w:val="18"/>
              </w:rPr>
            </w:pPr>
            <w:r>
              <w:rPr>
                <w:rFonts w:eastAsia="Times New Roman"/>
                <w:kern w:val="0"/>
                <w:sz w:val="18"/>
                <w:szCs w:val="18"/>
              </w:rPr>
              <w:t>BBI Life Science Corporation</w:t>
            </w:r>
            <w:r>
              <w:rPr>
                <w:rFonts w:hint="eastAsia" w:eastAsia="Times New Roman"/>
                <w:kern w:val="0"/>
                <w:sz w:val="18"/>
                <w:szCs w:val="18"/>
              </w:rPr>
              <w:t xml:space="preserve"> </w:t>
            </w:r>
          </w:p>
        </w:tc>
      </w:tr>
      <w:tr w14:paraId="1C85FF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1" w:type="pct"/>
            <w:tcBorders>
              <w:top w:val="nil"/>
              <w:left w:val="nil"/>
              <w:bottom w:val="nil"/>
              <w:right w:val="nil"/>
            </w:tcBorders>
            <w:shd w:val="clear" w:color="auto" w:fill="auto"/>
            <w:vAlign w:val="center"/>
          </w:tcPr>
          <w:p w14:paraId="5682DB24">
            <w:pPr>
              <w:autoSpaceDE w:val="0"/>
              <w:autoSpaceDN w:val="0"/>
              <w:spacing w:line="300" w:lineRule="auto"/>
              <w:jc w:val="center"/>
              <w:rPr>
                <w:rFonts w:eastAsia="Times New Roman"/>
                <w:kern w:val="0"/>
                <w:sz w:val="18"/>
                <w:szCs w:val="18"/>
              </w:rPr>
            </w:pPr>
            <w:r>
              <w:rPr>
                <w:rFonts w:hint="eastAsia" w:eastAsia="Times New Roman"/>
                <w:kern w:val="0"/>
                <w:sz w:val="18"/>
                <w:szCs w:val="18"/>
              </w:rPr>
              <w:t>10</w:t>
            </w:r>
          </w:p>
        </w:tc>
        <w:tc>
          <w:tcPr>
            <w:tcW w:w="1400" w:type="pct"/>
            <w:tcBorders>
              <w:top w:val="nil"/>
              <w:left w:val="nil"/>
              <w:bottom w:val="nil"/>
              <w:right w:val="nil"/>
            </w:tcBorders>
            <w:shd w:val="clear" w:color="auto" w:fill="auto"/>
            <w:vAlign w:val="center"/>
          </w:tcPr>
          <w:p w14:paraId="751DE212">
            <w:pPr>
              <w:autoSpaceDE w:val="0"/>
              <w:autoSpaceDN w:val="0"/>
              <w:spacing w:line="300" w:lineRule="auto"/>
              <w:jc w:val="center"/>
              <w:rPr>
                <w:rFonts w:eastAsia="Times New Roman"/>
                <w:kern w:val="0"/>
                <w:sz w:val="18"/>
                <w:szCs w:val="18"/>
              </w:rPr>
            </w:pPr>
            <w:r>
              <w:rPr>
                <w:rFonts w:hint="eastAsia" w:eastAsia="Times New Roman"/>
                <w:kern w:val="0"/>
                <w:sz w:val="18"/>
                <w:szCs w:val="18"/>
              </w:rPr>
              <w:t>TC assay kit for liver</w:t>
            </w:r>
          </w:p>
        </w:tc>
        <w:tc>
          <w:tcPr>
            <w:tcW w:w="942" w:type="pct"/>
            <w:tcBorders>
              <w:top w:val="nil"/>
              <w:left w:val="nil"/>
              <w:bottom w:val="nil"/>
              <w:right w:val="nil"/>
            </w:tcBorders>
            <w:shd w:val="clear" w:color="auto" w:fill="auto"/>
            <w:vAlign w:val="center"/>
          </w:tcPr>
          <w:p w14:paraId="1676BF42">
            <w:pPr>
              <w:autoSpaceDE w:val="0"/>
              <w:autoSpaceDN w:val="0"/>
              <w:spacing w:line="300" w:lineRule="auto"/>
              <w:jc w:val="center"/>
              <w:rPr>
                <w:rFonts w:eastAsia="Times New Roman"/>
                <w:kern w:val="0"/>
                <w:sz w:val="18"/>
                <w:szCs w:val="18"/>
              </w:rPr>
            </w:pPr>
            <w:r>
              <w:rPr>
                <w:rFonts w:hint="eastAsia" w:eastAsia="Times New Roman"/>
                <w:kern w:val="0"/>
                <w:sz w:val="18"/>
                <w:szCs w:val="18"/>
              </w:rPr>
              <w:t>A111-1-1</w:t>
            </w:r>
          </w:p>
        </w:tc>
        <w:tc>
          <w:tcPr>
            <w:tcW w:w="2315" w:type="pct"/>
            <w:vMerge w:val="restart"/>
            <w:tcBorders>
              <w:top w:val="nil"/>
              <w:left w:val="nil"/>
              <w:right w:val="nil"/>
            </w:tcBorders>
            <w:shd w:val="clear" w:color="auto" w:fill="auto"/>
            <w:vAlign w:val="center"/>
          </w:tcPr>
          <w:p w14:paraId="6493FE0C">
            <w:pPr>
              <w:autoSpaceDE w:val="0"/>
              <w:autoSpaceDN w:val="0"/>
              <w:spacing w:line="300" w:lineRule="auto"/>
              <w:jc w:val="center"/>
              <w:rPr>
                <w:rFonts w:eastAsia="Times New Roman"/>
                <w:kern w:val="0"/>
                <w:sz w:val="18"/>
                <w:szCs w:val="18"/>
              </w:rPr>
            </w:pPr>
            <w:r>
              <w:rPr>
                <w:rFonts w:eastAsia="Times New Roman"/>
                <w:kern w:val="0"/>
                <w:sz w:val="18"/>
                <w:szCs w:val="18"/>
              </w:rPr>
              <w:t xml:space="preserve">Nanjing Jiancheng Bioengineering Institute </w:t>
            </w:r>
          </w:p>
        </w:tc>
      </w:tr>
      <w:tr w14:paraId="5BECC5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1" w:type="pct"/>
            <w:tcBorders>
              <w:top w:val="nil"/>
              <w:left w:val="nil"/>
              <w:bottom w:val="nil"/>
              <w:right w:val="nil"/>
            </w:tcBorders>
            <w:shd w:val="clear" w:color="auto" w:fill="auto"/>
            <w:vAlign w:val="center"/>
          </w:tcPr>
          <w:p w14:paraId="5BABB0B4">
            <w:pPr>
              <w:autoSpaceDE w:val="0"/>
              <w:autoSpaceDN w:val="0"/>
              <w:spacing w:line="300" w:lineRule="auto"/>
              <w:jc w:val="center"/>
              <w:rPr>
                <w:rFonts w:eastAsia="Times New Roman"/>
                <w:kern w:val="0"/>
                <w:sz w:val="18"/>
                <w:szCs w:val="18"/>
              </w:rPr>
            </w:pPr>
            <w:r>
              <w:rPr>
                <w:rFonts w:hint="eastAsia" w:eastAsia="Times New Roman"/>
                <w:kern w:val="0"/>
                <w:sz w:val="18"/>
                <w:szCs w:val="18"/>
              </w:rPr>
              <w:t>11</w:t>
            </w:r>
          </w:p>
        </w:tc>
        <w:tc>
          <w:tcPr>
            <w:tcW w:w="1400" w:type="pct"/>
            <w:tcBorders>
              <w:top w:val="nil"/>
              <w:left w:val="nil"/>
              <w:bottom w:val="nil"/>
              <w:right w:val="nil"/>
            </w:tcBorders>
            <w:shd w:val="clear" w:color="auto" w:fill="auto"/>
            <w:vAlign w:val="center"/>
          </w:tcPr>
          <w:p w14:paraId="64A6C999">
            <w:pPr>
              <w:autoSpaceDE w:val="0"/>
              <w:autoSpaceDN w:val="0"/>
              <w:spacing w:line="300" w:lineRule="auto"/>
              <w:jc w:val="center"/>
              <w:rPr>
                <w:rFonts w:eastAsia="Times New Roman"/>
                <w:kern w:val="0"/>
                <w:sz w:val="18"/>
                <w:szCs w:val="18"/>
              </w:rPr>
            </w:pPr>
            <w:r>
              <w:rPr>
                <w:rFonts w:hint="eastAsia" w:eastAsia="Times New Roman"/>
                <w:kern w:val="0"/>
                <w:sz w:val="18"/>
                <w:szCs w:val="18"/>
              </w:rPr>
              <w:t>TG assay kit for liver</w:t>
            </w:r>
          </w:p>
        </w:tc>
        <w:tc>
          <w:tcPr>
            <w:tcW w:w="942" w:type="pct"/>
            <w:tcBorders>
              <w:top w:val="nil"/>
              <w:left w:val="nil"/>
              <w:bottom w:val="nil"/>
              <w:right w:val="nil"/>
            </w:tcBorders>
            <w:shd w:val="clear" w:color="auto" w:fill="auto"/>
            <w:vAlign w:val="center"/>
          </w:tcPr>
          <w:p w14:paraId="6D90D51C">
            <w:pPr>
              <w:autoSpaceDE w:val="0"/>
              <w:autoSpaceDN w:val="0"/>
              <w:spacing w:line="300" w:lineRule="auto"/>
              <w:jc w:val="center"/>
              <w:rPr>
                <w:rFonts w:eastAsia="Times New Roman"/>
                <w:kern w:val="0"/>
                <w:sz w:val="18"/>
                <w:szCs w:val="18"/>
              </w:rPr>
            </w:pPr>
            <w:r>
              <w:rPr>
                <w:rFonts w:hint="eastAsia" w:eastAsia="Times New Roman"/>
                <w:kern w:val="0"/>
                <w:sz w:val="18"/>
                <w:szCs w:val="18"/>
              </w:rPr>
              <w:t>A110-1-1</w:t>
            </w:r>
          </w:p>
        </w:tc>
        <w:tc>
          <w:tcPr>
            <w:tcW w:w="2315" w:type="pct"/>
            <w:vMerge w:val="continue"/>
            <w:tcBorders>
              <w:left w:val="nil"/>
              <w:bottom w:val="nil"/>
              <w:right w:val="nil"/>
            </w:tcBorders>
            <w:shd w:val="clear" w:color="auto" w:fill="auto"/>
            <w:vAlign w:val="center"/>
          </w:tcPr>
          <w:p w14:paraId="684C8DE7">
            <w:pPr>
              <w:autoSpaceDE w:val="0"/>
              <w:autoSpaceDN w:val="0"/>
              <w:spacing w:line="300" w:lineRule="auto"/>
              <w:jc w:val="center"/>
              <w:rPr>
                <w:rFonts w:eastAsia="Times New Roman"/>
                <w:kern w:val="0"/>
                <w:sz w:val="18"/>
                <w:szCs w:val="18"/>
              </w:rPr>
            </w:pPr>
          </w:p>
        </w:tc>
      </w:tr>
      <w:tr w14:paraId="1BCD27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1" w:type="pct"/>
            <w:tcBorders>
              <w:top w:val="nil"/>
              <w:left w:val="nil"/>
              <w:bottom w:val="nil"/>
              <w:right w:val="nil"/>
            </w:tcBorders>
            <w:shd w:val="clear" w:color="auto" w:fill="auto"/>
            <w:vAlign w:val="center"/>
          </w:tcPr>
          <w:p w14:paraId="2553B0F9">
            <w:pPr>
              <w:autoSpaceDE w:val="0"/>
              <w:autoSpaceDN w:val="0"/>
              <w:spacing w:line="300" w:lineRule="auto"/>
              <w:jc w:val="center"/>
              <w:rPr>
                <w:rFonts w:eastAsia="Times New Roman"/>
                <w:kern w:val="0"/>
                <w:sz w:val="18"/>
                <w:szCs w:val="18"/>
              </w:rPr>
            </w:pPr>
            <w:r>
              <w:rPr>
                <w:rFonts w:hint="eastAsia" w:eastAsia="Times New Roman"/>
                <w:kern w:val="0"/>
                <w:sz w:val="18"/>
                <w:szCs w:val="18"/>
              </w:rPr>
              <w:t>12</w:t>
            </w:r>
          </w:p>
        </w:tc>
        <w:tc>
          <w:tcPr>
            <w:tcW w:w="1400" w:type="pct"/>
            <w:tcBorders>
              <w:top w:val="nil"/>
              <w:left w:val="nil"/>
              <w:bottom w:val="nil"/>
              <w:right w:val="nil"/>
            </w:tcBorders>
            <w:shd w:val="clear" w:color="auto" w:fill="auto"/>
            <w:vAlign w:val="center"/>
          </w:tcPr>
          <w:p w14:paraId="16B91175">
            <w:pPr>
              <w:autoSpaceDE w:val="0"/>
              <w:autoSpaceDN w:val="0"/>
              <w:spacing w:line="300" w:lineRule="auto"/>
              <w:jc w:val="center"/>
              <w:rPr>
                <w:rFonts w:eastAsia="Times New Roman"/>
                <w:kern w:val="0"/>
                <w:sz w:val="18"/>
                <w:szCs w:val="18"/>
                <w:lang w:bidi="ar-SA"/>
              </w:rPr>
            </w:pPr>
            <w:r>
              <w:rPr>
                <w:rFonts w:eastAsia="Times New Roman"/>
                <w:kern w:val="0"/>
                <w:sz w:val="18"/>
                <w:szCs w:val="18"/>
              </w:rPr>
              <w:t>ELISA kit of IL-1β</w:t>
            </w:r>
          </w:p>
        </w:tc>
        <w:tc>
          <w:tcPr>
            <w:tcW w:w="942" w:type="pct"/>
            <w:tcBorders>
              <w:top w:val="nil"/>
              <w:left w:val="nil"/>
              <w:bottom w:val="nil"/>
              <w:right w:val="nil"/>
            </w:tcBorders>
            <w:shd w:val="clear" w:color="auto" w:fill="auto"/>
            <w:vAlign w:val="center"/>
          </w:tcPr>
          <w:p w14:paraId="54DF768A">
            <w:pPr>
              <w:autoSpaceDE w:val="0"/>
              <w:autoSpaceDN w:val="0"/>
              <w:spacing w:line="300" w:lineRule="auto"/>
              <w:jc w:val="center"/>
              <w:rPr>
                <w:rFonts w:eastAsia="Times New Roman"/>
                <w:kern w:val="0"/>
                <w:sz w:val="18"/>
                <w:szCs w:val="18"/>
              </w:rPr>
            </w:pPr>
            <w:r>
              <w:rPr>
                <w:rFonts w:eastAsia="Times New Roman"/>
                <w:kern w:val="0"/>
                <w:sz w:val="18"/>
                <w:szCs w:val="18"/>
              </w:rPr>
              <w:t>MM-0040M1</w:t>
            </w:r>
          </w:p>
        </w:tc>
        <w:tc>
          <w:tcPr>
            <w:tcW w:w="2315" w:type="pct"/>
            <w:vMerge w:val="restart"/>
            <w:tcBorders>
              <w:top w:val="nil"/>
              <w:left w:val="nil"/>
              <w:right w:val="nil"/>
            </w:tcBorders>
            <w:shd w:val="clear" w:color="auto" w:fill="auto"/>
            <w:vAlign w:val="center"/>
          </w:tcPr>
          <w:p w14:paraId="1BD37F73">
            <w:pPr>
              <w:autoSpaceDE w:val="0"/>
              <w:autoSpaceDN w:val="0"/>
              <w:spacing w:line="300" w:lineRule="auto"/>
              <w:jc w:val="center"/>
              <w:rPr>
                <w:rFonts w:eastAsia="Times New Roman"/>
                <w:kern w:val="0"/>
                <w:sz w:val="18"/>
                <w:szCs w:val="18"/>
              </w:rPr>
            </w:pPr>
            <w:r>
              <w:rPr>
                <w:rFonts w:hint="eastAsia" w:eastAsia="Times New Roman"/>
                <w:kern w:val="0"/>
                <w:sz w:val="18"/>
                <w:szCs w:val="18"/>
              </w:rPr>
              <w:t>Jiangsu Meimian Industrial Co., Ltd.</w:t>
            </w:r>
          </w:p>
        </w:tc>
      </w:tr>
      <w:tr w14:paraId="043E82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1" w:type="pct"/>
            <w:tcBorders>
              <w:top w:val="nil"/>
              <w:left w:val="nil"/>
              <w:bottom w:val="nil"/>
              <w:right w:val="nil"/>
            </w:tcBorders>
            <w:shd w:val="clear" w:color="auto" w:fill="auto"/>
            <w:vAlign w:val="center"/>
          </w:tcPr>
          <w:p w14:paraId="28641534">
            <w:pPr>
              <w:autoSpaceDE w:val="0"/>
              <w:autoSpaceDN w:val="0"/>
              <w:spacing w:line="300" w:lineRule="auto"/>
              <w:jc w:val="center"/>
              <w:rPr>
                <w:rFonts w:eastAsia="Times New Roman"/>
                <w:kern w:val="0"/>
                <w:sz w:val="18"/>
                <w:szCs w:val="18"/>
              </w:rPr>
            </w:pPr>
            <w:r>
              <w:rPr>
                <w:rFonts w:hint="eastAsia" w:eastAsia="Times New Roman"/>
                <w:kern w:val="0"/>
                <w:sz w:val="18"/>
                <w:szCs w:val="18"/>
              </w:rPr>
              <w:t>13</w:t>
            </w:r>
          </w:p>
        </w:tc>
        <w:tc>
          <w:tcPr>
            <w:tcW w:w="1400" w:type="pct"/>
            <w:tcBorders>
              <w:top w:val="nil"/>
              <w:left w:val="nil"/>
              <w:bottom w:val="nil"/>
              <w:right w:val="nil"/>
            </w:tcBorders>
            <w:shd w:val="clear" w:color="auto" w:fill="auto"/>
            <w:vAlign w:val="center"/>
          </w:tcPr>
          <w:p w14:paraId="228E4668">
            <w:pPr>
              <w:autoSpaceDE w:val="0"/>
              <w:autoSpaceDN w:val="0"/>
              <w:spacing w:line="300" w:lineRule="auto"/>
              <w:jc w:val="center"/>
              <w:rPr>
                <w:rFonts w:eastAsia="Times New Roman"/>
                <w:kern w:val="0"/>
                <w:sz w:val="18"/>
                <w:szCs w:val="18"/>
                <w:lang w:bidi="ar-SA"/>
              </w:rPr>
            </w:pPr>
            <w:r>
              <w:rPr>
                <w:rFonts w:eastAsia="Times New Roman"/>
                <w:kern w:val="0"/>
                <w:sz w:val="18"/>
                <w:szCs w:val="18"/>
              </w:rPr>
              <w:t>ELISA kit of</w:t>
            </w:r>
            <w:r>
              <w:rPr>
                <w:rFonts w:hint="eastAsia" w:eastAsia="Times New Roman"/>
                <w:kern w:val="0"/>
                <w:sz w:val="18"/>
                <w:szCs w:val="18"/>
              </w:rPr>
              <w:t xml:space="preserve"> </w:t>
            </w:r>
            <w:r>
              <w:rPr>
                <w:rFonts w:eastAsia="Times New Roman"/>
                <w:kern w:val="0"/>
                <w:sz w:val="18"/>
                <w:szCs w:val="18"/>
              </w:rPr>
              <w:t>TNF-α</w:t>
            </w:r>
          </w:p>
        </w:tc>
        <w:tc>
          <w:tcPr>
            <w:tcW w:w="942" w:type="pct"/>
            <w:tcBorders>
              <w:top w:val="nil"/>
              <w:left w:val="nil"/>
              <w:bottom w:val="nil"/>
              <w:right w:val="nil"/>
            </w:tcBorders>
            <w:shd w:val="clear" w:color="auto" w:fill="auto"/>
            <w:vAlign w:val="center"/>
          </w:tcPr>
          <w:p w14:paraId="472FC771">
            <w:pPr>
              <w:autoSpaceDE w:val="0"/>
              <w:autoSpaceDN w:val="0"/>
              <w:spacing w:line="300" w:lineRule="auto"/>
              <w:jc w:val="center"/>
              <w:rPr>
                <w:rFonts w:eastAsia="Times New Roman"/>
                <w:kern w:val="0"/>
                <w:sz w:val="18"/>
                <w:szCs w:val="18"/>
              </w:rPr>
            </w:pPr>
            <w:r>
              <w:rPr>
                <w:rFonts w:eastAsia="Times New Roman"/>
                <w:kern w:val="0"/>
                <w:sz w:val="18"/>
                <w:szCs w:val="18"/>
              </w:rPr>
              <w:t>MM-0132M1</w:t>
            </w:r>
          </w:p>
        </w:tc>
        <w:tc>
          <w:tcPr>
            <w:tcW w:w="2315" w:type="pct"/>
            <w:vMerge w:val="continue"/>
            <w:tcBorders>
              <w:left w:val="nil"/>
              <w:bottom w:val="nil"/>
              <w:right w:val="nil"/>
            </w:tcBorders>
            <w:shd w:val="clear" w:color="auto" w:fill="auto"/>
            <w:vAlign w:val="center"/>
          </w:tcPr>
          <w:p w14:paraId="0F0314B8">
            <w:pPr>
              <w:autoSpaceDE w:val="0"/>
              <w:autoSpaceDN w:val="0"/>
              <w:spacing w:line="300" w:lineRule="auto"/>
              <w:jc w:val="center"/>
              <w:rPr>
                <w:rFonts w:eastAsia="Times New Roman"/>
                <w:kern w:val="0"/>
                <w:sz w:val="18"/>
                <w:szCs w:val="18"/>
              </w:rPr>
            </w:pPr>
          </w:p>
        </w:tc>
      </w:tr>
      <w:tr w14:paraId="60E7E5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1" w:type="pct"/>
            <w:tcBorders>
              <w:top w:val="nil"/>
              <w:left w:val="nil"/>
              <w:bottom w:val="nil"/>
              <w:right w:val="nil"/>
            </w:tcBorders>
            <w:shd w:val="clear" w:color="auto" w:fill="auto"/>
            <w:vAlign w:val="center"/>
          </w:tcPr>
          <w:p w14:paraId="6D110BAF">
            <w:pPr>
              <w:autoSpaceDE w:val="0"/>
              <w:autoSpaceDN w:val="0"/>
              <w:spacing w:line="300" w:lineRule="auto"/>
              <w:jc w:val="center"/>
              <w:rPr>
                <w:rFonts w:eastAsia="Times New Roman"/>
                <w:kern w:val="0"/>
                <w:sz w:val="18"/>
                <w:szCs w:val="18"/>
              </w:rPr>
            </w:pPr>
            <w:r>
              <w:rPr>
                <w:rFonts w:hint="eastAsia" w:eastAsia="Times New Roman"/>
                <w:kern w:val="0"/>
                <w:sz w:val="18"/>
                <w:szCs w:val="18"/>
              </w:rPr>
              <w:t>14</w:t>
            </w:r>
          </w:p>
        </w:tc>
        <w:tc>
          <w:tcPr>
            <w:tcW w:w="1400" w:type="pct"/>
            <w:tcBorders>
              <w:top w:val="nil"/>
              <w:left w:val="nil"/>
              <w:bottom w:val="nil"/>
              <w:right w:val="nil"/>
            </w:tcBorders>
            <w:shd w:val="clear" w:color="auto" w:fill="auto"/>
            <w:vAlign w:val="center"/>
          </w:tcPr>
          <w:p w14:paraId="41FA3149">
            <w:pPr>
              <w:autoSpaceDE w:val="0"/>
              <w:autoSpaceDN w:val="0"/>
              <w:spacing w:line="300" w:lineRule="auto"/>
              <w:jc w:val="center"/>
              <w:rPr>
                <w:rFonts w:eastAsia="Times New Roman"/>
                <w:kern w:val="0"/>
                <w:sz w:val="18"/>
                <w:szCs w:val="18"/>
              </w:rPr>
            </w:pPr>
            <w:r>
              <w:rPr>
                <w:rFonts w:hint="eastAsia" w:eastAsia="Times New Roman"/>
                <w:kern w:val="0"/>
                <w:sz w:val="18"/>
                <w:szCs w:val="18"/>
              </w:rPr>
              <w:t>Instant immunohistochemistry kit</w:t>
            </w:r>
          </w:p>
        </w:tc>
        <w:tc>
          <w:tcPr>
            <w:tcW w:w="942" w:type="pct"/>
            <w:tcBorders>
              <w:top w:val="nil"/>
              <w:left w:val="nil"/>
              <w:bottom w:val="nil"/>
              <w:right w:val="nil"/>
            </w:tcBorders>
            <w:shd w:val="clear" w:color="auto" w:fill="auto"/>
            <w:vAlign w:val="center"/>
          </w:tcPr>
          <w:p w14:paraId="364188F9">
            <w:pPr>
              <w:autoSpaceDE w:val="0"/>
              <w:autoSpaceDN w:val="0"/>
              <w:spacing w:line="300" w:lineRule="auto"/>
              <w:jc w:val="center"/>
              <w:rPr>
                <w:rFonts w:eastAsia="Times New Roman"/>
                <w:kern w:val="0"/>
                <w:sz w:val="18"/>
                <w:szCs w:val="18"/>
              </w:rPr>
            </w:pPr>
            <w:r>
              <w:rPr>
                <w:rFonts w:eastAsia="Times New Roman"/>
                <w:kern w:val="0"/>
                <w:sz w:val="18"/>
                <w:szCs w:val="18"/>
              </w:rPr>
              <w:t>SA1020</w:t>
            </w:r>
          </w:p>
        </w:tc>
        <w:tc>
          <w:tcPr>
            <w:tcW w:w="2315" w:type="pct"/>
            <w:tcBorders>
              <w:top w:val="nil"/>
              <w:left w:val="nil"/>
              <w:bottom w:val="nil"/>
              <w:right w:val="nil"/>
            </w:tcBorders>
            <w:shd w:val="clear" w:color="auto" w:fill="auto"/>
            <w:vAlign w:val="center"/>
          </w:tcPr>
          <w:p w14:paraId="0B308EEE">
            <w:pPr>
              <w:autoSpaceDE w:val="0"/>
              <w:autoSpaceDN w:val="0"/>
              <w:spacing w:line="300" w:lineRule="auto"/>
              <w:jc w:val="center"/>
              <w:rPr>
                <w:rFonts w:eastAsia="Times New Roman"/>
                <w:kern w:val="0"/>
                <w:sz w:val="18"/>
                <w:szCs w:val="18"/>
              </w:rPr>
            </w:pPr>
            <w:r>
              <w:rPr>
                <w:rFonts w:hint="eastAsia" w:eastAsia="Times New Roman"/>
                <w:kern w:val="0"/>
                <w:sz w:val="18"/>
                <w:szCs w:val="18"/>
              </w:rPr>
              <w:t>Wuhan Boster Biological Technology Co., Ltd.</w:t>
            </w:r>
          </w:p>
        </w:tc>
      </w:tr>
      <w:tr w14:paraId="29454A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1" w:type="pct"/>
            <w:tcBorders>
              <w:top w:val="nil"/>
              <w:left w:val="nil"/>
              <w:bottom w:val="nil"/>
              <w:right w:val="nil"/>
            </w:tcBorders>
            <w:shd w:val="clear" w:color="auto" w:fill="auto"/>
            <w:vAlign w:val="center"/>
          </w:tcPr>
          <w:p w14:paraId="3B4CE977">
            <w:pPr>
              <w:autoSpaceDE w:val="0"/>
              <w:autoSpaceDN w:val="0"/>
              <w:spacing w:line="300" w:lineRule="auto"/>
              <w:jc w:val="center"/>
              <w:rPr>
                <w:rFonts w:eastAsia="Times New Roman"/>
                <w:kern w:val="0"/>
                <w:sz w:val="18"/>
                <w:szCs w:val="18"/>
              </w:rPr>
            </w:pPr>
            <w:r>
              <w:rPr>
                <w:rFonts w:hint="eastAsia" w:eastAsia="Times New Roman"/>
                <w:kern w:val="0"/>
                <w:sz w:val="18"/>
                <w:szCs w:val="18"/>
              </w:rPr>
              <w:t>15</w:t>
            </w:r>
          </w:p>
        </w:tc>
        <w:tc>
          <w:tcPr>
            <w:tcW w:w="1400" w:type="pct"/>
            <w:tcBorders>
              <w:top w:val="nil"/>
              <w:left w:val="nil"/>
              <w:bottom w:val="nil"/>
              <w:right w:val="nil"/>
            </w:tcBorders>
            <w:shd w:val="clear" w:color="auto" w:fill="auto"/>
            <w:vAlign w:val="center"/>
          </w:tcPr>
          <w:p w14:paraId="10A55DF7">
            <w:pPr>
              <w:autoSpaceDE w:val="0"/>
              <w:autoSpaceDN w:val="0"/>
              <w:spacing w:line="300" w:lineRule="auto"/>
              <w:jc w:val="center"/>
              <w:rPr>
                <w:rFonts w:eastAsia="Times New Roman"/>
                <w:kern w:val="0"/>
                <w:sz w:val="18"/>
                <w:szCs w:val="18"/>
              </w:rPr>
            </w:pPr>
            <w:r>
              <w:rPr>
                <w:rFonts w:eastAsia="Times New Roman"/>
                <w:kern w:val="0"/>
                <w:sz w:val="18"/>
                <w:szCs w:val="18"/>
              </w:rPr>
              <w:t>DAB staining kit</w:t>
            </w:r>
          </w:p>
        </w:tc>
        <w:tc>
          <w:tcPr>
            <w:tcW w:w="942" w:type="pct"/>
            <w:tcBorders>
              <w:top w:val="nil"/>
              <w:left w:val="nil"/>
              <w:bottom w:val="nil"/>
              <w:right w:val="nil"/>
            </w:tcBorders>
            <w:shd w:val="clear" w:color="auto" w:fill="auto"/>
            <w:vAlign w:val="center"/>
          </w:tcPr>
          <w:p w14:paraId="33127724">
            <w:pPr>
              <w:autoSpaceDE w:val="0"/>
              <w:autoSpaceDN w:val="0"/>
              <w:spacing w:line="300" w:lineRule="auto"/>
              <w:jc w:val="center"/>
              <w:rPr>
                <w:rFonts w:eastAsia="Times New Roman"/>
                <w:kern w:val="0"/>
                <w:sz w:val="18"/>
                <w:szCs w:val="18"/>
              </w:rPr>
            </w:pPr>
            <w:r>
              <w:rPr>
                <w:rFonts w:eastAsia="Times New Roman"/>
                <w:kern w:val="0"/>
                <w:sz w:val="18"/>
                <w:szCs w:val="18"/>
              </w:rPr>
              <w:t>P0203</w:t>
            </w:r>
          </w:p>
        </w:tc>
        <w:tc>
          <w:tcPr>
            <w:tcW w:w="2315" w:type="pct"/>
            <w:vMerge w:val="restart"/>
            <w:tcBorders>
              <w:top w:val="nil"/>
              <w:left w:val="nil"/>
              <w:right w:val="nil"/>
            </w:tcBorders>
            <w:shd w:val="clear" w:color="auto" w:fill="auto"/>
            <w:vAlign w:val="center"/>
          </w:tcPr>
          <w:p w14:paraId="66717292">
            <w:pPr>
              <w:autoSpaceDE w:val="0"/>
              <w:autoSpaceDN w:val="0"/>
              <w:spacing w:line="300" w:lineRule="auto"/>
              <w:jc w:val="center"/>
              <w:rPr>
                <w:rFonts w:eastAsia="Times New Roman"/>
                <w:kern w:val="0"/>
                <w:sz w:val="18"/>
                <w:szCs w:val="18"/>
              </w:rPr>
            </w:pPr>
            <w:r>
              <w:rPr>
                <w:rFonts w:eastAsia="Times New Roman"/>
                <w:kern w:val="0"/>
                <w:sz w:val="18"/>
                <w:szCs w:val="18"/>
              </w:rPr>
              <w:t>Beyotime Biotechnology Reagent Co., Ltd.</w:t>
            </w:r>
          </w:p>
        </w:tc>
      </w:tr>
      <w:tr w14:paraId="5D1C51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1" w:type="pct"/>
            <w:tcBorders>
              <w:top w:val="nil"/>
              <w:left w:val="nil"/>
              <w:bottom w:val="nil"/>
              <w:right w:val="nil"/>
            </w:tcBorders>
            <w:shd w:val="clear" w:color="auto" w:fill="auto"/>
            <w:vAlign w:val="center"/>
          </w:tcPr>
          <w:p w14:paraId="62503C19">
            <w:pPr>
              <w:autoSpaceDE w:val="0"/>
              <w:autoSpaceDN w:val="0"/>
              <w:spacing w:line="300" w:lineRule="auto"/>
              <w:jc w:val="center"/>
              <w:rPr>
                <w:rFonts w:eastAsia="Times New Roman"/>
                <w:kern w:val="0"/>
                <w:sz w:val="18"/>
                <w:szCs w:val="18"/>
              </w:rPr>
            </w:pPr>
            <w:r>
              <w:rPr>
                <w:rFonts w:hint="eastAsia" w:eastAsia="Times New Roman"/>
                <w:kern w:val="0"/>
                <w:sz w:val="18"/>
                <w:szCs w:val="18"/>
              </w:rPr>
              <w:t>16</w:t>
            </w:r>
          </w:p>
        </w:tc>
        <w:tc>
          <w:tcPr>
            <w:tcW w:w="1400" w:type="pct"/>
            <w:tcBorders>
              <w:top w:val="nil"/>
              <w:left w:val="nil"/>
              <w:bottom w:val="nil"/>
              <w:right w:val="nil"/>
            </w:tcBorders>
            <w:shd w:val="clear" w:color="auto" w:fill="auto"/>
            <w:vAlign w:val="center"/>
          </w:tcPr>
          <w:p w14:paraId="3B1E8152">
            <w:pPr>
              <w:autoSpaceDE w:val="0"/>
              <w:autoSpaceDN w:val="0"/>
              <w:spacing w:line="300" w:lineRule="auto"/>
              <w:jc w:val="center"/>
              <w:rPr>
                <w:rFonts w:eastAsia="Times New Roman"/>
                <w:kern w:val="0"/>
                <w:sz w:val="18"/>
                <w:szCs w:val="18"/>
              </w:rPr>
            </w:pPr>
            <w:r>
              <w:rPr>
                <w:rFonts w:eastAsia="Times New Roman"/>
                <w:kern w:val="0"/>
                <w:sz w:val="18"/>
                <w:szCs w:val="18"/>
              </w:rPr>
              <w:t>BCA assay kit</w:t>
            </w:r>
          </w:p>
        </w:tc>
        <w:tc>
          <w:tcPr>
            <w:tcW w:w="942" w:type="pct"/>
            <w:tcBorders>
              <w:top w:val="nil"/>
              <w:left w:val="nil"/>
              <w:bottom w:val="nil"/>
              <w:right w:val="nil"/>
            </w:tcBorders>
            <w:shd w:val="clear" w:color="auto" w:fill="auto"/>
            <w:vAlign w:val="center"/>
          </w:tcPr>
          <w:p w14:paraId="1C53F265">
            <w:pPr>
              <w:autoSpaceDE w:val="0"/>
              <w:autoSpaceDN w:val="0"/>
              <w:spacing w:line="300" w:lineRule="auto"/>
              <w:jc w:val="center"/>
              <w:rPr>
                <w:rFonts w:eastAsia="Times New Roman"/>
                <w:kern w:val="0"/>
                <w:sz w:val="18"/>
                <w:szCs w:val="18"/>
              </w:rPr>
            </w:pPr>
            <w:r>
              <w:rPr>
                <w:rFonts w:eastAsia="Times New Roman"/>
                <w:kern w:val="0"/>
                <w:sz w:val="18"/>
                <w:szCs w:val="18"/>
              </w:rPr>
              <w:t>P0010</w:t>
            </w:r>
          </w:p>
        </w:tc>
        <w:tc>
          <w:tcPr>
            <w:tcW w:w="2315" w:type="pct"/>
            <w:vMerge w:val="continue"/>
            <w:tcBorders>
              <w:left w:val="nil"/>
              <w:right w:val="nil"/>
            </w:tcBorders>
            <w:shd w:val="clear" w:color="auto" w:fill="auto"/>
            <w:vAlign w:val="center"/>
          </w:tcPr>
          <w:p w14:paraId="5B86CABB">
            <w:pPr>
              <w:autoSpaceDE w:val="0"/>
              <w:autoSpaceDN w:val="0"/>
              <w:spacing w:line="300" w:lineRule="auto"/>
              <w:jc w:val="center"/>
              <w:rPr>
                <w:rFonts w:eastAsia="Times New Roman"/>
                <w:kern w:val="0"/>
                <w:sz w:val="18"/>
                <w:szCs w:val="18"/>
              </w:rPr>
            </w:pPr>
          </w:p>
        </w:tc>
      </w:tr>
      <w:tr w14:paraId="7CE392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1" w:type="pct"/>
            <w:tcBorders>
              <w:top w:val="nil"/>
              <w:left w:val="nil"/>
              <w:bottom w:val="nil"/>
              <w:right w:val="nil"/>
            </w:tcBorders>
            <w:shd w:val="clear" w:color="auto" w:fill="auto"/>
            <w:vAlign w:val="center"/>
          </w:tcPr>
          <w:p w14:paraId="225E8039">
            <w:pPr>
              <w:autoSpaceDE w:val="0"/>
              <w:autoSpaceDN w:val="0"/>
              <w:spacing w:line="300" w:lineRule="auto"/>
              <w:jc w:val="center"/>
              <w:rPr>
                <w:rFonts w:eastAsia="Times New Roman"/>
                <w:kern w:val="0"/>
                <w:sz w:val="18"/>
                <w:szCs w:val="18"/>
              </w:rPr>
            </w:pPr>
            <w:r>
              <w:rPr>
                <w:rFonts w:hint="eastAsia" w:eastAsia="Times New Roman"/>
                <w:kern w:val="0"/>
                <w:sz w:val="18"/>
                <w:szCs w:val="18"/>
              </w:rPr>
              <w:t>17</w:t>
            </w:r>
          </w:p>
        </w:tc>
        <w:tc>
          <w:tcPr>
            <w:tcW w:w="1400" w:type="pct"/>
            <w:tcBorders>
              <w:top w:val="nil"/>
              <w:left w:val="nil"/>
              <w:bottom w:val="nil"/>
              <w:right w:val="nil"/>
            </w:tcBorders>
            <w:shd w:val="clear" w:color="auto" w:fill="auto"/>
            <w:vAlign w:val="center"/>
          </w:tcPr>
          <w:p w14:paraId="1E69C108">
            <w:pPr>
              <w:autoSpaceDE w:val="0"/>
              <w:autoSpaceDN w:val="0"/>
              <w:spacing w:line="300" w:lineRule="auto"/>
              <w:jc w:val="center"/>
              <w:rPr>
                <w:rFonts w:eastAsia="Times New Roman"/>
                <w:kern w:val="0"/>
                <w:sz w:val="18"/>
                <w:szCs w:val="18"/>
              </w:rPr>
            </w:pPr>
            <w:r>
              <w:rPr>
                <w:rFonts w:eastAsia="Times New Roman"/>
                <w:kern w:val="0"/>
                <w:sz w:val="18"/>
                <w:szCs w:val="18"/>
              </w:rPr>
              <w:t>RIPA buffer</w:t>
            </w:r>
          </w:p>
        </w:tc>
        <w:tc>
          <w:tcPr>
            <w:tcW w:w="942" w:type="pct"/>
            <w:tcBorders>
              <w:top w:val="nil"/>
              <w:left w:val="nil"/>
              <w:bottom w:val="nil"/>
              <w:right w:val="nil"/>
            </w:tcBorders>
            <w:shd w:val="clear" w:color="auto" w:fill="auto"/>
            <w:vAlign w:val="center"/>
          </w:tcPr>
          <w:p w14:paraId="5A1F1DD5">
            <w:pPr>
              <w:autoSpaceDE w:val="0"/>
              <w:autoSpaceDN w:val="0"/>
              <w:spacing w:line="300" w:lineRule="auto"/>
              <w:jc w:val="center"/>
              <w:rPr>
                <w:rFonts w:eastAsia="Times New Roman"/>
                <w:kern w:val="0"/>
                <w:sz w:val="18"/>
                <w:szCs w:val="18"/>
              </w:rPr>
            </w:pPr>
            <w:r>
              <w:rPr>
                <w:rFonts w:eastAsia="Times New Roman"/>
                <w:kern w:val="0"/>
                <w:sz w:val="18"/>
                <w:szCs w:val="18"/>
              </w:rPr>
              <w:t>P0013B</w:t>
            </w:r>
          </w:p>
        </w:tc>
        <w:tc>
          <w:tcPr>
            <w:tcW w:w="2315" w:type="pct"/>
            <w:vMerge w:val="continue"/>
            <w:tcBorders>
              <w:left w:val="nil"/>
              <w:right w:val="nil"/>
            </w:tcBorders>
            <w:shd w:val="clear" w:color="auto" w:fill="auto"/>
            <w:vAlign w:val="center"/>
          </w:tcPr>
          <w:p w14:paraId="76C84A9E">
            <w:pPr>
              <w:autoSpaceDE w:val="0"/>
              <w:autoSpaceDN w:val="0"/>
              <w:spacing w:line="300" w:lineRule="auto"/>
              <w:jc w:val="center"/>
              <w:rPr>
                <w:rFonts w:eastAsia="Times New Roman"/>
                <w:kern w:val="0"/>
                <w:sz w:val="18"/>
                <w:szCs w:val="18"/>
              </w:rPr>
            </w:pPr>
          </w:p>
        </w:tc>
      </w:tr>
      <w:tr w14:paraId="44B223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1" w:type="pct"/>
            <w:tcBorders>
              <w:top w:val="nil"/>
              <w:left w:val="nil"/>
              <w:bottom w:val="nil"/>
              <w:right w:val="nil"/>
            </w:tcBorders>
            <w:shd w:val="clear" w:color="auto" w:fill="auto"/>
            <w:vAlign w:val="center"/>
          </w:tcPr>
          <w:p w14:paraId="416D743E">
            <w:pPr>
              <w:autoSpaceDE w:val="0"/>
              <w:autoSpaceDN w:val="0"/>
              <w:spacing w:line="300" w:lineRule="auto"/>
              <w:jc w:val="center"/>
              <w:rPr>
                <w:rFonts w:eastAsia="Times New Roman"/>
                <w:kern w:val="0"/>
                <w:sz w:val="18"/>
                <w:szCs w:val="18"/>
              </w:rPr>
            </w:pPr>
            <w:r>
              <w:rPr>
                <w:rFonts w:hint="eastAsia" w:eastAsia="Times New Roman"/>
                <w:kern w:val="0"/>
                <w:sz w:val="18"/>
                <w:szCs w:val="18"/>
              </w:rPr>
              <w:t>18</w:t>
            </w:r>
          </w:p>
        </w:tc>
        <w:tc>
          <w:tcPr>
            <w:tcW w:w="1400" w:type="pct"/>
            <w:tcBorders>
              <w:top w:val="nil"/>
              <w:left w:val="nil"/>
              <w:bottom w:val="nil"/>
              <w:right w:val="nil"/>
            </w:tcBorders>
            <w:shd w:val="clear" w:color="auto" w:fill="auto"/>
            <w:vAlign w:val="center"/>
          </w:tcPr>
          <w:p w14:paraId="1F1138C8">
            <w:pPr>
              <w:autoSpaceDE w:val="0"/>
              <w:autoSpaceDN w:val="0"/>
              <w:spacing w:line="300" w:lineRule="auto"/>
              <w:jc w:val="center"/>
              <w:rPr>
                <w:rFonts w:eastAsia="Times New Roman"/>
                <w:kern w:val="0"/>
                <w:sz w:val="18"/>
                <w:szCs w:val="18"/>
              </w:rPr>
            </w:pPr>
            <w:r>
              <w:rPr>
                <w:rFonts w:eastAsia="Times New Roman"/>
                <w:kern w:val="0"/>
                <w:sz w:val="18"/>
                <w:szCs w:val="18"/>
              </w:rPr>
              <w:t>Protein free rapid blocking buffer</w:t>
            </w:r>
          </w:p>
        </w:tc>
        <w:tc>
          <w:tcPr>
            <w:tcW w:w="942" w:type="pct"/>
            <w:tcBorders>
              <w:top w:val="nil"/>
              <w:left w:val="nil"/>
              <w:bottom w:val="nil"/>
              <w:right w:val="nil"/>
            </w:tcBorders>
            <w:shd w:val="clear" w:color="auto" w:fill="auto"/>
            <w:vAlign w:val="center"/>
          </w:tcPr>
          <w:p w14:paraId="72BC045B">
            <w:pPr>
              <w:autoSpaceDE w:val="0"/>
              <w:autoSpaceDN w:val="0"/>
              <w:spacing w:line="300" w:lineRule="auto"/>
              <w:jc w:val="center"/>
              <w:rPr>
                <w:rFonts w:eastAsia="Times New Roman"/>
                <w:kern w:val="0"/>
                <w:sz w:val="18"/>
                <w:szCs w:val="18"/>
              </w:rPr>
            </w:pPr>
            <w:r>
              <w:rPr>
                <w:rFonts w:eastAsia="Times New Roman"/>
                <w:kern w:val="0"/>
                <w:sz w:val="18"/>
                <w:szCs w:val="18"/>
              </w:rPr>
              <w:t>P0252</w:t>
            </w:r>
          </w:p>
        </w:tc>
        <w:tc>
          <w:tcPr>
            <w:tcW w:w="2315" w:type="pct"/>
            <w:vMerge w:val="continue"/>
            <w:tcBorders>
              <w:left w:val="nil"/>
              <w:bottom w:val="nil"/>
              <w:right w:val="nil"/>
            </w:tcBorders>
            <w:shd w:val="clear" w:color="auto" w:fill="auto"/>
            <w:vAlign w:val="center"/>
          </w:tcPr>
          <w:p w14:paraId="31FFFDA3">
            <w:pPr>
              <w:autoSpaceDE w:val="0"/>
              <w:autoSpaceDN w:val="0"/>
              <w:spacing w:line="300" w:lineRule="auto"/>
              <w:jc w:val="center"/>
              <w:rPr>
                <w:rFonts w:eastAsia="Times New Roman"/>
                <w:kern w:val="0"/>
                <w:sz w:val="18"/>
                <w:szCs w:val="18"/>
              </w:rPr>
            </w:pPr>
          </w:p>
        </w:tc>
      </w:tr>
      <w:tr w14:paraId="76F018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1" w:type="pct"/>
            <w:tcBorders>
              <w:top w:val="nil"/>
              <w:left w:val="nil"/>
              <w:bottom w:val="nil"/>
              <w:right w:val="nil"/>
            </w:tcBorders>
            <w:shd w:val="clear" w:color="auto" w:fill="auto"/>
            <w:vAlign w:val="center"/>
          </w:tcPr>
          <w:p w14:paraId="0101B0BF">
            <w:pPr>
              <w:autoSpaceDE w:val="0"/>
              <w:autoSpaceDN w:val="0"/>
              <w:spacing w:line="300" w:lineRule="auto"/>
              <w:jc w:val="center"/>
              <w:rPr>
                <w:rFonts w:eastAsia="Times New Roman"/>
                <w:kern w:val="0"/>
                <w:sz w:val="18"/>
                <w:szCs w:val="18"/>
              </w:rPr>
            </w:pPr>
            <w:r>
              <w:rPr>
                <w:rFonts w:hint="eastAsia" w:eastAsia="Times New Roman"/>
                <w:kern w:val="0"/>
                <w:sz w:val="18"/>
                <w:szCs w:val="18"/>
              </w:rPr>
              <w:t>19</w:t>
            </w:r>
          </w:p>
        </w:tc>
        <w:tc>
          <w:tcPr>
            <w:tcW w:w="1400" w:type="pct"/>
            <w:tcBorders>
              <w:top w:val="nil"/>
              <w:left w:val="nil"/>
              <w:bottom w:val="nil"/>
              <w:right w:val="nil"/>
            </w:tcBorders>
            <w:shd w:val="clear" w:color="auto" w:fill="auto"/>
            <w:vAlign w:val="center"/>
          </w:tcPr>
          <w:p w14:paraId="38E64C74">
            <w:pPr>
              <w:autoSpaceDE w:val="0"/>
              <w:autoSpaceDN w:val="0"/>
              <w:spacing w:line="300" w:lineRule="auto"/>
              <w:jc w:val="center"/>
              <w:rPr>
                <w:rFonts w:eastAsia="Times New Roman"/>
                <w:kern w:val="0"/>
                <w:sz w:val="18"/>
                <w:szCs w:val="18"/>
              </w:rPr>
            </w:pPr>
            <w:r>
              <w:rPr>
                <w:rFonts w:eastAsia="Times New Roman"/>
                <w:kern w:val="0"/>
                <w:sz w:val="18"/>
                <w:szCs w:val="18"/>
              </w:rPr>
              <w:t>COX2</w:t>
            </w:r>
            <w:r>
              <w:rPr>
                <w:rFonts w:hint="eastAsia" w:eastAsia="Times New Roman"/>
                <w:kern w:val="0"/>
                <w:sz w:val="18"/>
                <w:szCs w:val="18"/>
              </w:rPr>
              <w:t xml:space="preserve"> antibody</w:t>
            </w:r>
          </w:p>
        </w:tc>
        <w:tc>
          <w:tcPr>
            <w:tcW w:w="942" w:type="pct"/>
            <w:tcBorders>
              <w:top w:val="nil"/>
              <w:left w:val="nil"/>
              <w:bottom w:val="nil"/>
              <w:right w:val="nil"/>
            </w:tcBorders>
            <w:shd w:val="clear" w:color="auto" w:fill="auto"/>
            <w:vAlign w:val="center"/>
          </w:tcPr>
          <w:p w14:paraId="760FD967">
            <w:pPr>
              <w:autoSpaceDE w:val="0"/>
              <w:autoSpaceDN w:val="0"/>
              <w:spacing w:line="300" w:lineRule="auto"/>
              <w:jc w:val="center"/>
              <w:rPr>
                <w:rFonts w:eastAsia="Times New Roman"/>
                <w:kern w:val="0"/>
                <w:sz w:val="18"/>
                <w:szCs w:val="18"/>
              </w:rPr>
            </w:pPr>
            <w:r>
              <w:rPr>
                <w:rFonts w:eastAsia="Times New Roman"/>
                <w:kern w:val="0"/>
                <w:sz w:val="18"/>
                <w:szCs w:val="18"/>
              </w:rPr>
              <w:t>12375-1-AP</w:t>
            </w:r>
          </w:p>
        </w:tc>
        <w:tc>
          <w:tcPr>
            <w:tcW w:w="2315" w:type="pct"/>
            <w:vMerge w:val="restart"/>
            <w:tcBorders>
              <w:top w:val="nil"/>
              <w:left w:val="nil"/>
              <w:right w:val="nil"/>
            </w:tcBorders>
            <w:shd w:val="clear" w:color="auto" w:fill="auto"/>
            <w:vAlign w:val="center"/>
          </w:tcPr>
          <w:p w14:paraId="591432DC">
            <w:pPr>
              <w:autoSpaceDE w:val="0"/>
              <w:autoSpaceDN w:val="0"/>
              <w:spacing w:line="300" w:lineRule="auto"/>
              <w:jc w:val="center"/>
              <w:rPr>
                <w:rFonts w:eastAsia="Times New Roman"/>
                <w:kern w:val="0"/>
                <w:sz w:val="18"/>
                <w:szCs w:val="18"/>
              </w:rPr>
            </w:pPr>
            <w:r>
              <w:rPr>
                <w:rFonts w:hint="eastAsia" w:eastAsia="Times New Roman"/>
                <w:kern w:val="0"/>
                <w:sz w:val="18"/>
                <w:szCs w:val="18"/>
              </w:rPr>
              <w:t>Proteintech Group Inc.</w:t>
            </w:r>
          </w:p>
        </w:tc>
      </w:tr>
      <w:tr w14:paraId="449F97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1" w:type="pct"/>
            <w:tcBorders>
              <w:top w:val="nil"/>
              <w:left w:val="nil"/>
              <w:bottom w:val="nil"/>
              <w:right w:val="nil"/>
            </w:tcBorders>
            <w:shd w:val="clear" w:color="auto" w:fill="auto"/>
            <w:vAlign w:val="center"/>
          </w:tcPr>
          <w:p w14:paraId="73DE885D">
            <w:pPr>
              <w:autoSpaceDE w:val="0"/>
              <w:autoSpaceDN w:val="0"/>
              <w:spacing w:line="300" w:lineRule="auto"/>
              <w:jc w:val="center"/>
              <w:rPr>
                <w:rFonts w:eastAsia="Times New Roman"/>
                <w:kern w:val="0"/>
                <w:sz w:val="18"/>
                <w:szCs w:val="18"/>
              </w:rPr>
            </w:pPr>
            <w:r>
              <w:rPr>
                <w:rFonts w:hint="eastAsia" w:eastAsia="Times New Roman"/>
                <w:kern w:val="0"/>
                <w:sz w:val="18"/>
                <w:szCs w:val="18"/>
              </w:rPr>
              <w:t>20</w:t>
            </w:r>
          </w:p>
        </w:tc>
        <w:tc>
          <w:tcPr>
            <w:tcW w:w="1400" w:type="pct"/>
            <w:tcBorders>
              <w:top w:val="nil"/>
              <w:left w:val="nil"/>
              <w:bottom w:val="nil"/>
              <w:right w:val="nil"/>
            </w:tcBorders>
            <w:shd w:val="clear" w:color="auto" w:fill="auto"/>
            <w:vAlign w:val="center"/>
          </w:tcPr>
          <w:p w14:paraId="3B225E95">
            <w:pPr>
              <w:autoSpaceDE w:val="0"/>
              <w:autoSpaceDN w:val="0"/>
              <w:spacing w:line="300" w:lineRule="auto"/>
              <w:jc w:val="center"/>
              <w:rPr>
                <w:rFonts w:eastAsia="Times New Roman"/>
                <w:kern w:val="0"/>
                <w:sz w:val="18"/>
                <w:szCs w:val="18"/>
              </w:rPr>
            </w:pPr>
            <w:r>
              <w:rPr>
                <w:rFonts w:eastAsia="Times New Roman"/>
                <w:kern w:val="0"/>
                <w:sz w:val="18"/>
                <w:szCs w:val="18"/>
              </w:rPr>
              <w:t>IL-6</w:t>
            </w:r>
            <w:r>
              <w:rPr>
                <w:rFonts w:hint="eastAsia" w:eastAsia="Times New Roman"/>
                <w:kern w:val="0"/>
                <w:sz w:val="18"/>
                <w:szCs w:val="18"/>
              </w:rPr>
              <w:t xml:space="preserve"> antibody</w:t>
            </w:r>
          </w:p>
        </w:tc>
        <w:tc>
          <w:tcPr>
            <w:tcW w:w="942" w:type="pct"/>
            <w:tcBorders>
              <w:top w:val="nil"/>
              <w:left w:val="nil"/>
              <w:bottom w:val="nil"/>
              <w:right w:val="nil"/>
            </w:tcBorders>
            <w:shd w:val="clear" w:color="auto" w:fill="auto"/>
            <w:vAlign w:val="center"/>
          </w:tcPr>
          <w:p w14:paraId="30934B47">
            <w:pPr>
              <w:autoSpaceDE w:val="0"/>
              <w:autoSpaceDN w:val="0"/>
              <w:spacing w:line="300" w:lineRule="auto"/>
              <w:jc w:val="center"/>
              <w:rPr>
                <w:rFonts w:eastAsia="Times New Roman"/>
                <w:kern w:val="0"/>
                <w:sz w:val="18"/>
                <w:szCs w:val="18"/>
              </w:rPr>
            </w:pPr>
            <w:r>
              <w:rPr>
                <w:rFonts w:eastAsia="Times New Roman"/>
                <w:kern w:val="0"/>
                <w:sz w:val="18"/>
                <w:szCs w:val="18"/>
              </w:rPr>
              <w:t>66146-1-Ig</w:t>
            </w:r>
          </w:p>
        </w:tc>
        <w:tc>
          <w:tcPr>
            <w:tcW w:w="2315" w:type="pct"/>
            <w:vMerge w:val="continue"/>
            <w:tcBorders>
              <w:left w:val="nil"/>
              <w:right w:val="nil"/>
            </w:tcBorders>
            <w:shd w:val="clear" w:color="auto" w:fill="auto"/>
            <w:vAlign w:val="center"/>
          </w:tcPr>
          <w:p w14:paraId="1DBBB1C5">
            <w:pPr>
              <w:autoSpaceDE w:val="0"/>
              <w:autoSpaceDN w:val="0"/>
              <w:spacing w:line="300" w:lineRule="auto"/>
              <w:jc w:val="center"/>
              <w:rPr>
                <w:rFonts w:eastAsia="Times New Roman"/>
                <w:kern w:val="0"/>
                <w:sz w:val="18"/>
                <w:szCs w:val="18"/>
              </w:rPr>
            </w:pPr>
          </w:p>
        </w:tc>
      </w:tr>
      <w:tr w14:paraId="78ABB2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1" w:type="pct"/>
            <w:tcBorders>
              <w:top w:val="nil"/>
              <w:left w:val="nil"/>
              <w:bottom w:val="nil"/>
              <w:right w:val="nil"/>
            </w:tcBorders>
            <w:shd w:val="clear" w:color="auto" w:fill="auto"/>
            <w:vAlign w:val="center"/>
          </w:tcPr>
          <w:p w14:paraId="397B47EC">
            <w:pPr>
              <w:autoSpaceDE w:val="0"/>
              <w:autoSpaceDN w:val="0"/>
              <w:spacing w:line="300" w:lineRule="auto"/>
              <w:jc w:val="center"/>
              <w:rPr>
                <w:rFonts w:eastAsia="Times New Roman"/>
                <w:kern w:val="0"/>
                <w:sz w:val="18"/>
                <w:szCs w:val="18"/>
              </w:rPr>
            </w:pPr>
            <w:r>
              <w:rPr>
                <w:rFonts w:hint="eastAsia" w:eastAsia="Times New Roman"/>
                <w:kern w:val="0"/>
                <w:sz w:val="18"/>
                <w:szCs w:val="18"/>
              </w:rPr>
              <w:t>21</w:t>
            </w:r>
          </w:p>
        </w:tc>
        <w:tc>
          <w:tcPr>
            <w:tcW w:w="1400" w:type="pct"/>
            <w:tcBorders>
              <w:top w:val="nil"/>
              <w:left w:val="nil"/>
              <w:bottom w:val="nil"/>
              <w:right w:val="nil"/>
            </w:tcBorders>
            <w:shd w:val="clear" w:color="auto" w:fill="auto"/>
            <w:vAlign w:val="center"/>
          </w:tcPr>
          <w:p w14:paraId="49830D5D">
            <w:pPr>
              <w:autoSpaceDE w:val="0"/>
              <w:autoSpaceDN w:val="0"/>
              <w:spacing w:line="300" w:lineRule="auto"/>
              <w:jc w:val="center"/>
              <w:rPr>
                <w:rFonts w:eastAsia="Times New Roman"/>
                <w:kern w:val="0"/>
                <w:sz w:val="18"/>
                <w:szCs w:val="18"/>
              </w:rPr>
            </w:pPr>
            <w:r>
              <w:rPr>
                <w:rFonts w:eastAsia="Times New Roman"/>
                <w:kern w:val="0"/>
                <w:sz w:val="18"/>
                <w:szCs w:val="18"/>
              </w:rPr>
              <w:t>Secondary antibodies</w:t>
            </w:r>
          </w:p>
        </w:tc>
        <w:tc>
          <w:tcPr>
            <w:tcW w:w="942" w:type="pct"/>
            <w:tcBorders>
              <w:top w:val="nil"/>
              <w:left w:val="nil"/>
              <w:bottom w:val="nil"/>
              <w:right w:val="nil"/>
            </w:tcBorders>
            <w:shd w:val="clear" w:color="auto" w:fill="auto"/>
            <w:vAlign w:val="center"/>
          </w:tcPr>
          <w:p w14:paraId="43A48074">
            <w:pPr>
              <w:autoSpaceDE w:val="0"/>
              <w:autoSpaceDN w:val="0"/>
              <w:spacing w:line="300" w:lineRule="auto"/>
              <w:jc w:val="center"/>
              <w:rPr>
                <w:rFonts w:eastAsia="Times New Roman"/>
                <w:kern w:val="0"/>
                <w:sz w:val="18"/>
                <w:szCs w:val="18"/>
              </w:rPr>
            </w:pPr>
            <w:r>
              <w:rPr>
                <w:rFonts w:eastAsia="Times New Roman"/>
                <w:kern w:val="0"/>
                <w:sz w:val="18"/>
                <w:szCs w:val="18"/>
              </w:rPr>
              <w:t>RGAR001</w:t>
            </w:r>
            <w:r>
              <w:rPr>
                <w:rFonts w:hint="eastAsia" w:eastAsia="Times New Roman"/>
                <w:kern w:val="0"/>
                <w:sz w:val="18"/>
                <w:szCs w:val="18"/>
              </w:rPr>
              <w:t>/</w:t>
            </w:r>
          </w:p>
          <w:p w14:paraId="18E0A98D">
            <w:pPr>
              <w:autoSpaceDE w:val="0"/>
              <w:autoSpaceDN w:val="0"/>
              <w:spacing w:line="300" w:lineRule="auto"/>
              <w:jc w:val="center"/>
              <w:rPr>
                <w:rFonts w:eastAsia="Times New Roman"/>
                <w:kern w:val="0"/>
                <w:sz w:val="18"/>
                <w:szCs w:val="18"/>
              </w:rPr>
            </w:pPr>
            <w:r>
              <w:rPr>
                <w:rFonts w:hint="eastAsia" w:eastAsia="Times New Roman"/>
                <w:kern w:val="0"/>
                <w:sz w:val="18"/>
                <w:szCs w:val="18"/>
              </w:rPr>
              <w:t>RGAM001</w:t>
            </w:r>
          </w:p>
        </w:tc>
        <w:tc>
          <w:tcPr>
            <w:tcW w:w="2315" w:type="pct"/>
            <w:vMerge w:val="continue"/>
            <w:tcBorders>
              <w:left w:val="nil"/>
              <w:bottom w:val="nil"/>
              <w:right w:val="nil"/>
            </w:tcBorders>
            <w:shd w:val="clear" w:color="auto" w:fill="auto"/>
            <w:vAlign w:val="center"/>
          </w:tcPr>
          <w:p w14:paraId="7DD53DAB">
            <w:pPr>
              <w:autoSpaceDE w:val="0"/>
              <w:autoSpaceDN w:val="0"/>
              <w:spacing w:line="300" w:lineRule="auto"/>
              <w:jc w:val="center"/>
              <w:rPr>
                <w:rFonts w:eastAsia="Times New Roman"/>
                <w:kern w:val="0"/>
                <w:sz w:val="18"/>
                <w:szCs w:val="18"/>
              </w:rPr>
            </w:pPr>
          </w:p>
        </w:tc>
      </w:tr>
      <w:tr w14:paraId="46058B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1" w:type="pct"/>
            <w:tcBorders>
              <w:top w:val="nil"/>
              <w:left w:val="nil"/>
              <w:bottom w:val="nil"/>
              <w:right w:val="nil"/>
            </w:tcBorders>
            <w:shd w:val="clear" w:color="auto" w:fill="auto"/>
            <w:vAlign w:val="center"/>
          </w:tcPr>
          <w:p w14:paraId="6DF8EDB2">
            <w:pPr>
              <w:autoSpaceDE w:val="0"/>
              <w:autoSpaceDN w:val="0"/>
              <w:spacing w:line="300" w:lineRule="auto"/>
              <w:jc w:val="center"/>
              <w:rPr>
                <w:rFonts w:eastAsia="Times New Roman"/>
                <w:kern w:val="0"/>
                <w:sz w:val="18"/>
                <w:szCs w:val="18"/>
              </w:rPr>
            </w:pPr>
            <w:r>
              <w:rPr>
                <w:rFonts w:hint="eastAsia" w:eastAsia="Times New Roman"/>
                <w:kern w:val="0"/>
                <w:sz w:val="18"/>
                <w:szCs w:val="18"/>
              </w:rPr>
              <w:t>22</w:t>
            </w:r>
          </w:p>
        </w:tc>
        <w:tc>
          <w:tcPr>
            <w:tcW w:w="1400" w:type="pct"/>
            <w:tcBorders>
              <w:top w:val="nil"/>
              <w:left w:val="nil"/>
              <w:bottom w:val="nil"/>
              <w:right w:val="nil"/>
            </w:tcBorders>
            <w:shd w:val="clear" w:color="auto" w:fill="auto"/>
            <w:vAlign w:val="center"/>
          </w:tcPr>
          <w:p w14:paraId="01C3AECB">
            <w:pPr>
              <w:autoSpaceDE w:val="0"/>
              <w:autoSpaceDN w:val="0"/>
              <w:spacing w:line="300" w:lineRule="auto"/>
              <w:jc w:val="center"/>
              <w:rPr>
                <w:rFonts w:eastAsia="Times New Roman"/>
                <w:kern w:val="0"/>
                <w:sz w:val="18"/>
                <w:szCs w:val="18"/>
              </w:rPr>
            </w:pPr>
            <w:r>
              <w:rPr>
                <w:rFonts w:eastAsia="Times New Roman"/>
                <w:kern w:val="0"/>
                <w:sz w:val="18"/>
                <w:szCs w:val="18"/>
              </w:rPr>
              <w:t>TLR4</w:t>
            </w:r>
            <w:r>
              <w:rPr>
                <w:rFonts w:hint="eastAsia" w:eastAsia="Times New Roman"/>
                <w:kern w:val="0"/>
                <w:sz w:val="18"/>
                <w:szCs w:val="18"/>
              </w:rPr>
              <w:t xml:space="preserve"> antibody</w:t>
            </w:r>
          </w:p>
        </w:tc>
        <w:tc>
          <w:tcPr>
            <w:tcW w:w="942" w:type="pct"/>
            <w:tcBorders>
              <w:top w:val="nil"/>
              <w:left w:val="nil"/>
              <w:bottom w:val="nil"/>
              <w:right w:val="nil"/>
            </w:tcBorders>
            <w:shd w:val="clear" w:color="auto" w:fill="auto"/>
            <w:vAlign w:val="center"/>
          </w:tcPr>
          <w:p w14:paraId="4B154F3A">
            <w:pPr>
              <w:autoSpaceDE w:val="0"/>
              <w:autoSpaceDN w:val="0"/>
              <w:spacing w:line="300" w:lineRule="auto"/>
              <w:jc w:val="center"/>
              <w:rPr>
                <w:rFonts w:eastAsia="Times New Roman"/>
                <w:kern w:val="0"/>
                <w:sz w:val="18"/>
                <w:szCs w:val="18"/>
              </w:rPr>
            </w:pPr>
            <w:r>
              <w:rPr>
                <w:rFonts w:eastAsia="Times New Roman"/>
                <w:kern w:val="0"/>
                <w:sz w:val="18"/>
                <w:szCs w:val="18"/>
              </w:rPr>
              <w:t>bs-20594R</w:t>
            </w:r>
          </w:p>
        </w:tc>
        <w:tc>
          <w:tcPr>
            <w:tcW w:w="2315" w:type="pct"/>
            <w:tcBorders>
              <w:top w:val="nil"/>
              <w:left w:val="nil"/>
              <w:bottom w:val="nil"/>
              <w:right w:val="nil"/>
            </w:tcBorders>
            <w:shd w:val="clear" w:color="auto" w:fill="auto"/>
            <w:vAlign w:val="center"/>
          </w:tcPr>
          <w:p w14:paraId="0B8D47BB">
            <w:pPr>
              <w:autoSpaceDE w:val="0"/>
              <w:autoSpaceDN w:val="0"/>
              <w:spacing w:line="300" w:lineRule="auto"/>
              <w:jc w:val="center"/>
              <w:rPr>
                <w:rFonts w:eastAsia="Times New Roman"/>
                <w:kern w:val="0"/>
                <w:sz w:val="18"/>
                <w:szCs w:val="18"/>
              </w:rPr>
            </w:pPr>
            <w:r>
              <w:rPr>
                <w:rFonts w:hint="eastAsia" w:eastAsia="Times New Roman"/>
                <w:kern w:val="0"/>
                <w:sz w:val="18"/>
                <w:szCs w:val="18"/>
              </w:rPr>
              <w:t>Beijing Biosynthesis Biotechnology Co., Ltd.</w:t>
            </w:r>
          </w:p>
        </w:tc>
      </w:tr>
      <w:tr w14:paraId="3338F4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1" w:type="pct"/>
            <w:tcBorders>
              <w:top w:val="nil"/>
              <w:left w:val="nil"/>
              <w:bottom w:val="nil"/>
              <w:right w:val="nil"/>
            </w:tcBorders>
            <w:shd w:val="clear" w:color="auto" w:fill="auto"/>
            <w:vAlign w:val="center"/>
          </w:tcPr>
          <w:p w14:paraId="5DC0D5CA">
            <w:pPr>
              <w:autoSpaceDE w:val="0"/>
              <w:autoSpaceDN w:val="0"/>
              <w:spacing w:line="300" w:lineRule="auto"/>
              <w:jc w:val="center"/>
              <w:rPr>
                <w:rFonts w:eastAsia="Times New Roman"/>
                <w:kern w:val="0"/>
                <w:sz w:val="18"/>
                <w:szCs w:val="18"/>
              </w:rPr>
            </w:pPr>
            <w:r>
              <w:rPr>
                <w:rFonts w:hint="eastAsia" w:eastAsia="Times New Roman"/>
                <w:kern w:val="0"/>
                <w:sz w:val="18"/>
                <w:szCs w:val="18"/>
              </w:rPr>
              <w:t>23</w:t>
            </w:r>
          </w:p>
        </w:tc>
        <w:tc>
          <w:tcPr>
            <w:tcW w:w="1400" w:type="pct"/>
            <w:tcBorders>
              <w:top w:val="nil"/>
              <w:left w:val="nil"/>
              <w:bottom w:val="nil"/>
              <w:right w:val="nil"/>
            </w:tcBorders>
            <w:shd w:val="clear" w:color="auto" w:fill="auto"/>
            <w:vAlign w:val="center"/>
          </w:tcPr>
          <w:p w14:paraId="49D68026">
            <w:pPr>
              <w:autoSpaceDE w:val="0"/>
              <w:autoSpaceDN w:val="0"/>
              <w:spacing w:line="300" w:lineRule="auto"/>
              <w:jc w:val="center"/>
              <w:rPr>
                <w:rFonts w:eastAsia="Times New Roman"/>
                <w:kern w:val="0"/>
                <w:sz w:val="18"/>
                <w:szCs w:val="18"/>
              </w:rPr>
            </w:pPr>
            <w:r>
              <w:rPr>
                <w:rFonts w:eastAsia="Times New Roman"/>
                <w:kern w:val="0"/>
                <w:sz w:val="18"/>
                <w:szCs w:val="18"/>
              </w:rPr>
              <w:t>NF-κB</w:t>
            </w:r>
            <w:r>
              <w:rPr>
                <w:rFonts w:hint="eastAsia" w:eastAsia="Times New Roman"/>
                <w:kern w:val="0"/>
                <w:sz w:val="18"/>
                <w:szCs w:val="18"/>
              </w:rPr>
              <w:t xml:space="preserve"> antibody</w:t>
            </w:r>
          </w:p>
        </w:tc>
        <w:tc>
          <w:tcPr>
            <w:tcW w:w="942" w:type="pct"/>
            <w:tcBorders>
              <w:top w:val="nil"/>
              <w:left w:val="nil"/>
              <w:bottom w:val="nil"/>
              <w:right w:val="nil"/>
            </w:tcBorders>
            <w:shd w:val="clear" w:color="auto" w:fill="auto"/>
            <w:vAlign w:val="center"/>
          </w:tcPr>
          <w:p w14:paraId="44FEFC82">
            <w:pPr>
              <w:autoSpaceDE w:val="0"/>
              <w:autoSpaceDN w:val="0"/>
              <w:spacing w:line="300" w:lineRule="auto"/>
              <w:jc w:val="center"/>
              <w:rPr>
                <w:rFonts w:eastAsia="Times New Roman"/>
                <w:kern w:val="0"/>
                <w:sz w:val="18"/>
                <w:szCs w:val="18"/>
              </w:rPr>
            </w:pPr>
            <w:r>
              <w:rPr>
                <w:rFonts w:eastAsia="Times New Roman"/>
                <w:kern w:val="0"/>
                <w:sz w:val="18"/>
                <w:szCs w:val="18"/>
              </w:rPr>
              <w:t>T55034F</w:t>
            </w:r>
          </w:p>
        </w:tc>
        <w:tc>
          <w:tcPr>
            <w:tcW w:w="2315" w:type="pct"/>
            <w:tcBorders>
              <w:top w:val="nil"/>
              <w:left w:val="nil"/>
              <w:bottom w:val="nil"/>
              <w:right w:val="nil"/>
            </w:tcBorders>
            <w:shd w:val="clear" w:color="auto" w:fill="auto"/>
            <w:vAlign w:val="center"/>
          </w:tcPr>
          <w:p w14:paraId="0529E4BE">
            <w:pPr>
              <w:autoSpaceDE w:val="0"/>
              <w:autoSpaceDN w:val="0"/>
              <w:spacing w:line="300" w:lineRule="auto"/>
              <w:jc w:val="center"/>
              <w:rPr>
                <w:rFonts w:eastAsia="Times New Roman"/>
                <w:kern w:val="0"/>
                <w:sz w:val="18"/>
                <w:szCs w:val="18"/>
              </w:rPr>
            </w:pPr>
            <w:r>
              <w:rPr>
                <w:rFonts w:hint="eastAsia" w:eastAsia="Times New Roman"/>
                <w:kern w:val="0"/>
                <w:sz w:val="18"/>
                <w:szCs w:val="18"/>
              </w:rPr>
              <w:t>Hangzhou DiagBio Biotechnology Co., Ltd</w:t>
            </w:r>
          </w:p>
        </w:tc>
      </w:tr>
      <w:tr w14:paraId="3C959A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1" w:type="pct"/>
            <w:tcBorders>
              <w:top w:val="nil"/>
              <w:left w:val="nil"/>
              <w:bottom w:val="nil"/>
              <w:right w:val="nil"/>
            </w:tcBorders>
            <w:shd w:val="clear" w:color="auto" w:fill="auto"/>
            <w:vAlign w:val="center"/>
          </w:tcPr>
          <w:p w14:paraId="2B0914DE">
            <w:pPr>
              <w:autoSpaceDE w:val="0"/>
              <w:autoSpaceDN w:val="0"/>
              <w:spacing w:line="300" w:lineRule="auto"/>
              <w:jc w:val="center"/>
              <w:rPr>
                <w:rFonts w:eastAsia="Times New Roman"/>
                <w:kern w:val="0"/>
                <w:sz w:val="18"/>
                <w:szCs w:val="18"/>
              </w:rPr>
            </w:pPr>
            <w:r>
              <w:rPr>
                <w:rFonts w:hint="eastAsia" w:eastAsia="Times New Roman"/>
                <w:kern w:val="0"/>
                <w:sz w:val="18"/>
                <w:szCs w:val="18"/>
              </w:rPr>
              <w:t>24</w:t>
            </w:r>
          </w:p>
        </w:tc>
        <w:tc>
          <w:tcPr>
            <w:tcW w:w="1400" w:type="pct"/>
            <w:tcBorders>
              <w:top w:val="nil"/>
              <w:left w:val="nil"/>
              <w:bottom w:val="nil"/>
              <w:right w:val="nil"/>
            </w:tcBorders>
            <w:shd w:val="clear" w:color="auto" w:fill="auto"/>
            <w:vAlign w:val="center"/>
          </w:tcPr>
          <w:p w14:paraId="167242DF">
            <w:pPr>
              <w:autoSpaceDE w:val="0"/>
              <w:autoSpaceDN w:val="0"/>
              <w:spacing w:line="300" w:lineRule="auto"/>
              <w:jc w:val="center"/>
              <w:rPr>
                <w:rFonts w:eastAsia="Times New Roman"/>
                <w:kern w:val="0"/>
                <w:sz w:val="18"/>
                <w:szCs w:val="18"/>
              </w:rPr>
            </w:pPr>
            <w:r>
              <w:rPr>
                <w:rFonts w:eastAsia="Times New Roman"/>
                <w:kern w:val="0"/>
                <w:sz w:val="18"/>
                <w:szCs w:val="18"/>
              </w:rPr>
              <w:t>β-actin</w:t>
            </w:r>
            <w:r>
              <w:rPr>
                <w:rFonts w:hint="eastAsia" w:eastAsia="Times New Roman"/>
                <w:kern w:val="0"/>
                <w:sz w:val="18"/>
                <w:szCs w:val="18"/>
              </w:rPr>
              <w:t xml:space="preserve"> antibody</w:t>
            </w:r>
          </w:p>
        </w:tc>
        <w:tc>
          <w:tcPr>
            <w:tcW w:w="942" w:type="pct"/>
            <w:tcBorders>
              <w:top w:val="nil"/>
              <w:left w:val="nil"/>
              <w:bottom w:val="nil"/>
              <w:right w:val="nil"/>
            </w:tcBorders>
            <w:shd w:val="clear" w:color="auto" w:fill="auto"/>
            <w:vAlign w:val="center"/>
          </w:tcPr>
          <w:p w14:paraId="387C1DA9">
            <w:pPr>
              <w:autoSpaceDE w:val="0"/>
              <w:autoSpaceDN w:val="0"/>
              <w:spacing w:line="300" w:lineRule="auto"/>
              <w:jc w:val="center"/>
              <w:rPr>
                <w:rFonts w:eastAsia="Times New Roman"/>
                <w:kern w:val="0"/>
                <w:sz w:val="18"/>
                <w:szCs w:val="18"/>
              </w:rPr>
            </w:pPr>
            <w:r>
              <w:rPr>
                <w:rFonts w:eastAsia="Times New Roman"/>
                <w:kern w:val="0"/>
                <w:sz w:val="18"/>
                <w:szCs w:val="18"/>
              </w:rPr>
              <w:t>GB15001-100</w:t>
            </w:r>
          </w:p>
        </w:tc>
        <w:tc>
          <w:tcPr>
            <w:tcW w:w="2315" w:type="pct"/>
            <w:tcBorders>
              <w:top w:val="nil"/>
              <w:left w:val="nil"/>
              <w:bottom w:val="nil"/>
              <w:right w:val="nil"/>
            </w:tcBorders>
            <w:shd w:val="clear" w:color="auto" w:fill="auto"/>
            <w:vAlign w:val="center"/>
          </w:tcPr>
          <w:p w14:paraId="0C8A9C29">
            <w:pPr>
              <w:autoSpaceDE w:val="0"/>
              <w:autoSpaceDN w:val="0"/>
              <w:spacing w:line="300" w:lineRule="auto"/>
              <w:jc w:val="center"/>
              <w:rPr>
                <w:rFonts w:eastAsia="Times New Roman"/>
                <w:kern w:val="0"/>
                <w:sz w:val="18"/>
                <w:szCs w:val="18"/>
              </w:rPr>
            </w:pPr>
            <w:r>
              <w:rPr>
                <w:rFonts w:hint="eastAsia" w:eastAsia="Times New Roman"/>
                <w:kern w:val="0"/>
                <w:sz w:val="18"/>
                <w:szCs w:val="18"/>
              </w:rPr>
              <w:t>Wuhan Servicebio Technology Co., Ltd.</w:t>
            </w:r>
          </w:p>
        </w:tc>
      </w:tr>
      <w:tr w14:paraId="46693E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1" w:type="pct"/>
            <w:tcBorders>
              <w:top w:val="nil"/>
              <w:left w:val="nil"/>
              <w:bottom w:val="single" w:color="auto" w:sz="12" w:space="0"/>
              <w:right w:val="nil"/>
            </w:tcBorders>
            <w:shd w:val="clear" w:color="auto" w:fill="auto"/>
            <w:vAlign w:val="center"/>
          </w:tcPr>
          <w:p w14:paraId="5253FC08">
            <w:pPr>
              <w:autoSpaceDE w:val="0"/>
              <w:autoSpaceDN w:val="0"/>
              <w:spacing w:line="300" w:lineRule="auto"/>
              <w:jc w:val="center"/>
              <w:rPr>
                <w:rFonts w:eastAsia="Times New Roman"/>
                <w:kern w:val="0"/>
                <w:sz w:val="18"/>
                <w:szCs w:val="18"/>
              </w:rPr>
            </w:pPr>
            <w:r>
              <w:rPr>
                <w:rFonts w:hint="eastAsia" w:eastAsia="Times New Roman"/>
                <w:kern w:val="0"/>
                <w:sz w:val="18"/>
                <w:szCs w:val="18"/>
              </w:rPr>
              <w:t>25</w:t>
            </w:r>
          </w:p>
        </w:tc>
        <w:tc>
          <w:tcPr>
            <w:tcW w:w="1400" w:type="pct"/>
            <w:tcBorders>
              <w:top w:val="nil"/>
              <w:left w:val="nil"/>
              <w:bottom w:val="single" w:color="auto" w:sz="12" w:space="0"/>
              <w:right w:val="nil"/>
            </w:tcBorders>
            <w:shd w:val="clear" w:color="auto" w:fill="auto"/>
            <w:vAlign w:val="center"/>
          </w:tcPr>
          <w:p w14:paraId="7AF8A435">
            <w:pPr>
              <w:autoSpaceDE w:val="0"/>
              <w:autoSpaceDN w:val="0"/>
              <w:spacing w:line="300" w:lineRule="auto"/>
              <w:jc w:val="center"/>
              <w:rPr>
                <w:rFonts w:eastAsia="Times New Roman"/>
                <w:kern w:val="0"/>
                <w:sz w:val="18"/>
                <w:szCs w:val="18"/>
              </w:rPr>
            </w:pPr>
            <w:r>
              <w:rPr>
                <w:rFonts w:eastAsia="Times New Roman"/>
                <w:kern w:val="0"/>
                <w:sz w:val="18"/>
                <w:szCs w:val="18"/>
              </w:rPr>
              <w:t>Enhanced chemiluminescent assay kit</w:t>
            </w:r>
          </w:p>
        </w:tc>
        <w:tc>
          <w:tcPr>
            <w:tcW w:w="942" w:type="pct"/>
            <w:tcBorders>
              <w:top w:val="nil"/>
              <w:left w:val="nil"/>
              <w:bottom w:val="single" w:color="auto" w:sz="12" w:space="0"/>
              <w:right w:val="nil"/>
            </w:tcBorders>
            <w:shd w:val="clear" w:color="auto" w:fill="auto"/>
            <w:vAlign w:val="center"/>
          </w:tcPr>
          <w:p w14:paraId="2FC07546">
            <w:pPr>
              <w:autoSpaceDE w:val="0"/>
              <w:autoSpaceDN w:val="0"/>
              <w:spacing w:line="300" w:lineRule="auto"/>
              <w:jc w:val="center"/>
              <w:rPr>
                <w:rFonts w:eastAsia="Times New Roman"/>
                <w:kern w:val="0"/>
                <w:sz w:val="18"/>
                <w:szCs w:val="18"/>
              </w:rPr>
            </w:pPr>
            <w:r>
              <w:rPr>
                <w:rFonts w:hint="eastAsia" w:eastAsia="Times New Roman"/>
                <w:kern w:val="0"/>
                <w:sz w:val="18"/>
                <w:szCs w:val="18"/>
              </w:rPr>
              <w:t>TE0015</w:t>
            </w:r>
          </w:p>
        </w:tc>
        <w:tc>
          <w:tcPr>
            <w:tcW w:w="2315" w:type="pct"/>
            <w:tcBorders>
              <w:top w:val="nil"/>
              <w:left w:val="nil"/>
              <w:bottom w:val="single" w:color="auto" w:sz="12" w:space="0"/>
              <w:right w:val="nil"/>
            </w:tcBorders>
            <w:shd w:val="clear" w:color="auto" w:fill="auto"/>
            <w:vAlign w:val="center"/>
          </w:tcPr>
          <w:p w14:paraId="055FC730">
            <w:pPr>
              <w:autoSpaceDE w:val="0"/>
              <w:autoSpaceDN w:val="0"/>
              <w:spacing w:line="300" w:lineRule="auto"/>
              <w:jc w:val="center"/>
              <w:rPr>
                <w:rFonts w:eastAsia="Times New Roman"/>
                <w:kern w:val="0"/>
                <w:sz w:val="18"/>
                <w:szCs w:val="18"/>
              </w:rPr>
            </w:pPr>
            <w:r>
              <w:rPr>
                <w:rFonts w:hint="eastAsia" w:eastAsia="Times New Roman"/>
                <w:kern w:val="0"/>
                <w:sz w:val="18"/>
                <w:szCs w:val="18"/>
              </w:rPr>
              <w:t>Nature Biosciences Ltd.</w:t>
            </w:r>
          </w:p>
        </w:tc>
      </w:tr>
    </w:tbl>
    <w:p w14:paraId="42BC4237">
      <w:pPr>
        <w:spacing w:line="300" w:lineRule="auto"/>
        <w:rPr>
          <w:szCs w:val="21"/>
        </w:rPr>
      </w:pPr>
      <w:r>
        <w:rPr>
          <w:szCs w:val="21"/>
        </w:rPr>
        <w:br w:type="page"/>
      </w:r>
    </w:p>
    <w:p w14:paraId="4B4513C4">
      <w:pPr>
        <w:pStyle w:val="11"/>
        <w:widowControl/>
        <w:adjustRightInd/>
        <w:snapToGrid/>
        <w:spacing w:line="300" w:lineRule="auto"/>
        <w:rPr>
          <w:rFonts w:eastAsia="宋体"/>
        </w:rPr>
      </w:pPr>
      <w:r>
        <w:t xml:space="preserve">Animal </w:t>
      </w:r>
      <w:r>
        <w:rPr>
          <w:rFonts w:eastAsia="宋体"/>
        </w:rPr>
        <w:t>experiment</w:t>
      </w:r>
      <w:r>
        <w:rPr>
          <w:rFonts w:hint="eastAsia" w:eastAsia="宋体"/>
        </w:rPr>
        <w:t xml:space="preserve"> procedure of WSF administration on rats with glucose and lipid metabolic disorders</w:t>
      </w:r>
    </w:p>
    <w:p w14:paraId="34143399">
      <w:pPr>
        <w:pStyle w:val="13"/>
        <w:widowControl/>
        <w:adjustRightInd/>
        <w:snapToGrid/>
        <w:spacing w:before="0" w:beforeLines="0" w:line="300" w:lineRule="auto"/>
        <w:ind w:firstLine="420" w:firstLineChars="200"/>
        <w:rPr>
          <w:sz w:val="21"/>
          <w:szCs w:val="21"/>
        </w:rPr>
      </w:pPr>
      <w:r>
        <w:rPr>
          <w:rFonts w:hint="eastAsia"/>
          <w:sz w:val="21"/>
          <w:szCs w:val="21"/>
        </w:rPr>
        <w:t>SD</w:t>
      </w:r>
      <w:r>
        <w:rPr>
          <w:sz w:val="21"/>
          <w:szCs w:val="21"/>
        </w:rPr>
        <w:t xml:space="preserve"> </w:t>
      </w:r>
      <w:r>
        <w:rPr>
          <w:rFonts w:hint="eastAsia"/>
          <w:sz w:val="21"/>
          <w:szCs w:val="21"/>
        </w:rPr>
        <w:t>rats</w:t>
      </w:r>
      <w:r>
        <w:rPr>
          <w:sz w:val="21"/>
          <w:szCs w:val="21"/>
        </w:rPr>
        <w:t xml:space="preserve"> (male, n=</w:t>
      </w:r>
      <w:r>
        <w:rPr>
          <w:rFonts w:hint="eastAsia"/>
          <w:sz w:val="21"/>
          <w:szCs w:val="21"/>
        </w:rPr>
        <w:t>20</w:t>
      </w:r>
      <w:r>
        <w:rPr>
          <w:sz w:val="21"/>
          <w:szCs w:val="21"/>
        </w:rPr>
        <w:t xml:space="preserve">) were purchased from </w:t>
      </w:r>
      <w:r>
        <w:rPr>
          <w:rFonts w:hint="eastAsia"/>
          <w:sz w:val="21"/>
          <w:szCs w:val="21"/>
        </w:rPr>
        <w:t>Shanghai Slac Laboratory Animals Co., Ltd.</w:t>
      </w:r>
      <w:r>
        <w:rPr>
          <w:sz w:val="21"/>
          <w:szCs w:val="21"/>
        </w:rPr>
        <w:t xml:space="preserve"> (S</w:t>
      </w:r>
      <w:r>
        <w:rPr>
          <w:rFonts w:hint="eastAsia"/>
          <w:sz w:val="21"/>
          <w:szCs w:val="21"/>
        </w:rPr>
        <w:t>C</w:t>
      </w:r>
      <w:r>
        <w:rPr>
          <w:sz w:val="21"/>
          <w:szCs w:val="21"/>
        </w:rPr>
        <w:t>XK(</w:t>
      </w:r>
      <w:r>
        <w:rPr>
          <w:rFonts w:hint="eastAsia"/>
          <w:sz w:val="21"/>
          <w:szCs w:val="21"/>
        </w:rPr>
        <w:t>Hu</w:t>
      </w:r>
      <w:r>
        <w:rPr>
          <w:sz w:val="21"/>
          <w:szCs w:val="21"/>
        </w:rPr>
        <w:t>)20</w:t>
      </w:r>
      <w:r>
        <w:rPr>
          <w:rFonts w:hint="eastAsia"/>
          <w:sz w:val="21"/>
          <w:szCs w:val="21"/>
        </w:rPr>
        <w:t>22</w:t>
      </w:r>
      <w:r>
        <w:rPr>
          <w:sz w:val="21"/>
          <w:szCs w:val="21"/>
        </w:rPr>
        <w:t>-00</w:t>
      </w:r>
      <w:r>
        <w:rPr>
          <w:rFonts w:hint="eastAsia"/>
          <w:sz w:val="21"/>
          <w:szCs w:val="21"/>
        </w:rPr>
        <w:t>04</w:t>
      </w:r>
      <w:r>
        <w:rPr>
          <w:sz w:val="21"/>
          <w:szCs w:val="21"/>
        </w:rPr>
        <w:t xml:space="preserve">, </w:t>
      </w:r>
      <w:r>
        <w:rPr>
          <w:rFonts w:hint="eastAsia"/>
          <w:sz w:val="21"/>
          <w:szCs w:val="21"/>
        </w:rPr>
        <w:t>Shanghai</w:t>
      </w:r>
      <w:r>
        <w:rPr>
          <w:sz w:val="21"/>
          <w:szCs w:val="21"/>
        </w:rPr>
        <w:t>, China). All the animals were reared in standardized environmental conditions characterized by a 12-hour light-dark photoperiod with unrestricted access to water and food. The animal procedures were meticulously conducted in strict adherence to the Zhejiang University of Technology’s Guidelines for the Care and Use of Laboratory Animals.</w:t>
      </w:r>
    </w:p>
    <w:p w14:paraId="060C55EB">
      <w:pPr>
        <w:pStyle w:val="13"/>
        <w:widowControl/>
        <w:adjustRightInd/>
        <w:snapToGrid/>
        <w:spacing w:before="0" w:beforeLines="0" w:line="300" w:lineRule="auto"/>
        <w:ind w:firstLine="420" w:firstLineChars="200"/>
        <w:rPr>
          <w:sz w:val="21"/>
          <w:szCs w:val="21"/>
        </w:rPr>
      </w:pPr>
      <w:r>
        <w:rPr>
          <w:sz w:val="21"/>
          <w:szCs w:val="21"/>
        </w:rPr>
        <w:t xml:space="preserve">After adaptive feeding for </w:t>
      </w:r>
      <w:r>
        <w:rPr>
          <w:rFonts w:hint="eastAsia"/>
          <w:sz w:val="21"/>
          <w:szCs w:val="21"/>
        </w:rPr>
        <w:t>3</w:t>
      </w:r>
      <w:r>
        <w:rPr>
          <w:sz w:val="21"/>
          <w:szCs w:val="21"/>
        </w:rPr>
        <w:t xml:space="preserve"> </w:t>
      </w:r>
      <w:r>
        <w:rPr>
          <w:rFonts w:hint="eastAsia"/>
          <w:sz w:val="21"/>
          <w:szCs w:val="21"/>
        </w:rPr>
        <w:t>days</w:t>
      </w:r>
      <w:r>
        <w:rPr>
          <w:sz w:val="21"/>
          <w:szCs w:val="21"/>
        </w:rPr>
        <w:t>, a total of twenty</w:t>
      </w:r>
      <w:r>
        <w:rPr>
          <w:rFonts w:hint="eastAsia"/>
          <w:sz w:val="21"/>
          <w:szCs w:val="21"/>
        </w:rPr>
        <w:t xml:space="preserve"> SD rats </w:t>
      </w:r>
      <w:r>
        <w:rPr>
          <w:sz w:val="21"/>
          <w:szCs w:val="21"/>
        </w:rPr>
        <w:t xml:space="preserve">were randomly assigned into </w:t>
      </w:r>
      <w:r>
        <w:rPr>
          <w:rFonts w:hint="eastAsia"/>
          <w:sz w:val="21"/>
          <w:szCs w:val="21"/>
        </w:rPr>
        <w:t>five</w:t>
      </w:r>
      <w:r>
        <w:rPr>
          <w:sz w:val="21"/>
          <w:szCs w:val="21"/>
        </w:rPr>
        <w:t xml:space="preserve"> groups according to their body weight with the random number method: the normal group (NC), the model group (MC)</w:t>
      </w:r>
      <w:r>
        <w:rPr>
          <w:rFonts w:hint="eastAsia"/>
          <w:sz w:val="21"/>
          <w:szCs w:val="21"/>
        </w:rPr>
        <w:t>,</w:t>
      </w:r>
      <w:r>
        <w:rPr>
          <w:sz w:val="21"/>
          <w:szCs w:val="21"/>
        </w:rPr>
        <w:t xml:space="preserve"> WSF</w:t>
      </w:r>
      <w:r>
        <w:rPr>
          <w:rFonts w:hint="eastAsia"/>
          <w:sz w:val="21"/>
          <w:szCs w:val="21"/>
        </w:rPr>
        <w:t xml:space="preserve"> low-dose</w:t>
      </w:r>
      <w:r>
        <w:rPr>
          <w:sz w:val="21"/>
          <w:szCs w:val="21"/>
        </w:rPr>
        <w:t xml:space="preserve"> administration group (WS</w:t>
      </w:r>
      <w:r>
        <w:rPr>
          <w:rFonts w:hint="eastAsia"/>
          <w:sz w:val="21"/>
          <w:szCs w:val="21"/>
        </w:rPr>
        <w:t xml:space="preserve">-L, 3.56 </w:t>
      </w:r>
      <w:r>
        <w:rPr>
          <w:sz w:val="21"/>
          <w:szCs w:val="21"/>
        </w:rPr>
        <w:t>g/</w:t>
      </w:r>
      <w:r>
        <w:rPr>
          <w:rFonts w:hint="eastAsia"/>
          <w:sz w:val="21"/>
          <w:szCs w:val="21"/>
        </w:rPr>
        <w:t>kg</w:t>
      </w:r>
      <w:r>
        <w:rPr>
          <w:sz w:val="21"/>
          <w:szCs w:val="21"/>
        </w:rPr>
        <w:t>), WSF</w:t>
      </w:r>
      <w:r>
        <w:rPr>
          <w:rFonts w:hint="eastAsia"/>
          <w:sz w:val="21"/>
          <w:szCs w:val="21"/>
        </w:rPr>
        <w:t xml:space="preserve"> median-dose</w:t>
      </w:r>
      <w:r>
        <w:rPr>
          <w:sz w:val="21"/>
          <w:szCs w:val="21"/>
        </w:rPr>
        <w:t xml:space="preserve"> administration group (WS</w:t>
      </w:r>
      <w:r>
        <w:rPr>
          <w:rFonts w:hint="eastAsia"/>
          <w:sz w:val="21"/>
          <w:szCs w:val="21"/>
        </w:rPr>
        <w:t xml:space="preserve">-L, 7.13 </w:t>
      </w:r>
      <w:r>
        <w:rPr>
          <w:sz w:val="21"/>
          <w:szCs w:val="21"/>
        </w:rPr>
        <w:t>g/</w:t>
      </w:r>
      <w:r>
        <w:rPr>
          <w:rFonts w:hint="eastAsia"/>
          <w:sz w:val="21"/>
          <w:szCs w:val="21"/>
        </w:rPr>
        <w:t>kg</w:t>
      </w:r>
      <w:r>
        <w:rPr>
          <w:sz w:val="21"/>
          <w:szCs w:val="21"/>
        </w:rPr>
        <w:t>),</w:t>
      </w:r>
      <w:r>
        <w:rPr>
          <w:rFonts w:hint="eastAsia"/>
          <w:sz w:val="21"/>
          <w:szCs w:val="21"/>
        </w:rPr>
        <w:t xml:space="preserve"> </w:t>
      </w:r>
      <w:r>
        <w:rPr>
          <w:sz w:val="21"/>
          <w:szCs w:val="21"/>
        </w:rPr>
        <w:t>and WSF</w:t>
      </w:r>
      <w:r>
        <w:rPr>
          <w:rFonts w:hint="eastAsia"/>
          <w:sz w:val="21"/>
          <w:szCs w:val="21"/>
        </w:rPr>
        <w:t xml:space="preserve"> high-dose</w:t>
      </w:r>
      <w:r>
        <w:rPr>
          <w:sz w:val="21"/>
          <w:szCs w:val="21"/>
        </w:rPr>
        <w:t xml:space="preserve"> administration group (WS</w:t>
      </w:r>
      <w:r>
        <w:rPr>
          <w:rFonts w:hint="eastAsia"/>
          <w:sz w:val="21"/>
          <w:szCs w:val="21"/>
        </w:rPr>
        <w:t xml:space="preserve">-H, 14.26 </w:t>
      </w:r>
      <w:r>
        <w:rPr>
          <w:sz w:val="21"/>
          <w:szCs w:val="21"/>
        </w:rPr>
        <w:t>g/</w:t>
      </w:r>
      <w:r>
        <w:rPr>
          <w:rFonts w:hint="eastAsia"/>
          <w:sz w:val="21"/>
          <w:szCs w:val="21"/>
        </w:rPr>
        <w:t>kg</w:t>
      </w:r>
      <w:r>
        <w:rPr>
          <w:sz w:val="21"/>
          <w:szCs w:val="21"/>
        </w:rPr>
        <w:t>)</w:t>
      </w:r>
      <w:r>
        <w:rPr>
          <w:rFonts w:hint="eastAsia"/>
          <w:sz w:val="21"/>
          <w:szCs w:val="21"/>
        </w:rPr>
        <w:t xml:space="preserve">, </w:t>
      </w:r>
      <w:r>
        <w:rPr>
          <w:sz w:val="21"/>
          <w:szCs w:val="21"/>
        </w:rPr>
        <w:t xml:space="preserve">each consisting of </w:t>
      </w:r>
      <w:r>
        <w:rPr>
          <w:rFonts w:hint="eastAsia"/>
          <w:sz w:val="21"/>
          <w:szCs w:val="21"/>
        </w:rPr>
        <w:t>four</w:t>
      </w:r>
      <w:r>
        <w:rPr>
          <w:sz w:val="21"/>
          <w:szCs w:val="21"/>
        </w:rPr>
        <w:t xml:space="preserve"> </w:t>
      </w:r>
      <w:r>
        <w:rPr>
          <w:rFonts w:hint="eastAsia"/>
          <w:sz w:val="21"/>
          <w:szCs w:val="21"/>
        </w:rPr>
        <w:t>rats</w:t>
      </w:r>
      <w:r>
        <w:rPr>
          <w:sz w:val="21"/>
          <w:szCs w:val="21"/>
        </w:rPr>
        <w:t xml:space="preserve">. The NC </w:t>
      </w:r>
      <w:r>
        <w:rPr>
          <w:rFonts w:hint="eastAsia"/>
          <w:sz w:val="21"/>
          <w:szCs w:val="21"/>
        </w:rPr>
        <w:t>rats</w:t>
      </w:r>
      <w:r>
        <w:rPr>
          <w:sz w:val="21"/>
          <w:szCs w:val="21"/>
        </w:rPr>
        <w:t xml:space="preserve"> was fed with standard diet, while </w:t>
      </w:r>
      <w:r>
        <w:rPr>
          <w:rFonts w:hint="eastAsia"/>
          <w:sz w:val="21"/>
          <w:szCs w:val="21"/>
        </w:rPr>
        <w:t>rats</w:t>
      </w:r>
      <w:r>
        <w:rPr>
          <w:sz w:val="21"/>
          <w:szCs w:val="21"/>
        </w:rPr>
        <w:t xml:space="preserve"> in the MC and WS were both received a high-</w:t>
      </w:r>
      <w:r>
        <w:rPr>
          <w:rFonts w:hint="eastAsia"/>
          <w:sz w:val="21"/>
          <w:szCs w:val="21"/>
        </w:rPr>
        <w:t>fructose</w:t>
      </w:r>
      <w:r>
        <w:rPr>
          <w:sz w:val="21"/>
          <w:szCs w:val="21"/>
        </w:rPr>
        <w:t xml:space="preserve"> and high-fat (H</w:t>
      </w:r>
      <w:r>
        <w:rPr>
          <w:rFonts w:hint="eastAsia"/>
          <w:sz w:val="21"/>
          <w:szCs w:val="21"/>
        </w:rPr>
        <w:t>F</w:t>
      </w:r>
      <w:r>
        <w:rPr>
          <w:sz w:val="21"/>
          <w:szCs w:val="21"/>
        </w:rPr>
        <w:t xml:space="preserve">HF) diet over a period of </w:t>
      </w:r>
      <w:r>
        <w:rPr>
          <w:rFonts w:hint="eastAsia"/>
          <w:sz w:val="21"/>
          <w:szCs w:val="21"/>
        </w:rPr>
        <w:t>18</w:t>
      </w:r>
      <w:r>
        <w:rPr>
          <w:sz w:val="21"/>
          <w:szCs w:val="21"/>
        </w:rPr>
        <w:t xml:space="preserve"> weeks. The WS </w:t>
      </w:r>
      <w:r>
        <w:rPr>
          <w:rFonts w:hint="eastAsia"/>
          <w:sz w:val="21"/>
          <w:szCs w:val="21"/>
        </w:rPr>
        <w:t>rats</w:t>
      </w:r>
      <w:r>
        <w:rPr>
          <w:sz w:val="21"/>
          <w:szCs w:val="21"/>
        </w:rPr>
        <w:t xml:space="preserve"> were daily administered WSF at </w:t>
      </w:r>
      <w:r>
        <w:rPr>
          <w:rFonts w:hint="eastAsia"/>
          <w:sz w:val="21"/>
          <w:szCs w:val="21"/>
        </w:rPr>
        <w:t>various</w:t>
      </w:r>
      <w:r>
        <w:rPr>
          <w:sz w:val="21"/>
          <w:szCs w:val="21"/>
        </w:rPr>
        <w:t xml:space="preserve"> dose</w:t>
      </w:r>
      <w:r>
        <w:rPr>
          <w:rFonts w:hint="eastAsia"/>
          <w:sz w:val="21"/>
          <w:szCs w:val="21"/>
        </w:rPr>
        <w:t xml:space="preserve"> </w:t>
      </w:r>
      <w:r>
        <w:rPr>
          <w:sz w:val="21"/>
          <w:szCs w:val="21"/>
        </w:rPr>
        <w:t>(i.g.) adjusted to the volume of 1 ml/100 g in accordance with the body weight</w:t>
      </w:r>
      <w:r>
        <w:rPr>
          <w:rFonts w:hint="eastAsia"/>
          <w:sz w:val="21"/>
          <w:szCs w:val="21"/>
        </w:rPr>
        <w:t xml:space="preserve"> after modeling for 10 weeks</w:t>
      </w:r>
      <w:r>
        <w:rPr>
          <w:sz w:val="21"/>
          <w:szCs w:val="21"/>
        </w:rPr>
        <w:t>. The H</w:t>
      </w:r>
      <w:r>
        <w:rPr>
          <w:rFonts w:hint="eastAsia"/>
          <w:sz w:val="21"/>
          <w:szCs w:val="21"/>
        </w:rPr>
        <w:t>F</w:t>
      </w:r>
      <w:r>
        <w:rPr>
          <w:sz w:val="21"/>
          <w:szCs w:val="21"/>
        </w:rPr>
        <w:t>HF diet</w:t>
      </w:r>
      <w:r>
        <w:rPr>
          <w:rFonts w:hint="eastAsia"/>
          <w:sz w:val="21"/>
          <w:szCs w:val="21"/>
        </w:rPr>
        <w:t xml:space="preserve"> (TP0860)</w:t>
      </w:r>
      <w:r>
        <w:rPr>
          <w:sz w:val="21"/>
          <w:szCs w:val="21"/>
        </w:rPr>
        <w:t>, consisting of 1</w:t>
      </w:r>
      <w:r>
        <w:rPr>
          <w:rFonts w:hint="eastAsia"/>
          <w:sz w:val="21"/>
          <w:szCs w:val="21"/>
        </w:rPr>
        <w:t>5</w:t>
      </w:r>
      <w:r>
        <w:rPr>
          <w:sz w:val="21"/>
          <w:szCs w:val="21"/>
        </w:rPr>
        <w:t>% fat</w:t>
      </w:r>
      <w:r>
        <w:rPr>
          <w:rFonts w:hint="eastAsia"/>
          <w:sz w:val="21"/>
          <w:szCs w:val="21"/>
        </w:rPr>
        <w:t xml:space="preserve"> and</w:t>
      </w:r>
      <w:r>
        <w:rPr>
          <w:sz w:val="21"/>
          <w:szCs w:val="21"/>
        </w:rPr>
        <w:t xml:space="preserve"> </w:t>
      </w:r>
      <w:r>
        <w:rPr>
          <w:rFonts w:hint="eastAsia"/>
          <w:sz w:val="21"/>
          <w:szCs w:val="21"/>
        </w:rPr>
        <w:t>15</w:t>
      </w:r>
      <w:r>
        <w:rPr>
          <w:sz w:val="21"/>
          <w:szCs w:val="21"/>
        </w:rPr>
        <w:t xml:space="preserve">% </w:t>
      </w:r>
      <w:r>
        <w:rPr>
          <w:rFonts w:hint="eastAsia"/>
          <w:sz w:val="21"/>
          <w:szCs w:val="21"/>
        </w:rPr>
        <w:t>fructose</w:t>
      </w:r>
      <w:r>
        <w:rPr>
          <w:sz w:val="21"/>
          <w:szCs w:val="21"/>
        </w:rPr>
        <w:t xml:space="preserve"> was derived from </w:t>
      </w:r>
      <w:r>
        <w:rPr>
          <w:rFonts w:hint="eastAsia"/>
          <w:sz w:val="21"/>
          <w:szCs w:val="21"/>
        </w:rPr>
        <w:t>Nantong Trophic Feed Technology Co., Ltd</w:t>
      </w:r>
      <w:r>
        <w:rPr>
          <w:sz w:val="21"/>
          <w:szCs w:val="21"/>
        </w:rPr>
        <w:t xml:space="preserve"> (</w:t>
      </w:r>
      <w:r>
        <w:rPr>
          <w:rFonts w:hint="eastAsia"/>
          <w:sz w:val="21"/>
          <w:szCs w:val="21"/>
        </w:rPr>
        <w:t>Nantong</w:t>
      </w:r>
      <w:r>
        <w:rPr>
          <w:sz w:val="21"/>
          <w:szCs w:val="21"/>
        </w:rPr>
        <w:t>, China).</w:t>
      </w:r>
    </w:p>
    <w:p w14:paraId="2248C9FA">
      <w:pPr>
        <w:pStyle w:val="13"/>
        <w:widowControl/>
        <w:adjustRightInd/>
        <w:snapToGrid/>
        <w:spacing w:before="0" w:beforeLines="0" w:line="300" w:lineRule="auto"/>
        <w:ind w:firstLine="420" w:firstLineChars="200"/>
        <w:rPr>
          <w:sz w:val="21"/>
          <w:szCs w:val="21"/>
        </w:rPr>
      </w:pPr>
      <w:r>
        <w:rPr>
          <w:sz w:val="21"/>
          <w:szCs w:val="21"/>
        </w:rPr>
        <w:t>Upon conclusion of the experiment, mice were subjected to an overnight fasting before blood was drawn from the ocular venous plexus. Obtained blood samples were centrifuged for 10 min twice at 3000 rpm to attain serum for biochemical analysis.</w:t>
      </w:r>
    </w:p>
    <w:p w14:paraId="5D7938BC">
      <w:pPr>
        <w:pStyle w:val="13"/>
        <w:widowControl/>
        <w:adjustRightInd/>
        <w:snapToGrid/>
        <w:spacing w:before="0" w:beforeLines="0" w:line="300" w:lineRule="auto"/>
        <w:ind w:firstLine="420" w:firstLineChars="200"/>
        <w:rPr>
          <w:sz w:val="21"/>
          <w:szCs w:val="21"/>
        </w:rPr>
      </w:pPr>
    </w:p>
    <w:p w14:paraId="0E8277FD">
      <w:pPr>
        <w:autoSpaceDE w:val="0"/>
        <w:autoSpaceDN w:val="0"/>
        <w:spacing w:line="300" w:lineRule="auto"/>
        <w:rPr>
          <w:kern w:val="0"/>
          <w:sz w:val="18"/>
          <w:szCs w:val="18"/>
          <w:lang w:bidi="ar"/>
        </w:rPr>
      </w:pPr>
      <w:r>
        <w:rPr>
          <w:b/>
          <w:bCs/>
          <w:kern w:val="0"/>
          <w:sz w:val="18"/>
          <w:szCs w:val="18"/>
          <w:lang w:bidi="ar"/>
        </w:rPr>
        <w:t>Table.</w:t>
      </w:r>
      <w:r>
        <w:rPr>
          <w:rFonts w:hint="eastAsia"/>
          <w:b/>
          <w:bCs/>
          <w:kern w:val="0"/>
          <w:sz w:val="18"/>
          <w:szCs w:val="18"/>
          <w:lang w:bidi="ar"/>
        </w:rPr>
        <w:t>S2</w:t>
      </w:r>
      <w:r>
        <w:rPr>
          <w:b/>
          <w:bCs/>
          <w:kern w:val="0"/>
          <w:sz w:val="18"/>
          <w:szCs w:val="18"/>
          <w:lang w:bidi="ar"/>
        </w:rPr>
        <w:t xml:space="preserve"> Body weight change of </w:t>
      </w:r>
      <w:bookmarkStart w:id="11" w:name="OLE_LINK2"/>
      <w:r>
        <w:rPr>
          <w:b/>
          <w:bCs/>
          <w:kern w:val="0"/>
          <w:sz w:val="18"/>
          <w:szCs w:val="18"/>
          <w:lang w:bidi="ar"/>
        </w:rPr>
        <w:t>rats with glucose and lipid metabolic disorders</w:t>
      </w:r>
      <w:bookmarkEnd w:id="11"/>
      <w:r>
        <w:rPr>
          <w:rFonts w:hint="eastAsia"/>
          <w:b/>
          <w:bCs/>
          <w:kern w:val="0"/>
          <w:sz w:val="18"/>
          <w:szCs w:val="18"/>
          <w:lang w:bidi="ar"/>
        </w:rPr>
        <w:t xml:space="preserve"> </w:t>
      </w:r>
      <w:r>
        <w:rPr>
          <w:b/>
          <w:bCs/>
          <w:kern w:val="0"/>
          <w:sz w:val="18"/>
          <w:szCs w:val="18"/>
          <w:lang w:bidi="ar"/>
        </w:rPr>
        <w:t>(g)</w:t>
      </w:r>
    </w:p>
    <w:tbl>
      <w:tblPr>
        <w:tblStyle w:val="10"/>
        <w:tblW w:w="4998"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727"/>
        <w:gridCol w:w="1558"/>
        <w:gridCol w:w="1558"/>
        <w:gridCol w:w="1558"/>
        <w:gridCol w:w="1559"/>
        <w:gridCol w:w="1559"/>
      </w:tblGrid>
      <w:tr w14:paraId="58C579F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6" w:type="pct"/>
            <w:tcBorders>
              <w:top w:val="single" w:color="auto" w:sz="12" w:space="0"/>
              <w:left w:val="nil"/>
              <w:bottom w:val="single" w:color="auto" w:sz="8" w:space="0"/>
              <w:right w:val="nil"/>
            </w:tcBorders>
            <w:shd w:val="clear" w:color="auto" w:fill="auto"/>
            <w:vAlign w:val="center"/>
          </w:tcPr>
          <w:p w14:paraId="3E41E9C5">
            <w:pPr>
              <w:autoSpaceDE w:val="0"/>
              <w:autoSpaceDN w:val="0"/>
              <w:spacing w:line="300" w:lineRule="auto"/>
              <w:jc w:val="center"/>
              <w:rPr>
                <w:rFonts w:eastAsia="Times New Roman"/>
                <w:b/>
                <w:bCs/>
                <w:kern w:val="0"/>
                <w:sz w:val="18"/>
                <w:szCs w:val="18"/>
              </w:rPr>
            </w:pPr>
            <w:r>
              <w:rPr>
                <w:rFonts w:hint="eastAsia" w:eastAsia="Times New Roman"/>
                <w:b/>
                <w:bCs/>
                <w:kern w:val="0"/>
                <w:sz w:val="18"/>
                <w:szCs w:val="18"/>
              </w:rPr>
              <w:t>Group</w:t>
            </w:r>
          </w:p>
        </w:tc>
        <w:tc>
          <w:tcPr>
            <w:tcW w:w="930" w:type="pct"/>
            <w:tcBorders>
              <w:top w:val="single" w:color="auto" w:sz="12" w:space="0"/>
              <w:left w:val="nil"/>
              <w:bottom w:val="single" w:color="auto" w:sz="8" w:space="0"/>
              <w:right w:val="nil"/>
            </w:tcBorders>
            <w:shd w:val="clear" w:color="auto" w:fill="auto"/>
            <w:vAlign w:val="center"/>
          </w:tcPr>
          <w:p w14:paraId="01B201A3">
            <w:pPr>
              <w:autoSpaceDE w:val="0"/>
              <w:autoSpaceDN w:val="0"/>
              <w:spacing w:line="300" w:lineRule="auto"/>
              <w:jc w:val="center"/>
              <w:rPr>
                <w:rFonts w:eastAsia="Times New Roman"/>
                <w:b/>
                <w:bCs/>
                <w:kern w:val="0"/>
                <w:sz w:val="18"/>
                <w:szCs w:val="18"/>
              </w:rPr>
            </w:pPr>
            <w:r>
              <w:rPr>
                <w:rFonts w:hint="eastAsia" w:eastAsia="Times New Roman"/>
                <w:b/>
                <w:bCs/>
                <w:kern w:val="0"/>
                <w:sz w:val="18"/>
                <w:szCs w:val="18"/>
              </w:rPr>
              <w:t>Week 0</w:t>
            </w:r>
          </w:p>
        </w:tc>
        <w:tc>
          <w:tcPr>
            <w:tcW w:w="930" w:type="pct"/>
            <w:tcBorders>
              <w:top w:val="single" w:color="auto" w:sz="12" w:space="0"/>
              <w:left w:val="nil"/>
              <w:bottom w:val="single" w:color="auto" w:sz="8" w:space="0"/>
              <w:right w:val="nil"/>
            </w:tcBorders>
            <w:shd w:val="clear" w:color="auto" w:fill="auto"/>
            <w:vAlign w:val="center"/>
          </w:tcPr>
          <w:p w14:paraId="24F5803D">
            <w:pPr>
              <w:autoSpaceDE w:val="0"/>
              <w:autoSpaceDN w:val="0"/>
              <w:spacing w:line="300" w:lineRule="auto"/>
              <w:jc w:val="center"/>
              <w:rPr>
                <w:rFonts w:eastAsia="Times New Roman"/>
                <w:b/>
                <w:bCs/>
                <w:kern w:val="0"/>
                <w:sz w:val="18"/>
                <w:szCs w:val="18"/>
              </w:rPr>
            </w:pPr>
            <w:r>
              <w:rPr>
                <w:rFonts w:hint="eastAsia" w:eastAsia="Times New Roman"/>
                <w:b/>
                <w:bCs/>
                <w:kern w:val="0"/>
                <w:sz w:val="18"/>
                <w:szCs w:val="18"/>
              </w:rPr>
              <w:t>Week 2</w:t>
            </w:r>
          </w:p>
        </w:tc>
        <w:tc>
          <w:tcPr>
            <w:tcW w:w="930" w:type="pct"/>
            <w:tcBorders>
              <w:top w:val="single" w:color="auto" w:sz="12" w:space="0"/>
              <w:left w:val="nil"/>
              <w:bottom w:val="single" w:color="auto" w:sz="8" w:space="0"/>
              <w:right w:val="nil"/>
            </w:tcBorders>
            <w:shd w:val="clear" w:color="auto" w:fill="auto"/>
            <w:vAlign w:val="center"/>
          </w:tcPr>
          <w:p w14:paraId="79457C93">
            <w:pPr>
              <w:autoSpaceDE w:val="0"/>
              <w:autoSpaceDN w:val="0"/>
              <w:spacing w:line="300" w:lineRule="auto"/>
              <w:jc w:val="center"/>
              <w:rPr>
                <w:rFonts w:eastAsia="Times New Roman"/>
                <w:b/>
                <w:bCs/>
                <w:kern w:val="0"/>
                <w:sz w:val="18"/>
                <w:szCs w:val="18"/>
              </w:rPr>
            </w:pPr>
            <w:r>
              <w:rPr>
                <w:rFonts w:hint="eastAsia" w:eastAsia="Times New Roman"/>
                <w:b/>
                <w:bCs/>
                <w:kern w:val="0"/>
                <w:sz w:val="18"/>
                <w:szCs w:val="18"/>
              </w:rPr>
              <w:t>Week 4</w:t>
            </w:r>
          </w:p>
        </w:tc>
        <w:tc>
          <w:tcPr>
            <w:tcW w:w="930" w:type="pct"/>
            <w:tcBorders>
              <w:top w:val="single" w:color="auto" w:sz="12" w:space="0"/>
              <w:left w:val="nil"/>
              <w:bottom w:val="single" w:color="auto" w:sz="8" w:space="0"/>
              <w:right w:val="nil"/>
            </w:tcBorders>
            <w:shd w:val="clear" w:color="auto" w:fill="auto"/>
            <w:vAlign w:val="center"/>
          </w:tcPr>
          <w:p w14:paraId="79C91121">
            <w:pPr>
              <w:autoSpaceDE w:val="0"/>
              <w:autoSpaceDN w:val="0"/>
              <w:spacing w:line="300" w:lineRule="auto"/>
              <w:jc w:val="center"/>
              <w:rPr>
                <w:rFonts w:eastAsia="Times New Roman"/>
                <w:b/>
                <w:bCs/>
                <w:kern w:val="0"/>
                <w:sz w:val="18"/>
                <w:szCs w:val="18"/>
              </w:rPr>
            </w:pPr>
            <w:r>
              <w:rPr>
                <w:rFonts w:hint="eastAsia" w:eastAsia="Times New Roman"/>
                <w:b/>
                <w:bCs/>
                <w:kern w:val="0"/>
                <w:sz w:val="18"/>
                <w:szCs w:val="18"/>
              </w:rPr>
              <w:t>Week 6</w:t>
            </w:r>
          </w:p>
        </w:tc>
        <w:tc>
          <w:tcPr>
            <w:tcW w:w="930" w:type="pct"/>
            <w:tcBorders>
              <w:top w:val="single" w:color="auto" w:sz="12" w:space="0"/>
              <w:left w:val="nil"/>
              <w:bottom w:val="single" w:color="auto" w:sz="8" w:space="0"/>
              <w:right w:val="nil"/>
            </w:tcBorders>
            <w:shd w:val="clear" w:color="auto" w:fill="auto"/>
            <w:vAlign w:val="center"/>
          </w:tcPr>
          <w:p w14:paraId="31A31766">
            <w:pPr>
              <w:autoSpaceDE w:val="0"/>
              <w:autoSpaceDN w:val="0"/>
              <w:spacing w:line="300" w:lineRule="auto"/>
              <w:jc w:val="center"/>
              <w:rPr>
                <w:rFonts w:eastAsia="Times New Roman"/>
                <w:b/>
                <w:bCs/>
                <w:kern w:val="0"/>
                <w:sz w:val="18"/>
                <w:szCs w:val="18"/>
              </w:rPr>
            </w:pPr>
            <w:r>
              <w:rPr>
                <w:rFonts w:hint="eastAsia" w:eastAsia="Times New Roman"/>
                <w:b/>
                <w:bCs/>
                <w:kern w:val="0"/>
                <w:sz w:val="18"/>
                <w:szCs w:val="18"/>
              </w:rPr>
              <w:t>Week 8</w:t>
            </w:r>
          </w:p>
        </w:tc>
      </w:tr>
      <w:tr w14:paraId="744E0C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6" w:type="pct"/>
            <w:tcBorders>
              <w:top w:val="nil"/>
              <w:left w:val="nil"/>
              <w:bottom w:val="nil"/>
              <w:right w:val="nil"/>
            </w:tcBorders>
            <w:shd w:val="clear" w:color="auto" w:fill="auto"/>
            <w:vAlign w:val="center"/>
          </w:tcPr>
          <w:p w14:paraId="2AE61297">
            <w:pPr>
              <w:autoSpaceDE w:val="0"/>
              <w:autoSpaceDN w:val="0"/>
              <w:spacing w:line="300" w:lineRule="auto"/>
              <w:jc w:val="center"/>
              <w:rPr>
                <w:rFonts w:eastAsia="Times New Roman"/>
                <w:kern w:val="0"/>
                <w:sz w:val="18"/>
                <w:szCs w:val="18"/>
              </w:rPr>
            </w:pPr>
            <w:r>
              <w:rPr>
                <w:rFonts w:hint="eastAsia" w:eastAsia="Times New Roman"/>
                <w:kern w:val="0"/>
                <w:sz w:val="18"/>
                <w:szCs w:val="18"/>
              </w:rPr>
              <w:t>NC</w:t>
            </w:r>
          </w:p>
        </w:tc>
        <w:tc>
          <w:tcPr>
            <w:tcW w:w="930" w:type="pct"/>
            <w:tcBorders>
              <w:top w:val="nil"/>
              <w:left w:val="nil"/>
              <w:bottom w:val="nil"/>
              <w:right w:val="nil"/>
            </w:tcBorders>
            <w:shd w:val="clear" w:color="auto" w:fill="auto"/>
            <w:vAlign w:val="center"/>
          </w:tcPr>
          <w:p w14:paraId="5763F45C">
            <w:pPr>
              <w:autoSpaceDE w:val="0"/>
              <w:autoSpaceDN w:val="0"/>
              <w:spacing w:line="300" w:lineRule="auto"/>
              <w:jc w:val="center"/>
              <w:rPr>
                <w:rFonts w:eastAsia="Times New Roman"/>
                <w:kern w:val="0"/>
                <w:sz w:val="18"/>
                <w:szCs w:val="18"/>
              </w:rPr>
            </w:pPr>
            <w:r>
              <w:rPr>
                <w:rFonts w:hint="eastAsia" w:eastAsia="Times New Roman"/>
                <w:kern w:val="0"/>
                <w:sz w:val="18"/>
                <w:szCs w:val="18"/>
              </w:rPr>
              <w:t>395.45±13.85**</w:t>
            </w:r>
          </w:p>
        </w:tc>
        <w:tc>
          <w:tcPr>
            <w:tcW w:w="930" w:type="pct"/>
            <w:tcBorders>
              <w:top w:val="nil"/>
              <w:left w:val="nil"/>
              <w:bottom w:val="nil"/>
              <w:right w:val="nil"/>
            </w:tcBorders>
            <w:shd w:val="clear" w:color="auto" w:fill="auto"/>
            <w:vAlign w:val="center"/>
          </w:tcPr>
          <w:p w14:paraId="30A24E88">
            <w:pPr>
              <w:autoSpaceDE w:val="0"/>
              <w:autoSpaceDN w:val="0"/>
              <w:spacing w:line="300" w:lineRule="auto"/>
              <w:jc w:val="center"/>
              <w:rPr>
                <w:rFonts w:eastAsia="Times New Roman"/>
                <w:kern w:val="0"/>
                <w:sz w:val="18"/>
                <w:szCs w:val="18"/>
              </w:rPr>
            </w:pPr>
            <w:r>
              <w:rPr>
                <w:rFonts w:hint="eastAsia" w:eastAsia="Times New Roman"/>
                <w:kern w:val="0"/>
                <w:sz w:val="18"/>
                <w:szCs w:val="18"/>
              </w:rPr>
              <w:t>393.33±23.06**</w:t>
            </w:r>
          </w:p>
        </w:tc>
        <w:tc>
          <w:tcPr>
            <w:tcW w:w="930" w:type="pct"/>
            <w:tcBorders>
              <w:top w:val="nil"/>
              <w:left w:val="nil"/>
              <w:bottom w:val="nil"/>
              <w:right w:val="nil"/>
            </w:tcBorders>
            <w:shd w:val="clear" w:color="auto" w:fill="auto"/>
            <w:vAlign w:val="center"/>
          </w:tcPr>
          <w:p w14:paraId="5DAB7A77">
            <w:pPr>
              <w:autoSpaceDE w:val="0"/>
              <w:autoSpaceDN w:val="0"/>
              <w:spacing w:line="300" w:lineRule="auto"/>
              <w:jc w:val="center"/>
              <w:rPr>
                <w:rFonts w:eastAsia="Times New Roman"/>
                <w:kern w:val="0"/>
                <w:sz w:val="18"/>
                <w:szCs w:val="18"/>
              </w:rPr>
            </w:pPr>
            <w:r>
              <w:rPr>
                <w:rFonts w:hint="eastAsia" w:eastAsia="Times New Roman"/>
                <w:kern w:val="0"/>
                <w:sz w:val="18"/>
                <w:szCs w:val="18"/>
              </w:rPr>
              <w:t>431.73±25.37**</w:t>
            </w:r>
          </w:p>
        </w:tc>
        <w:tc>
          <w:tcPr>
            <w:tcW w:w="930" w:type="pct"/>
            <w:tcBorders>
              <w:top w:val="nil"/>
              <w:left w:val="nil"/>
              <w:bottom w:val="nil"/>
              <w:right w:val="nil"/>
            </w:tcBorders>
            <w:shd w:val="clear" w:color="auto" w:fill="auto"/>
            <w:vAlign w:val="center"/>
          </w:tcPr>
          <w:p w14:paraId="168616E0">
            <w:pPr>
              <w:autoSpaceDE w:val="0"/>
              <w:autoSpaceDN w:val="0"/>
              <w:spacing w:line="300" w:lineRule="auto"/>
              <w:jc w:val="center"/>
              <w:rPr>
                <w:rFonts w:eastAsia="Times New Roman"/>
                <w:kern w:val="0"/>
                <w:sz w:val="18"/>
                <w:szCs w:val="18"/>
              </w:rPr>
            </w:pPr>
            <w:r>
              <w:rPr>
                <w:rFonts w:hint="eastAsia" w:eastAsia="Times New Roman"/>
                <w:kern w:val="0"/>
                <w:sz w:val="18"/>
                <w:szCs w:val="18"/>
              </w:rPr>
              <w:t>428.43±21.83**</w:t>
            </w:r>
          </w:p>
        </w:tc>
        <w:tc>
          <w:tcPr>
            <w:tcW w:w="930" w:type="pct"/>
            <w:tcBorders>
              <w:top w:val="nil"/>
              <w:left w:val="nil"/>
              <w:bottom w:val="nil"/>
              <w:right w:val="nil"/>
            </w:tcBorders>
            <w:shd w:val="clear" w:color="auto" w:fill="auto"/>
            <w:vAlign w:val="center"/>
          </w:tcPr>
          <w:p w14:paraId="31285B94">
            <w:pPr>
              <w:autoSpaceDE w:val="0"/>
              <w:autoSpaceDN w:val="0"/>
              <w:spacing w:line="300" w:lineRule="auto"/>
              <w:jc w:val="center"/>
              <w:rPr>
                <w:rFonts w:eastAsia="Times New Roman"/>
                <w:kern w:val="0"/>
                <w:sz w:val="18"/>
                <w:szCs w:val="18"/>
              </w:rPr>
            </w:pPr>
            <w:r>
              <w:rPr>
                <w:rFonts w:hint="eastAsia" w:eastAsia="Times New Roman"/>
                <w:kern w:val="0"/>
                <w:sz w:val="18"/>
                <w:szCs w:val="18"/>
              </w:rPr>
              <w:t>447.98±20.68**</w:t>
            </w:r>
          </w:p>
        </w:tc>
      </w:tr>
      <w:tr w14:paraId="2B58F2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6" w:type="pct"/>
            <w:tcBorders>
              <w:top w:val="nil"/>
              <w:left w:val="nil"/>
              <w:bottom w:val="nil"/>
              <w:right w:val="nil"/>
            </w:tcBorders>
            <w:shd w:val="clear" w:color="auto" w:fill="auto"/>
            <w:vAlign w:val="center"/>
          </w:tcPr>
          <w:p w14:paraId="71367BF4">
            <w:pPr>
              <w:autoSpaceDE w:val="0"/>
              <w:autoSpaceDN w:val="0"/>
              <w:spacing w:line="300" w:lineRule="auto"/>
              <w:jc w:val="center"/>
              <w:rPr>
                <w:rFonts w:eastAsia="Times New Roman"/>
                <w:kern w:val="0"/>
                <w:sz w:val="18"/>
                <w:szCs w:val="18"/>
              </w:rPr>
            </w:pPr>
            <w:r>
              <w:rPr>
                <w:rFonts w:hint="eastAsia" w:eastAsia="Times New Roman"/>
                <w:kern w:val="0"/>
                <w:sz w:val="18"/>
                <w:szCs w:val="18"/>
              </w:rPr>
              <w:t>MC</w:t>
            </w:r>
          </w:p>
        </w:tc>
        <w:tc>
          <w:tcPr>
            <w:tcW w:w="930" w:type="pct"/>
            <w:tcBorders>
              <w:top w:val="nil"/>
              <w:left w:val="nil"/>
              <w:bottom w:val="nil"/>
              <w:right w:val="nil"/>
            </w:tcBorders>
            <w:shd w:val="clear" w:color="auto" w:fill="auto"/>
            <w:vAlign w:val="center"/>
          </w:tcPr>
          <w:p w14:paraId="523E3CD8">
            <w:pPr>
              <w:autoSpaceDE w:val="0"/>
              <w:autoSpaceDN w:val="0"/>
              <w:spacing w:line="300" w:lineRule="auto"/>
              <w:jc w:val="center"/>
              <w:rPr>
                <w:rFonts w:eastAsia="Times New Roman"/>
                <w:kern w:val="0"/>
                <w:sz w:val="18"/>
                <w:szCs w:val="18"/>
              </w:rPr>
            </w:pPr>
            <w:r>
              <w:rPr>
                <w:rFonts w:hint="eastAsia" w:eastAsia="Times New Roman"/>
                <w:kern w:val="0"/>
                <w:sz w:val="18"/>
                <w:szCs w:val="18"/>
              </w:rPr>
              <w:t>537.73±34.14</w:t>
            </w:r>
          </w:p>
        </w:tc>
        <w:tc>
          <w:tcPr>
            <w:tcW w:w="930" w:type="pct"/>
            <w:tcBorders>
              <w:top w:val="nil"/>
              <w:left w:val="nil"/>
              <w:bottom w:val="nil"/>
              <w:right w:val="nil"/>
            </w:tcBorders>
            <w:shd w:val="clear" w:color="auto" w:fill="auto"/>
            <w:vAlign w:val="center"/>
          </w:tcPr>
          <w:p w14:paraId="38B11864">
            <w:pPr>
              <w:autoSpaceDE w:val="0"/>
              <w:autoSpaceDN w:val="0"/>
              <w:spacing w:line="300" w:lineRule="auto"/>
              <w:jc w:val="center"/>
              <w:rPr>
                <w:rFonts w:eastAsia="Times New Roman"/>
                <w:kern w:val="0"/>
                <w:sz w:val="18"/>
                <w:szCs w:val="18"/>
              </w:rPr>
            </w:pPr>
            <w:r>
              <w:rPr>
                <w:rFonts w:hint="eastAsia" w:eastAsia="Times New Roman"/>
                <w:kern w:val="0"/>
                <w:sz w:val="18"/>
                <w:szCs w:val="18"/>
              </w:rPr>
              <w:t>532.53±32.85</w:t>
            </w:r>
          </w:p>
        </w:tc>
        <w:tc>
          <w:tcPr>
            <w:tcW w:w="930" w:type="pct"/>
            <w:tcBorders>
              <w:top w:val="nil"/>
              <w:left w:val="nil"/>
              <w:bottom w:val="nil"/>
              <w:right w:val="nil"/>
            </w:tcBorders>
            <w:shd w:val="clear" w:color="auto" w:fill="auto"/>
            <w:vAlign w:val="center"/>
          </w:tcPr>
          <w:p w14:paraId="7D0179B5">
            <w:pPr>
              <w:autoSpaceDE w:val="0"/>
              <w:autoSpaceDN w:val="0"/>
              <w:spacing w:line="300" w:lineRule="auto"/>
              <w:jc w:val="center"/>
              <w:rPr>
                <w:rFonts w:eastAsia="Times New Roman"/>
                <w:kern w:val="0"/>
                <w:sz w:val="18"/>
                <w:szCs w:val="18"/>
              </w:rPr>
            </w:pPr>
            <w:r>
              <w:rPr>
                <w:rFonts w:hint="eastAsia" w:eastAsia="Times New Roman"/>
                <w:kern w:val="0"/>
                <w:sz w:val="18"/>
                <w:szCs w:val="18"/>
              </w:rPr>
              <w:t>545.80±39.51</w:t>
            </w:r>
          </w:p>
        </w:tc>
        <w:tc>
          <w:tcPr>
            <w:tcW w:w="930" w:type="pct"/>
            <w:tcBorders>
              <w:top w:val="nil"/>
              <w:left w:val="nil"/>
              <w:bottom w:val="nil"/>
              <w:right w:val="nil"/>
            </w:tcBorders>
            <w:shd w:val="clear" w:color="auto" w:fill="auto"/>
            <w:vAlign w:val="center"/>
          </w:tcPr>
          <w:p w14:paraId="3CA71C99">
            <w:pPr>
              <w:autoSpaceDE w:val="0"/>
              <w:autoSpaceDN w:val="0"/>
              <w:spacing w:line="300" w:lineRule="auto"/>
              <w:jc w:val="center"/>
              <w:rPr>
                <w:rFonts w:eastAsia="Times New Roman"/>
                <w:kern w:val="0"/>
                <w:sz w:val="18"/>
                <w:szCs w:val="18"/>
              </w:rPr>
            </w:pPr>
            <w:r>
              <w:rPr>
                <w:rFonts w:hint="eastAsia" w:eastAsia="Times New Roman"/>
                <w:kern w:val="0"/>
                <w:sz w:val="18"/>
                <w:szCs w:val="18"/>
              </w:rPr>
              <w:t>541.88±38.11</w:t>
            </w:r>
          </w:p>
        </w:tc>
        <w:tc>
          <w:tcPr>
            <w:tcW w:w="930" w:type="pct"/>
            <w:tcBorders>
              <w:top w:val="nil"/>
              <w:left w:val="nil"/>
              <w:bottom w:val="nil"/>
              <w:right w:val="nil"/>
            </w:tcBorders>
            <w:shd w:val="clear" w:color="auto" w:fill="auto"/>
            <w:vAlign w:val="center"/>
          </w:tcPr>
          <w:p w14:paraId="7200FF8F">
            <w:pPr>
              <w:autoSpaceDE w:val="0"/>
              <w:autoSpaceDN w:val="0"/>
              <w:spacing w:line="300" w:lineRule="auto"/>
              <w:jc w:val="center"/>
              <w:rPr>
                <w:rFonts w:eastAsia="Times New Roman"/>
                <w:kern w:val="0"/>
                <w:sz w:val="18"/>
                <w:szCs w:val="18"/>
              </w:rPr>
            </w:pPr>
            <w:r>
              <w:rPr>
                <w:rFonts w:hint="eastAsia" w:eastAsia="Times New Roman"/>
                <w:kern w:val="0"/>
                <w:sz w:val="18"/>
                <w:szCs w:val="18"/>
              </w:rPr>
              <w:t>545.15±33.47</w:t>
            </w:r>
          </w:p>
        </w:tc>
      </w:tr>
      <w:tr w14:paraId="0D5C66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6" w:type="pct"/>
            <w:tcBorders>
              <w:top w:val="nil"/>
              <w:left w:val="nil"/>
              <w:bottom w:val="nil"/>
              <w:right w:val="nil"/>
            </w:tcBorders>
            <w:shd w:val="clear" w:color="auto" w:fill="auto"/>
            <w:vAlign w:val="center"/>
          </w:tcPr>
          <w:p w14:paraId="0E6D6AF6">
            <w:pPr>
              <w:autoSpaceDE w:val="0"/>
              <w:autoSpaceDN w:val="0"/>
              <w:spacing w:line="300" w:lineRule="auto"/>
              <w:jc w:val="center"/>
              <w:rPr>
                <w:rFonts w:eastAsia="Times New Roman"/>
                <w:kern w:val="0"/>
                <w:sz w:val="18"/>
                <w:szCs w:val="18"/>
              </w:rPr>
            </w:pPr>
            <w:r>
              <w:rPr>
                <w:rFonts w:hint="eastAsia" w:eastAsia="Times New Roman"/>
                <w:kern w:val="0"/>
                <w:sz w:val="18"/>
                <w:szCs w:val="18"/>
              </w:rPr>
              <w:t>WS-L</w:t>
            </w:r>
          </w:p>
        </w:tc>
        <w:tc>
          <w:tcPr>
            <w:tcW w:w="930" w:type="pct"/>
            <w:tcBorders>
              <w:top w:val="nil"/>
              <w:left w:val="nil"/>
              <w:bottom w:val="nil"/>
              <w:right w:val="nil"/>
            </w:tcBorders>
            <w:shd w:val="clear" w:color="auto" w:fill="auto"/>
            <w:vAlign w:val="center"/>
          </w:tcPr>
          <w:p w14:paraId="16AD1D8F">
            <w:pPr>
              <w:autoSpaceDE w:val="0"/>
              <w:autoSpaceDN w:val="0"/>
              <w:spacing w:line="300" w:lineRule="auto"/>
              <w:jc w:val="center"/>
              <w:rPr>
                <w:rFonts w:eastAsia="Times New Roman"/>
                <w:kern w:val="0"/>
                <w:sz w:val="18"/>
                <w:szCs w:val="18"/>
              </w:rPr>
            </w:pPr>
            <w:r>
              <w:rPr>
                <w:rFonts w:hint="eastAsia" w:eastAsia="Times New Roman"/>
                <w:kern w:val="0"/>
                <w:sz w:val="18"/>
                <w:szCs w:val="18"/>
              </w:rPr>
              <w:t>527.70±33.96</w:t>
            </w:r>
          </w:p>
        </w:tc>
        <w:tc>
          <w:tcPr>
            <w:tcW w:w="930" w:type="pct"/>
            <w:tcBorders>
              <w:top w:val="nil"/>
              <w:left w:val="nil"/>
              <w:bottom w:val="nil"/>
              <w:right w:val="nil"/>
            </w:tcBorders>
            <w:shd w:val="clear" w:color="auto" w:fill="auto"/>
            <w:vAlign w:val="center"/>
          </w:tcPr>
          <w:p w14:paraId="0A53C7A7">
            <w:pPr>
              <w:autoSpaceDE w:val="0"/>
              <w:autoSpaceDN w:val="0"/>
              <w:spacing w:line="300" w:lineRule="auto"/>
              <w:jc w:val="center"/>
              <w:rPr>
                <w:rFonts w:eastAsia="Times New Roman"/>
                <w:kern w:val="0"/>
                <w:sz w:val="18"/>
                <w:szCs w:val="18"/>
              </w:rPr>
            </w:pPr>
            <w:r>
              <w:rPr>
                <w:rFonts w:hint="eastAsia" w:eastAsia="Times New Roman"/>
                <w:kern w:val="0"/>
                <w:sz w:val="18"/>
                <w:szCs w:val="18"/>
              </w:rPr>
              <w:t>509.78±33.31</w:t>
            </w:r>
          </w:p>
        </w:tc>
        <w:tc>
          <w:tcPr>
            <w:tcW w:w="930" w:type="pct"/>
            <w:tcBorders>
              <w:top w:val="nil"/>
              <w:left w:val="nil"/>
              <w:bottom w:val="nil"/>
              <w:right w:val="nil"/>
            </w:tcBorders>
            <w:shd w:val="clear" w:color="auto" w:fill="auto"/>
            <w:vAlign w:val="center"/>
          </w:tcPr>
          <w:p w14:paraId="4B1EF6D5">
            <w:pPr>
              <w:autoSpaceDE w:val="0"/>
              <w:autoSpaceDN w:val="0"/>
              <w:spacing w:line="300" w:lineRule="auto"/>
              <w:jc w:val="center"/>
              <w:rPr>
                <w:rFonts w:eastAsia="Times New Roman"/>
                <w:kern w:val="0"/>
                <w:sz w:val="18"/>
                <w:szCs w:val="18"/>
              </w:rPr>
            </w:pPr>
            <w:r>
              <w:rPr>
                <w:rFonts w:hint="eastAsia" w:eastAsia="Times New Roman"/>
                <w:kern w:val="0"/>
                <w:sz w:val="18"/>
                <w:szCs w:val="18"/>
              </w:rPr>
              <w:t>529.08±31.06</w:t>
            </w:r>
          </w:p>
        </w:tc>
        <w:tc>
          <w:tcPr>
            <w:tcW w:w="930" w:type="pct"/>
            <w:tcBorders>
              <w:top w:val="nil"/>
              <w:left w:val="nil"/>
              <w:bottom w:val="nil"/>
              <w:right w:val="nil"/>
            </w:tcBorders>
            <w:shd w:val="clear" w:color="auto" w:fill="auto"/>
            <w:vAlign w:val="center"/>
          </w:tcPr>
          <w:p w14:paraId="7DF026D0">
            <w:pPr>
              <w:autoSpaceDE w:val="0"/>
              <w:autoSpaceDN w:val="0"/>
              <w:spacing w:line="300" w:lineRule="auto"/>
              <w:jc w:val="center"/>
              <w:rPr>
                <w:rFonts w:eastAsia="Times New Roman"/>
                <w:kern w:val="0"/>
                <w:sz w:val="18"/>
                <w:szCs w:val="18"/>
              </w:rPr>
            </w:pPr>
            <w:r>
              <w:rPr>
                <w:rFonts w:hint="eastAsia" w:eastAsia="Times New Roman"/>
                <w:kern w:val="0"/>
                <w:sz w:val="18"/>
                <w:szCs w:val="18"/>
              </w:rPr>
              <w:t>519.33±20.10</w:t>
            </w:r>
          </w:p>
        </w:tc>
        <w:tc>
          <w:tcPr>
            <w:tcW w:w="930" w:type="pct"/>
            <w:tcBorders>
              <w:top w:val="nil"/>
              <w:left w:val="nil"/>
              <w:bottom w:val="nil"/>
              <w:right w:val="nil"/>
            </w:tcBorders>
            <w:shd w:val="clear" w:color="auto" w:fill="auto"/>
            <w:vAlign w:val="center"/>
          </w:tcPr>
          <w:p w14:paraId="010DE6D0">
            <w:pPr>
              <w:autoSpaceDE w:val="0"/>
              <w:autoSpaceDN w:val="0"/>
              <w:spacing w:line="300" w:lineRule="auto"/>
              <w:jc w:val="center"/>
              <w:rPr>
                <w:rFonts w:eastAsia="Times New Roman"/>
                <w:kern w:val="0"/>
                <w:sz w:val="18"/>
                <w:szCs w:val="18"/>
              </w:rPr>
            </w:pPr>
            <w:r>
              <w:rPr>
                <w:rFonts w:hint="eastAsia" w:eastAsia="Times New Roman"/>
                <w:kern w:val="0"/>
                <w:sz w:val="18"/>
                <w:szCs w:val="18"/>
              </w:rPr>
              <w:t>516.88±22.88</w:t>
            </w:r>
          </w:p>
        </w:tc>
      </w:tr>
      <w:tr w14:paraId="20FDBD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6" w:type="pct"/>
            <w:tcBorders>
              <w:top w:val="nil"/>
              <w:left w:val="nil"/>
              <w:bottom w:val="nil"/>
              <w:right w:val="nil"/>
            </w:tcBorders>
            <w:shd w:val="clear" w:color="auto" w:fill="auto"/>
            <w:vAlign w:val="center"/>
          </w:tcPr>
          <w:p w14:paraId="2CDE752C">
            <w:pPr>
              <w:autoSpaceDE w:val="0"/>
              <w:autoSpaceDN w:val="0"/>
              <w:spacing w:line="300" w:lineRule="auto"/>
              <w:jc w:val="center"/>
              <w:rPr>
                <w:rFonts w:eastAsia="Times New Roman"/>
                <w:kern w:val="0"/>
                <w:sz w:val="18"/>
                <w:szCs w:val="18"/>
              </w:rPr>
            </w:pPr>
            <w:bookmarkStart w:id="12" w:name="OLE_LINK1"/>
            <w:r>
              <w:rPr>
                <w:rFonts w:hint="eastAsia" w:eastAsia="Times New Roman"/>
                <w:kern w:val="0"/>
                <w:sz w:val="18"/>
                <w:szCs w:val="18"/>
              </w:rPr>
              <w:t>WS-M</w:t>
            </w:r>
            <w:bookmarkEnd w:id="12"/>
          </w:p>
        </w:tc>
        <w:tc>
          <w:tcPr>
            <w:tcW w:w="930" w:type="pct"/>
            <w:tcBorders>
              <w:top w:val="nil"/>
              <w:left w:val="nil"/>
              <w:bottom w:val="nil"/>
              <w:right w:val="nil"/>
            </w:tcBorders>
            <w:shd w:val="clear" w:color="auto" w:fill="auto"/>
            <w:vAlign w:val="center"/>
          </w:tcPr>
          <w:p w14:paraId="6D41D869">
            <w:pPr>
              <w:autoSpaceDE w:val="0"/>
              <w:autoSpaceDN w:val="0"/>
              <w:spacing w:line="300" w:lineRule="auto"/>
              <w:jc w:val="center"/>
              <w:rPr>
                <w:rFonts w:eastAsia="Times New Roman"/>
                <w:kern w:val="0"/>
                <w:sz w:val="18"/>
                <w:szCs w:val="18"/>
              </w:rPr>
            </w:pPr>
            <w:r>
              <w:rPr>
                <w:rFonts w:hint="eastAsia" w:eastAsia="Times New Roman"/>
                <w:kern w:val="0"/>
                <w:sz w:val="18"/>
                <w:szCs w:val="18"/>
              </w:rPr>
              <w:t>512.60±28.90</w:t>
            </w:r>
          </w:p>
        </w:tc>
        <w:tc>
          <w:tcPr>
            <w:tcW w:w="930" w:type="pct"/>
            <w:tcBorders>
              <w:top w:val="nil"/>
              <w:left w:val="nil"/>
              <w:bottom w:val="nil"/>
              <w:right w:val="nil"/>
            </w:tcBorders>
            <w:shd w:val="clear" w:color="auto" w:fill="auto"/>
            <w:vAlign w:val="center"/>
          </w:tcPr>
          <w:p w14:paraId="121817EA">
            <w:pPr>
              <w:autoSpaceDE w:val="0"/>
              <w:autoSpaceDN w:val="0"/>
              <w:spacing w:line="300" w:lineRule="auto"/>
              <w:jc w:val="center"/>
              <w:rPr>
                <w:rFonts w:eastAsia="Times New Roman"/>
                <w:kern w:val="0"/>
                <w:sz w:val="18"/>
                <w:szCs w:val="18"/>
              </w:rPr>
            </w:pPr>
            <w:r>
              <w:rPr>
                <w:rFonts w:hint="eastAsia" w:eastAsia="Times New Roman"/>
                <w:kern w:val="0"/>
                <w:sz w:val="18"/>
                <w:szCs w:val="18"/>
              </w:rPr>
              <w:t>502.73±26.58</w:t>
            </w:r>
          </w:p>
        </w:tc>
        <w:tc>
          <w:tcPr>
            <w:tcW w:w="930" w:type="pct"/>
            <w:tcBorders>
              <w:top w:val="nil"/>
              <w:left w:val="nil"/>
              <w:bottom w:val="nil"/>
              <w:right w:val="nil"/>
            </w:tcBorders>
            <w:shd w:val="clear" w:color="auto" w:fill="auto"/>
            <w:vAlign w:val="center"/>
          </w:tcPr>
          <w:p w14:paraId="415A2D1F">
            <w:pPr>
              <w:autoSpaceDE w:val="0"/>
              <w:autoSpaceDN w:val="0"/>
              <w:spacing w:line="300" w:lineRule="auto"/>
              <w:jc w:val="center"/>
              <w:rPr>
                <w:rFonts w:eastAsia="Times New Roman"/>
                <w:kern w:val="0"/>
                <w:sz w:val="18"/>
                <w:szCs w:val="18"/>
              </w:rPr>
            </w:pPr>
            <w:r>
              <w:rPr>
                <w:rFonts w:hint="eastAsia" w:eastAsia="Times New Roman"/>
                <w:kern w:val="0"/>
                <w:sz w:val="18"/>
                <w:szCs w:val="18"/>
              </w:rPr>
              <w:t>513.43±31.58</w:t>
            </w:r>
          </w:p>
        </w:tc>
        <w:tc>
          <w:tcPr>
            <w:tcW w:w="930" w:type="pct"/>
            <w:tcBorders>
              <w:top w:val="nil"/>
              <w:left w:val="nil"/>
              <w:bottom w:val="nil"/>
              <w:right w:val="nil"/>
            </w:tcBorders>
            <w:shd w:val="clear" w:color="auto" w:fill="auto"/>
            <w:vAlign w:val="center"/>
          </w:tcPr>
          <w:p w14:paraId="3B81D22F">
            <w:pPr>
              <w:autoSpaceDE w:val="0"/>
              <w:autoSpaceDN w:val="0"/>
              <w:spacing w:line="300" w:lineRule="auto"/>
              <w:jc w:val="center"/>
              <w:rPr>
                <w:rFonts w:eastAsia="Times New Roman"/>
                <w:kern w:val="0"/>
                <w:sz w:val="18"/>
                <w:szCs w:val="18"/>
              </w:rPr>
            </w:pPr>
            <w:r>
              <w:rPr>
                <w:rFonts w:hint="eastAsia" w:eastAsia="Times New Roman"/>
                <w:kern w:val="0"/>
                <w:sz w:val="18"/>
                <w:szCs w:val="18"/>
              </w:rPr>
              <w:t>505.60±37.18</w:t>
            </w:r>
          </w:p>
        </w:tc>
        <w:tc>
          <w:tcPr>
            <w:tcW w:w="930" w:type="pct"/>
            <w:tcBorders>
              <w:top w:val="nil"/>
              <w:left w:val="nil"/>
              <w:bottom w:val="nil"/>
              <w:right w:val="nil"/>
            </w:tcBorders>
            <w:shd w:val="clear" w:color="auto" w:fill="auto"/>
            <w:vAlign w:val="center"/>
          </w:tcPr>
          <w:p w14:paraId="7E691955">
            <w:pPr>
              <w:autoSpaceDE w:val="0"/>
              <w:autoSpaceDN w:val="0"/>
              <w:spacing w:line="300" w:lineRule="auto"/>
              <w:jc w:val="center"/>
              <w:rPr>
                <w:rFonts w:eastAsia="Times New Roman"/>
                <w:kern w:val="0"/>
                <w:sz w:val="18"/>
                <w:szCs w:val="18"/>
              </w:rPr>
            </w:pPr>
            <w:r>
              <w:rPr>
                <w:rFonts w:hint="eastAsia" w:eastAsia="Times New Roman"/>
                <w:kern w:val="0"/>
                <w:sz w:val="18"/>
                <w:szCs w:val="18"/>
              </w:rPr>
              <w:t>504.35±36.50</w:t>
            </w:r>
          </w:p>
        </w:tc>
      </w:tr>
      <w:tr w14:paraId="60C7B0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6" w:type="pct"/>
            <w:tcBorders>
              <w:top w:val="nil"/>
              <w:left w:val="nil"/>
              <w:bottom w:val="single" w:color="auto" w:sz="12" w:space="0"/>
              <w:right w:val="nil"/>
            </w:tcBorders>
            <w:shd w:val="clear" w:color="auto" w:fill="auto"/>
            <w:vAlign w:val="center"/>
          </w:tcPr>
          <w:p w14:paraId="416C043D">
            <w:pPr>
              <w:autoSpaceDE w:val="0"/>
              <w:autoSpaceDN w:val="0"/>
              <w:spacing w:line="300" w:lineRule="auto"/>
              <w:jc w:val="center"/>
              <w:rPr>
                <w:rFonts w:eastAsia="Times New Roman"/>
                <w:kern w:val="0"/>
                <w:sz w:val="18"/>
                <w:szCs w:val="18"/>
              </w:rPr>
            </w:pPr>
            <w:r>
              <w:rPr>
                <w:rFonts w:hint="eastAsia" w:eastAsia="Times New Roman"/>
                <w:kern w:val="0"/>
                <w:sz w:val="18"/>
                <w:szCs w:val="18"/>
              </w:rPr>
              <w:t>WS-H</w:t>
            </w:r>
          </w:p>
        </w:tc>
        <w:tc>
          <w:tcPr>
            <w:tcW w:w="930" w:type="pct"/>
            <w:tcBorders>
              <w:top w:val="nil"/>
              <w:left w:val="nil"/>
              <w:bottom w:val="single" w:color="auto" w:sz="12" w:space="0"/>
              <w:right w:val="nil"/>
            </w:tcBorders>
            <w:shd w:val="clear" w:color="auto" w:fill="auto"/>
            <w:vAlign w:val="center"/>
          </w:tcPr>
          <w:p w14:paraId="67EB7B83">
            <w:pPr>
              <w:autoSpaceDE w:val="0"/>
              <w:autoSpaceDN w:val="0"/>
              <w:spacing w:line="300" w:lineRule="auto"/>
              <w:jc w:val="center"/>
              <w:rPr>
                <w:rFonts w:eastAsia="Times New Roman"/>
                <w:kern w:val="0"/>
                <w:sz w:val="18"/>
                <w:szCs w:val="18"/>
              </w:rPr>
            </w:pPr>
            <w:r>
              <w:rPr>
                <w:rFonts w:hint="eastAsia" w:eastAsia="Times New Roman"/>
                <w:kern w:val="0"/>
                <w:sz w:val="18"/>
                <w:szCs w:val="18"/>
              </w:rPr>
              <w:t>514.60±36.00</w:t>
            </w:r>
          </w:p>
        </w:tc>
        <w:tc>
          <w:tcPr>
            <w:tcW w:w="930" w:type="pct"/>
            <w:tcBorders>
              <w:top w:val="nil"/>
              <w:left w:val="nil"/>
              <w:bottom w:val="single" w:color="auto" w:sz="12" w:space="0"/>
              <w:right w:val="nil"/>
            </w:tcBorders>
            <w:shd w:val="clear" w:color="auto" w:fill="auto"/>
            <w:vAlign w:val="center"/>
          </w:tcPr>
          <w:p w14:paraId="4FEE4B3F">
            <w:pPr>
              <w:autoSpaceDE w:val="0"/>
              <w:autoSpaceDN w:val="0"/>
              <w:spacing w:line="300" w:lineRule="auto"/>
              <w:jc w:val="center"/>
              <w:rPr>
                <w:rFonts w:eastAsia="Times New Roman"/>
                <w:kern w:val="0"/>
                <w:sz w:val="18"/>
                <w:szCs w:val="18"/>
              </w:rPr>
            </w:pPr>
            <w:r>
              <w:rPr>
                <w:rFonts w:hint="eastAsia" w:eastAsia="Times New Roman"/>
                <w:kern w:val="0"/>
                <w:sz w:val="18"/>
                <w:szCs w:val="18"/>
              </w:rPr>
              <w:t>499.65±57.56</w:t>
            </w:r>
          </w:p>
        </w:tc>
        <w:tc>
          <w:tcPr>
            <w:tcW w:w="930" w:type="pct"/>
            <w:tcBorders>
              <w:top w:val="nil"/>
              <w:left w:val="nil"/>
              <w:bottom w:val="single" w:color="auto" w:sz="12" w:space="0"/>
              <w:right w:val="nil"/>
            </w:tcBorders>
            <w:shd w:val="clear" w:color="auto" w:fill="auto"/>
            <w:vAlign w:val="center"/>
          </w:tcPr>
          <w:p w14:paraId="03C996FE">
            <w:pPr>
              <w:autoSpaceDE w:val="0"/>
              <w:autoSpaceDN w:val="0"/>
              <w:spacing w:line="300" w:lineRule="auto"/>
              <w:jc w:val="center"/>
              <w:rPr>
                <w:rFonts w:eastAsia="Times New Roman"/>
                <w:kern w:val="0"/>
                <w:sz w:val="18"/>
                <w:szCs w:val="18"/>
              </w:rPr>
            </w:pPr>
            <w:r>
              <w:rPr>
                <w:rFonts w:hint="eastAsia" w:eastAsia="Times New Roman"/>
                <w:kern w:val="0"/>
                <w:sz w:val="18"/>
                <w:szCs w:val="18"/>
              </w:rPr>
              <w:t>489.30±28.57*</w:t>
            </w:r>
          </w:p>
        </w:tc>
        <w:tc>
          <w:tcPr>
            <w:tcW w:w="930" w:type="pct"/>
            <w:tcBorders>
              <w:top w:val="nil"/>
              <w:left w:val="nil"/>
              <w:bottom w:val="single" w:color="auto" w:sz="12" w:space="0"/>
              <w:right w:val="nil"/>
            </w:tcBorders>
            <w:shd w:val="clear" w:color="auto" w:fill="auto"/>
            <w:vAlign w:val="center"/>
          </w:tcPr>
          <w:p w14:paraId="67B23F59">
            <w:pPr>
              <w:autoSpaceDE w:val="0"/>
              <w:autoSpaceDN w:val="0"/>
              <w:spacing w:line="300" w:lineRule="auto"/>
              <w:jc w:val="center"/>
              <w:rPr>
                <w:rFonts w:eastAsia="Times New Roman"/>
                <w:kern w:val="0"/>
                <w:sz w:val="18"/>
                <w:szCs w:val="18"/>
              </w:rPr>
            </w:pPr>
            <w:r>
              <w:rPr>
                <w:rFonts w:hint="eastAsia" w:eastAsia="Times New Roman"/>
                <w:kern w:val="0"/>
                <w:sz w:val="18"/>
                <w:szCs w:val="18"/>
              </w:rPr>
              <w:t>482.28±43.32*</w:t>
            </w:r>
          </w:p>
        </w:tc>
        <w:tc>
          <w:tcPr>
            <w:tcW w:w="930" w:type="pct"/>
            <w:tcBorders>
              <w:top w:val="nil"/>
              <w:left w:val="nil"/>
              <w:bottom w:val="single" w:color="auto" w:sz="12" w:space="0"/>
              <w:right w:val="nil"/>
            </w:tcBorders>
            <w:shd w:val="clear" w:color="auto" w:fill="auto"/>
            <w:vAlign w:val="center"/>
          </w:tcPr>
          <w:p w14:paraId="3C353890">
            <w:pPr>
              <w:autoSpaceDE w:val="0"/>
              <w:autoSpaceDN w:val="0"/>
              <w:spacing w:line="300" w:lineRule="auto"/>
              <w:jc w:val="center"/>
              <w:rPr>
                <w:rFonts w:eastAsia="Times New Roman"/>
                <w:kern w:val="0"/>
                <w:sz w:val="18"/>
                <w:szCs w:val="18"/>
              </w:rPr>
            </w:pPr>
            <w:r>
              <w:rPr>
                <w:rFonts w:hint="eastAsia" w:eastAsia="Times New Roman"/>
                <w:kern w:val="0"/>
                <w:sz w:val="18"/>
                <w:szCs w:val="18"/>
              </w:rPr>
              <w:t>488.75±39.40*</w:t>
            </w:r>
          </w:p>
        </w:tc>
      </w:tr>
    </w:tbl>
    <w:p w14:paraId="67BC7DDC">
      <w:pPr>
        <w:spacing w:line="300" w:lineRule="auto"/>
        <w:rPr>
          <w:sz w:val="18"/>
          <w:szCs w:val="18"/>
        </w:rPr>
      </w:pPr>
      <w:r>
        <w:rPr>
          <w:rFonts w:hint="eastAsia"/>
          <w:b/>
          <w:bCs/>
          <w:sz w:val="18"/>
          <w:szCs w:val="18"/>
        </w:rPr>
        <w:t>Note:</w:t>
      </w:r>
      <w:r>
        <w:rPr>
          <w:rFonts w:hint="eastAsia"/>
          <w:sz w:val="18"/>
          <w:szCs w:val="18"/>
        </w:rPr>
        <w:t xml:space="preserve"> </w:t>
      </w:r>
      <w:r>
        <w:rPr>
          <w:rFonts w:hint="eastAsia"/>
          <w:b/>
          <w:bCs/>
          <w:sz w:val="18"/>
          <w:szCs w:val="18"/>
          <w:lang w:bidi="ar"/>
        </w:rPr>
        <w:t>NC:</w:t>
      </w:r>
      <w:r>
        <w:rPr>
          <w:rFonts w:hint="eastAsia"/>
          <w:sz w:val="18"/>
          <w:szCs w:val="18"/>
          <w:lang w:bidi="ar"/>
        </w:rPr>
        <w:t xml:space="preserve"> Normal control group; </w:t>
      </w:r>
      <w:r>
        <w:rPr>
          <w:rFonts w:hint="eastAsia"/>
          <w:b/>
          <w:bCs/>
          <w:sz w:val="18"/>
          <w:szCs w:val="18"/>
          <w:lang w:bidi="ar"/>
        </w:rPr>
        <w:t>MC:</w:t>
      </w:r>
      <w:r>
        <w:rPr>
          <w:rFonts w:hint="eastAsia"/>
          <w:sz w:val="18"/>
          <w:szCs w:val="18"/>
          <w:lang w:bidi="ar"/>
        </w:rPr>
        <w:t xml:space="preserve"> Normal control group; </w:t>
      </w:r>
      <w:r>
        <w:rPr>
          <w:b/>
          <w:bCs/>
          <w:sz w:val="18"/>
          <w:szCs w:val="18"/>
        </w:rPr>
        <w:t>W</w:t>
      </w:r>
      <w:r>
        <w:rPr>
          <w:rFonts w:hint="eastAsia"/>
          <w:b/>
          <w:bCs/>
          <w:sz w:val="18"/>
          <w:szCs w:val="18"/>
        </w:rPr>
        <w:t>S</w:t>
      </w:r>
      <w:r>
        <w:rPr>
          <w:sz w:val="18"/>
          <w:szCs w:val="18"/>
        </w:rPr>
        <w:t>-</w:t>
      </w:r>
      <w:r>
        <w:rPr>
          <w:b/>
          <w:bCs/>
          <w:sz w:val="18"/>
          <w:szCs w:val="18"/>
        </w:rPr>
        <w:t>L:</w:t>
      </w:r>
      <w:r>
        <w:rPr>
          <w:sz w:val="18"/>
          <w:szCs w:val="18"/>
        </w:rPr>
        <w:t xml:space="preserve"> Low dosage (</w:t>
      </w:r>
      <w:r>
        <w:rPr>
          <w:rFonts w:hint="eastAsia"/>
          <w:sz w:val="18"/>
          <w:szCs w:val="18"/>
        </w:rPr>
        <w:t>3.56</w:t>
      </w:r>
      <w:r>
        <w:rPr>
          <w:sz w:val="18"/>
          <w:szCs w:val="18"/>
        </w:rPr>
        <w:t xml:space="preserve"> g/</w:t>
      </w:r>
      <w:r>
        <w:rPr>
          <w:rFonts w:hint="eastAsia"/>
          <w:sz w:val="18"/>
          <w:szCs w:val="18"/>
        </w:rPr>
        <w:t>kg</w:t>
      </w:r>
      <w:r>
        <w:rPr>
          <w:sz w:val="18"/>
          <w:szCs w:val="18"/>
        </w:rPr>
        <w:t xml:space="preserve">); </w:t>
      </w:r>
      <w:r>
        <w:rPr>
          <w:b/>
          <w:bCs/>
          <w:sz w:val="18"/>
          <w:szCs w:val="18"/>
        </w:rPr>
        <w:t>W</w:t>
      </w:r>
      <w:r>
        <w:rPr>
          <w:rFonts w:hint="eastAsia"/>
          <w:b/>
          <w:bCs/>
          <w:sz w:val="18"/>
          <w:szCs w:val="18"/>
        </w:rPr>
        <w:t>S</w:t>
      </w:r>
      <w:r>
        <w:rPr>
          <w:sz w:val="18"/>
          <w:szCs w:val="18"/>
        </w:rPr>
        <w:t>-</w:t>
      </w:r>
      <w:r>
        <w:rPr>
          <w:b/>
          <w:bCs/>
          <w:sz w:val="18"/>
          <w:szCs w:val="18"/>
        </w:rPr>
        <w:t>M</w:t>
      </w:r>
      <w:r>
        <w:rPr>
          <w:sz w:val="18"/>
          <w:szCs w:val="18"/>
        </w:rPr>
        <w:t>: Mid dosage (</w:t>
      </w:r>
      <w:r>
        <w:rPr>
          <w:rFonts w:hint="eastAsia"/>
          <w:sz w:val="18"/>
          <w:szCs w:val="18"/>
        </w:rPr>
        <w:t>7.13</w:t>
      </w:r>
      <w:r>
        <w:rPr>
          <w:sz w:val="18"/>
          <w:szCs w:val="18"/>
        </w:rPr>
        <w:t xml:space="preserve"> g/</w:t>
      </w:r>
      <w:r>
        <w:rPr>
          <w:rFonts w:hint="eastAsia"/>
          <w:sz w:val="18"/>
          <w:szCs w:val="18"/>
        </w:rPr>
        <w:t>kg</w:t>
      </w:r>
      <w:r>
        <w:rPr>
          <w:sz w:val="18"/>
          <w:szCs w:val="18"/>
        </w:rPr>
        <w:t xml:space="preserve">); </w:t>
      </w:r>
      <w:r>
        <w:rPr>
          <w:b/>
          <w:bCs/>
          <w:sz w:val="18"/>
          <w:szCs w:val="18"/>
        </w:rPr>
        <w:t>W</w:t>
      </w:r>
      <w:r>
        <w:rPr>
          <w:rFonts w:hint="eastAsia"/>
          <w:b/>
          <w:bCs/>
          <w:sz w:val="18"/>
          <w:szCs w:val="18"/>
        </w:rPr>
        <w:t>S</w:t>
      </w:r>
      <w:r>
        <w:rPr>
          <w:b/>
          <w:bCs/>
          <w:sz w:val="18"/>
          <w:szCs w:val="18"/>
        </w:rPr>
        <w:t>-H</w:t>
      </w:r>
      <w:r>
        <w:rPr>
          <w:sz w:val="18"/>
          <w:szCs w:val="18"/>
        </w:rPr>
        <w:t>: High dosage (</w:t>
      </w:r>
      <w:r>
        <w:rPr>
          <w:rFonts w:hint="eastAsia"/>
          <w:sz w:val="18"/>
          <w:szCs w:val="18"/>
        </w:rPr>
        <w:t>14.26</w:t>
      </w:r>
      <w:r>
        <w:rPr>
          <w:sz w:val="18"/>
          <w:szCs w:val="18"/>
        </w:rPr>
        <w:t xml:space="preserve"> g/</w:t>
      </w:r>
      <w:r>
        <w:rPr>
          <w:rFonts w:hint="eastAsia"/>
          <w:sz w:val="18"/>
          <w:szCs w:val="18"/>
        </w:rPr>
        <w:t>kg</w:t>
      </w:r>
      <w:r>
        <w:rPr>
          <w:sz w:val="18"/>
          <w:szCs w:val="18"/>
        </w:rPr>
        <w:t>). All</w:t>
      </w:r>
      <w:r>
        <w:rPr>
          <w:rFonts w:hint="eastAsia"/>
          <w:sz w:val="18"/>
          <w:szCs w:val="18"/>
        </w:rPr>
        <w:t xml:space="preserve"> </w:t>
      </w:r>
      <w:r>
        <w:rPr>
          <w:rFonts w:hint="eastAsia"/>
          <w:snapToGrid w:val="0"/>
          <w:sz w:val="18"/>
          <w:szCs w:val="18"/>
          <w:lang w:bidi="ar"/>
        </w:rPr>
        <w:t>of</w:t>
      </w:r>
      <w:r>
        <w:rPr>
          <w:snapToGrid w:val="0"/>
          <w:sz w:val="18"/>
          <w:szCs w:val="18"/>
          <w:lang w:bidi="ar"/>
        </w:rPr>
        <w:t xml:space="preserve"> values were presented as mean ± SD with significance markers of </w:t>
      </w:r>
      <w:r>
        <w:rPr>
          <w:snapToGrid w:val="0"/>
          <w:sz w:val="18"/>
          <w:szCs w:val="18"/>
          <w:vertAlign w:val="superscript"/>
          <w:lang w:bidi="ar"/>
        </w:rPr>
        <w:t>*</w:t>
      </w:r>
      <w:r>
        <w:rPr>
          <w:i/>
          <w:iCs/>
          <w:snapToGrid w:val="0"/>
          <w:sz w:val="18"/>
          <w:szCs w:val="18"/>
          <w:lang w:bidi="ar"/>
        </w:rPr>
        <w:t>P</w:t>
      </w:r>
      <w:r>
        <w:rPr>
          <w:snapToGrid w:val="0"/>
          <w:sz w:val="18"/>
          <w:szCs w:val="18"/>
          <w:lang w:bidi="ar"/>
        </w:rPr>
        <w:t xml:space="preserve"> &lt; 0.05 and </w:t>
      </w:r>
      <w:r>
        <w:rPr>
          <w:snapToGrid w:val="0"/>
          <w:sz w:val="18"/>
          <w:szCs w:val="18"/>
          <w:vertAlign w:val="superscript"/>
          <w:lang w:bidi="ar"/>
        </w:rPr>
        <w:t>**</w:t>
      </w:r>
      <w:r>
        <w:rPr>
          <w:i/>
          <w:iCs/>
          <w:snapToGrid w:val="0"/>
          <w:sz w:val="18"/>
          <w:szCs w:val="18"/>
          <w:lang w:bidi="ar"/>
        </w:rPr>
        <w:t>P</w:t>
      </w:r>
      <w:r>
        <w:rPr>
          <w:snapToGrid w:val="0"/>
          <w:sz w:val="18"/>
          <w:szCs w:val="18"/>
          <w:lang w:bidi="ar"/>
        </w:rPr>
        <w:t xml:space="preserve"> &lt; 0.01</w:t>
      </w:r>
      <w:r>
        <w:rPr>
          <w:sz w:val="18"/>
          <w:szCs w:val="18"/>
        </w:rPr>
        <w:t xml:space="preserve"> vs MC group. (n=</w:t>
      </w:r>
      <w:r>
        <w:rPr>
          <w:rFonts w:hint="eastAsia"/>
          <w:sz w:val="18"/>
          <w:szCs w:val="18"/>
        </w:rPr>
        <w:t>4</w:t>
      </w:r>
      <w:r>
        <w:rPr>
          <w:sz w:val="18"/>
          <w:szCs w:val="18"/>
        </w:rPr>
        <w:t>)</w:t>
      </w:r>
    </w:p>
    <w:p w14:paraId="453550A4">
      <w:pPr>
        <w:spacing w:line="300" w:lineRule="auto"/>
        <w:rPr>
          <w:sz w:val="18"/>
          <w:szCs w:val="18"/>
        </w:rPr>
      </w:pPr>
      <w:r>
        <w:rPr>
          <w:sz w:val="18"/>
          <w:szCs w:val="18"/>
        </w:rPr>
        <w:drawing>
          <wp:inline distT="0" distB="0" distL="114300" distR="114300">
            <wp:extent cx="5254625" cy="2580005"/>
            <wp:effectExtent l="0" t="0" r="3175" b="10795"/>
            <wp:docPr id="3" name="图片 3" descr="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组图"/>
                    <pic:cNvPicPr>
                      <a:picLocks noChangeAspect="1"/>
                    </pic:cNvPicPr>
                  </pic:nvPicPr>
                  <pic:blipFill>
                    <a:blip r:embed="rId4"/>
                    <a:stretch>
                      <a:fillRect/>
                    </a:stretch>
                  </pic:blipFill>
                  <pic:spPr>
                    <a:xfrm>
                      <a:off x="0" y="0"/>
                      <a:ext cx="5254625" cy="2580005"/>
                    </a:xfrm>
                    <a:prstGeom prst="rect">
                      <a:avLst/>
                    </a:prstGeom>
                  </pic:spPr>
                </pic:pic>
              </a:graphicData>
            </a:graphic>
          </wp:inline>
        </w:drawing>
      </w:r>
    </w:p>
    <w:p w14:paraId="296376C0">
      <w:pPr>
        <w:spacing w:line="300" w:lineRule="auto"/>
        <w:ind w:firstLine="361" w:firstLineChars="200"/>
        <w:rPr>
          <w:sz w:val="18"/>
          <w:szCs w:val="18"/>
        </w:rPr>
      </w:pPr>
      <w:r>
        <w:rPr>
          <w:b/>
          <w:bCs/>
          <w:sz w:val="18"/>
          <w:szCs w:val="18"/>
          <w:lang w:bidi="ar"/>
        </w:rPr>
        <w:t>Fig.</w:t>
      </w:r>
      <w:r>
        <w:rPr>
          <w:rFonts w:hint="eastAsia"/>
          <w:b/>
          <w:bCs/>
          <w:sz w:val="18"/>
          <w:szCs w:val="18"/>
          <w:lang w:bidi="ar"/>
        </w:rPr>
        <w:t xml:space="preserve">S1 Body weight and serum biochemistry change of </w:t>
      </w:r>
      <w:r>
        <w:rPr>
          <w:b/>
          <w:bCs/>
          <w:kern w:val="0"/>
          <w:sz w:val="18"/>
          <w:szCs w:val="18"/>
          <w:lang w:bidi="ar"/>
        </w:rPr>
        <w:t>rats with glucose and lipid metabolic disorders</w:t>
      </w:r>
      <w:r>
        <w:rPr>
          <w:rFonts w:hint="eastAsia"/>
          <w:sz w:val="18"/>
          <w:szCs w:val="18"/>
        </w:rPr>
        <w:t xml:space="preserve">. </w:t>
      </w:r>
      <w:r>
        <w:rPr>
          <w:sz w:val="18"/>
          <w:szCs w:val="18"/>
          <w:lang w:bidi="ar"/>
        </w:rPr>
        <w:t>(</w:t>
      </w:r>
      <w:r>
        <w:rPr>
          <w:b/>
          <w:bCs/>
          <w:sz w:val="18"/>
          <w:szCs w:val="18"/>
          <w:lang w:bidi="ar"/>
        </w:rPr>
        <w:t>A</w:t>
      </w:r>
      <w:r>
        <w:rPr>
          <w:sz w:val="18"/>
          <w:szCs w:val="18"/>
          <w:lang w:bidi="ar"/>
        </w:rPr>
        <w:t>) Body weight. (</w:t>
      </w:r>
      <w:r>
        <w:rPr>
          <w:b/>
          <w:bCs/>
          <w:sz w:val="18"/>
          <w:szCs w:val="18"/>
          <w:lang w:bidi="ar"/>
        </w:rPr>
        <w:t>B</w:t>
      </w:r>
      <w:r>
        <w:rPr>
          <w:sz w:val="18"/>
          <w:szCs w:val="18"/>
          <w:lang w:bidi="ar"/>
        </w:rPr>
        <w:t xml:space="preserve">) </w:t>
      </w:r>
      <w:r>
        <w:rPr>
          <w:rFonts w:hint="eastAsia"/>
          <w:sz w:val="18"/>
          <w:szCs w:val="18"/>
          <w:lang w:bidi="ar"/>
        </w:rPr>
        <w:t>GLU level</w:t>
      </w:r>
      <w:r>
        <w:rPr>
          <w:sz w:val="18"/>
          <w:szCs w:val="18"/>
          <w:lang w:bidi="ar"/>
        </w:rPr>
        <w:t>. (</w:t>
      </w:r>
      <w:r>
        <w:rPr>
          <w:b/>
          <w:bCs/>
          <w:sz w:val="18"/>
          <w:szCs w:val="18"/>
          <w:lang w:bidi="ar"/>
        </w:rPr>
        <w:t>C</w:t>
      </w:r>
      <w:r>
        <w:rPr>
          <w:sz w:val="18"/>
          <w:szCs w:val="18"/>
          <w:lang w:bidi="ar"/>
        </w:rPr>
        <w:t xml:space="preserve">) </w:t>
      </w:r>
      <w:r>
        <w:rPr>
          <w:rFonts w:hint="eastAsia"/>
          <w:sz w:val="18"/>
          <w:szCs w:val="18"/>
          <w:lang w:bidi="ar"/>
        </w:rPr>
        <w:t>TC level</w:t>
      </w:r>
      <w:r>
        <w:rPr>
          <w:sz w:val="18"/>
          <w:szCs w:val="18"/>
          <w:lang w:bidi="ar"/>
        </w:rPr>
        <w:t>. (</w:t>
      </w:r>
      <w:r>
        <w:rPr>
          <w:b/>
          <w:bCs/>
          <w:sz w:val="18"/>
          <w:szCs w:val="18"/>
          <w:lang w:bidi="ar"/>
        </w:rPr>
        <w:t>D</w:t>
      </w:r>
      <w:r>
        <w:rPr>
          <w:sz w:val="18"/>
          <w:szCs w:val="18"/>
          <w:lang w:bidi="ar"/>
        </w:rPr>
        <w:t xml:space="preserve">) </w:t>
      </w:r>
      <w:r>
        <w:rPr>
          <w:rFonts w:hint="eastAsia"/>
          <w:sz w:val="18"/>
          <w:szCs w:val="18"/>
          <w:lang w:bidi="ar"/>
        </w:rPr>
        <w:t>TG level</w:t>
      </w:r>
      <w:r>
        <w:rPr>
          <w:sz w:val="18"/>
          <w:szCs w:val="18"/>
          <w:lang w:bidi="ar"/>
        </w:rPr>
        <w:t>. (</w:t>
      </w:r>
      <w:r>
        <w:rPr>
          <w:b/>
          <w:bCs/>
          <w:sz w:val="18"/>
          <w:szCs w:val="18"/>
          <w:lang w:bidi="ar"/>
        </w:rPr>
        <w:t>E</w:t>
      </w:r>
      <w:r>
        <w:rPr>
          <w:sz w:val="18"/>
          <w:szCs w:val="18"/>
          <w:lang w:bidi="ar"/>
        </w:rPr>
        <w:t xml:space="preserve">) </w:t>
      </w:r>
      <w:r>
        <w:rPr>
          <w:rFonts w:hint="eastAsia"/>
          <w:sz w:val="18"/>
          <w:szCs w:val="18"/>
          <w:lang w:bidi="ar"/>
        </w:rPr>
        <w:t>HDL-c level</w:t>
      </w:r>
      <w:r>
        <w:rPr>
          <w:sz w:val="18"/>
          <w:szCs w:val="18"/>
          <w:lang w:bidi="ar"/>
        </w:rPr>
        <w:t>. (</w:t>
      </w:r>
      <w:r>
        <w:rPr>
          <w:b/>
          <w:bCs/>
          <w:sz w:val="18"/>
          <w:szCs w:val="18"/>
          <w:lang w:bidi="ar"/>
        </w:rPr>
        <w:t>F</w:t>
      </w:r>
      <w:r>
        <w:rPr>
          <w:sz w:val="18"/>
          <w:szCs w:val="18"/>
          <w:lang w:bidi="ar"/>
        </w:rPr>
        <w:t xml:space="preserve">) </w:t>
      </w:r>
      <w:r>
        <w:rPr>
          <w:rFonts w:hint="eastAsia"/>
          <w:sz w:val="18"/>
          <w:szCs w:val="18"/>
          <w:lang w:bidi="ar"/>
        </w:rPr>
        <w:t>LDL-c level</w:t>
      </w:r>
      <w:r>
        <w:rPr>
          <w:sz w:val="18"/>
          <w:szCs w:val="18"/>
          <w:lang w:bidi="ar"/>
        </w:rPr>
        <w:t>.</w:t>
      </w:r>
      <w:r>
        <w:rPr>
          <w:rFonts w:hint="eastAsia"/>
          <w:sz w:val="18"/>
          <w:szCs w:val="18"/>
          <w:lang w:bidi="ar"/>
        </w:rPr>
        <w:t xml:space="preserve"> </w:t>
      </w:r>
      <w:r>
        <w:rPr>
          <w:rFonts w:hint="eastAsia"/>
          <w:b/>
          <w:bCs/>
          <w:sz w:val="18"/>
          <w:szCs w:val="18"/>
          <w:lang w:bidi="ar"/>
        </w:rPr>
        <w:t>NC:</w:t>
      </w:r>
      <w:r>
        <w:rPr>
          <w:rFonts w:hint="eastAsia"/>
          <w:sz w:val="18"/>
          <w:szCs w:val="18"/>
          <w:lang w:bidi="ar"/>
        </w:rPr>
        <w:t xml:space="preserve"> Normal control group; </w:t>
      </w:r>
      <w:r>
        <w:rPr>
          <w:rFonts w:hint="eastAsia"/>
          <w:b/>
          <w:bCs/>
          <w:sz w:val="18"/>
          <w:szCs w:val="18"/>
          <w:lang w:bidi="ar"/>
        </w:rPr>
        <w:t>MC:</w:t>
      </w:r>
      <w:r>
        <w:rPr>
          <w:rFonts w:hint="eastAsia"/>
          <w:sz w:val="18"/>
          <w:szCs w:val="18"/>
          <w:lang w:bidi="ar"/>
        </w:rPr>
        <w:t xml:space="preserve"> Normal control group; </w:t>
      </w:r>
      <w:r>
        <w:rPr>
          <w:b/>
          <w:bCs/>
          <w:sz w:val="18"/>
          <w:szCs w:val="18"/>
        </w:rPr>
        <w:t>L:</w:t>
      </w:r>
      <w:r>
        <w:rPr>
          <w:sz w:val="18"/>
          <w:szCs w:val="18"/>
        </w:rPr>
        <w:t xml:space="preserve"> Low dosage (</w:t>
      </w:r>
      <w:r>
        <w:rPr>
          <w:rFonts w:hint="eastAsia"/>
          <w:sz w:val="18"/>
          <w:szCs w:val="18"/>
        </w:rPr>
        <w:t>3.56</w:t>
      </w:r>
      <w:r>
        <w:rPr>
          <w:sz w:val="18"/>
          <w:szCs w:val="18"/>
        </w:rPr>
        <w:t xml:space="preserve"> g/</w:t>
      </w:r>
      <w:r>
        <w:rPr>
          <w:rFonts w:hint="eastAsia"/>
          <w:sz w:val="18"/>
          <w:szCs w:val="18"/>
        </w:rPr>
        <w:t>kg</w:t>
      </w:r>
      <w:r>
        <w:rPr>
          <w:sz w:val="18"/>
          <w:szCs w:val="18"/>
        </w:rPr>
        <w:t>)</w:t>
      </w:r>
      <w:r>
        <w:rPr>
          <w:rFonts w:hint="eastAsia"/>
          <w:sz w:val="18"/>
          <w:szCs w:val="18"/>
        </w:rPr>
        <w:t xml:space="preserve"> of WSF</w:t>
      </w:r>
      <w:r>
        <w:rPr>
          <w:sz w:val="18"/>
          <w:szCs w:val="18"/>
        </w:rPr>
        <w:t xml:space="preserve">; </w:t>
      </w:r>
      <w:r>
        <w:rPr>
          <w:b/>
          <w:bCs/>
          <w:sz w:val="18"/>
          <w:szCs w:val="18"/>
        </w:rPr>
        <w:t>M</w:t>
      </w:r>
      <w:r>
        <w:rPr>
          <w:sz w:val="18"/>
          <w:szCs w:val="18"/>
        </w:rPr>
        <w:t>: Mid dosage (</w:t>
      </w:r>
      <w:r>
        <w:rPr>
          <w:rFonts w:hint="eastAsia"/>
          <w:sz w:val="18"/>
          <w:szCs w:val="18"/>
        </w:rPr>
        <w:t>7.13</w:t>
      </w:r>
      <w:r>
        <w:rPr>
          <w:sz w:val="18"/>
          <w:szCs w:val="18"/>
        </w:rPr>
        <w:t xml:space="preserve"> g/</w:t>
      </w:r>
      <w:r>
        <w:rPr>
          <w:rFonts w:hint="eastAsia"/>
          <w:sz w:val="18"/>
          <w:szCs w:val="18"/>
        </w:rPr>
        <w:t>kg</w:t>
      </w:r>
      <w:r>
        <w:rPr>
          <w:sz w:val="18"/>
          <w:szCs w:val="18"/>
        </w:rPr>
        <w:t>)</w:t>
      </w:r>
      <w:r>
        <w:rPr>
          <w:rFonts w:hint="eastAsia"/>
          <w:sz w:val="18"/>
          <w:szCs w:val="18"/>
        </w:rPr>
        <w:t xml:space="preserve"> of WSF</w:t>
      </w:r>
      <w:r>
        <w:rPr>
          <w:sz w:val="18"/>
          <w:szCs w:val="18"/>
        </w:rPr>
        <w:t xml:space="preserve">; </w:t>
      </w:r>
      <w:r>
        <w:rPr>
          <w:b/>
          <w:bCs/>
          <w:sz w:val="18"/>
          <w:szCs w:val="18"/>
        </w:rPr>
        <w:t>H</w:t>
      </w:r>
      <w:r>
        <w:rPr>
          <w:sz w:val="18"/>
          <w:szCs w:val="18"/>
        </w:rPr>
        <w:t>: High dosage (</w:t>
      </w:r>
      <w:r>
        <w:rPr>
          <w:rFonts w:hint="eastAsia"/>
          <w:sz w:val="18"/>
          <w:szCs w:val="18"/>
        </w:rPr>
        <w:t>14.26</w:t>
      </w:r>
      <w:r>
        <w:rPr>
          <w:sz w:val="18"/>
          <w:szCs w:val="18"/>
        </w:rPr>
        <w:t xml:space="preserve"> g/</w:t>
      </w:r>
      <w:r>
        <w:rPr>
          <w:rFonts w:hint="eastAsia"/>
          <w:sz w:val="18"/>
          <w:szCs w:val="18"/>
        </w:rPr>
        <w:t>kg</w:t>
      </w:r>
      <w:r>
        <w:rPr>
          <w:sz w:val="18"/>
          <w:szCs w:val="18"/>
        </w:rPr>
        <w:t>)</w:t>
      </w:r>
      <w:r>
        <w:rPr>
          <w:rFonts w:hint="eastAsia"/>
          <w:sz w:val="18"/>
          <w:szCs w:val="18"/>
        </w:rPr>
        <w:t xml:space="preserve"> of WSF</w:t>
      </w:r>
      <w:r>
        <w:rPr>
          <w:sz w:val="18"/>
          <w:szCs w:val="18"/>
        </w:rPr>
        <w:t>.</w:t>
      </w:r>
      <w:r>
        <w:rPr>
          <w:rFonts w:hint="eastAsia"/>
          <w:sz w:val="18"/>
          <w:szCs w:val="18"/>
        </w:rPr>
        <w:t xml:space="preserve"> </w:t>
      </w:r>
      <w:r>
        <w:rPr>
          <w:rFonts w:hint="eastAsia"/>
          <w:snapToGrid w:val="0"/>
          <w:sz w:val="18"/>
          <w:szCs w:val="18"/>
          <w:lang w:bidi="ar"/>
        </w:rPr>
        <w:t>All of</w:t>
      </w:r>
      <w:r>
        <w:rPr>
          <w:snapToGrid w:val="0"/>
          <w:sz w:val="18"/>
          <w:szCs w:val="18"/>
          <w:lang w:bidi="ar"/>
        </w:rPr>
        <w:t xml:space="preserve"> values were presented as mean ± SD with significance markers of </w:t>
      </w:r>
      <w:r>
        <w:rPr>
          <w:snapToGrid w:val="0"/>
          <w:sz w:val="18"/>
          <w:szCs w:val="18"/>
          <w:vertAlign w:val="superscript"/>
          <w:lang w:bidi="ar"/>
        </w:rPr>
        <w:t>*</w:t>
      </w:r>
      <w:r>
        <w:rPr>
          <w:i/>
          <w:iCs/>
          <w:snapToGrid w:val="0"/>
          <w:sz w:val="18"/>
          <w:szCs w:val="18"/>
          <w:lang w:bidi="ar"/>
        </w:rPr>
        <w:t>P</w:t>
      </w:r>
      <w:r>
        <w:rPr>
          <w:snapToGrid w:val="0"/>
          <w:sz w:val="18"/>
          <w:szCs w:val="18"/>
          <w:lang w:bidi="ar"/>
        </w:rPr>
        <w:t xml:space="preserve"> &lt; 0.05 and </w:t>
      </w:r>
      <w:r>
        <w:rPr>
          <w:snapToGrid w:val="0"/>
          <w:sz w:val="18"/>
          <w:szCs w:val="18"/>
          <w:vertAlign w:val="superscript"/>
          <w:lang w:bidi="ar"/>
        </w:rPr>
        <w:t>**</w:t>
      </w:r>
      <w:r>
        <w:rPr>
          <w:i/>
          <w:iCs/>
          <w:snapToGrid w:val="0"/>
          <w:sz w:val="18"/>
          <w:szCs w:val="18"/>
          <w:lang w:bidi="ar"/>
        </w:rPr>
        <w:t>P</w:t>
      </w:r>
      <w:r>
        <w:rPr>
          <w:snapToGrid w:val="0"/>
          <w:sz w:val="18"/>
          <w:szCs w:val="18"/>
          <w:lang w:bidi="ar"/>
        </w:rPr>
        <w:t xml:space="preserve"> &lt; 0.01</w:t>
      </w:r>
      <w:r>
        <w:rPr>
          <w:rFonts w:hint="eastAsia"/>
          <w:snapToGrid w:val="0"/>
          <w:sz w:val="18"/>
          <w:szCs w:val="18"/>
          <w:lang w:bidi="ar"/>
        </w:rPr>
        <w:t xml:space="preserve"> </w:t>
      </w:r>
      <w:r>
        <w:rPr>
          <w:sz w:val="18"/>
          <w:szCs w:val="18"/>
        </w:rPr>
        <w:t xml:space="preserve">vs </w:t>
      </w:r>
      <w:r>
        <w:rPr>
          <w:rFonts w:hint="eastAsia"/>
          <w:sz w:val="18"/>
          <w:szCs w:val="18"/>
        </w:rPr>
        <w:t>N</w:t>
      </w:r>
      <w:r>
        <w:rPr>
          <w:sz w:val="18"/>
          <w:szCs w:val="18"/>
        </w:rPr>
        <w:t>C group</w:t>
      </w:r>
      <w:r>
        <w:rPr>
          <w:sz w:val="18"/>
          <w:szCs w:val="18"/>
          <w:lang w:bidi="ar"/>
        </w:rPr>
        <w:t>.</w:t>
      </w:r>
      <w:r>
        <w:rPr>
          <w:rFonts w:hint="eastAsia"/>
          <w:sz w:val="18"/>
          <w:szCs w:val="18"/>
          <w:lang w:bidi="ar"/>
        </w:rPr>
        <w:t xml:space="preserve"> </w:t>
      </w:r>
      <w:r>
        <w:rPr>
          <w:sz w:val="18"/>
          <w:szCs w:val="18"/>
        </w:rPr>
        <w:t>(n=</w:t>
      </w:r>
      <w:r>
        <w:rPr>
          <w:rFonts w:hint="eastAsia"/>
          <w:sz w:val="18"/>
          <w:szCs w:val="18"/>
        </w:rPr>
        <w:t>4</w:t>
      </w:r>
      <w:r>
        <w:rPr>
          <w:sz w:val="18"/>
          <w:szCs w:val="18"/>
        </w:rPr>
        <w:t>)</w:t>
      </w:r>
    </w:p>
    <w:p w14:paraId="67CF6F0D">
      <w:pPr>
        <w:spacing w:line="300" w:lineRule="auto"/>
        <w:ind w:firstLine="360" w:firstLineChars="200"/>
        <w:rPr>
          <w:sz w:val="18"/>
          <w:szCs w:val="18"/>
        </w:rPr>
      </w:pPr>
    </w:p>
    <w:p w14:paraId="1BE4349E">
      <w:pPr>
        <w:pStyle w:val="11"/>
        <w:widowControl/>
        <w:adjustRightInd/>
        <w:snapToGrid/>
        <w:spacing w:line="300" w:lineRule="auto"/>
        <w:rPr>
          <w:sz w:val="21"/>
          <w:szCs w:val="21"/>
        </w:rPr>
      </w:pPr>
      <w:r>
        <w:rPr>
          <w:rFonts w:hint="eastAsia" w:eastAsia="宋体"/>
          <w:sz w:val="21"/>
          <w:szCs w:val="21"/>
        </w:rPr>
        <w:t>Conclusion</w:t>
      </w:r>
      <w:r>
        <w:rPr>
          <w:rFonts w:hint="eastAsia"/>
          <w:sz w:val="21"/>
          <w:szCs w:val="21"/>
        </w:rPr>
        <w:t xml:space="preserve"> of WSF </w:t>
      </w:r>
      <w:r>
        <w:rPr>
          <w:rFonts w:hint="eastAsia" w:eastAsia="宋体"/>
        </w:rPr>
        <w:t xml:space="preserve">administration </w:t>
      </w:r>
      <w:r>
        <w:rPr>
          <w:rFonts w:hint="eastAsia"/>
          <w:sz w:val="21"/>
          <w:szCs w:val="21"/>
        </w:rPr>
        <w:t xml:space="preserve">on </w:t>
      </w:r>
      <w:r>
        <w:rPr>
          <w:rFonts w:hint="eastAsia" w:eastAsia="宋体"/>
        </w:rPr>
        <w:t>rats with glucose and lipid metabolic disorders</w:t>
      </w:r>
    </w:p>
    <w:p w14:paraId="1CC364A5">
      <w:pPr>
        <w:pStyle w:val="11"/>
        <w:widowControl/>
        <w:adjustRightInd/>
        <w:snapToGrid/>
        <w:spacing w:line="300" w:lineRule="auto"/>
        <w:ind w:firstLine="420" w:firstLineChars="200"/>
        <w:rPr>
          <w:b w:val="0"/>
          <w:bCs w:val="0"/>
          <w:sz w:val="21"/>
          <w:szCs w:val="21"/>
        </w:rPr>
      </w:pPr>
      <w:r>
        <w:rPr>
          <w:rFonts w:hint="eastAsia"/>
          <w:b w:val="0"/>
          <w:bCs w:val="0"/>
          <w:sz w:val="21"/>
          <w:szCs w:val="21"/>
        </w:rPr>
        <w:t>After 10 weeks of HFHD feeding to establish the model, the body weight and serum levels of GLU, TC, TG, and LDL-c in the model rats were significantly increased (</w:t>
      </w:r>
      <w:r>
        <w:rPr>
          <w:rFonts w:hint="eastAsia"/>
          <w:b w:val="0"/>
          <w:bCs w:val="0"/>
          <w:i/>
          <w:iCs w:val="0"/>
          <w:sz w:val="21"/>
          <w:szCs w:val="21"/>
        </w:rPr>
        <w:t>P</w:t>
      </w:r>
      <w:r>
        <w:rPr>
          <w:rFonts w:hint="eastAsia"/>
          <w:b w:val="0"/>
          <w:bCs w:val="0"/>
          <w:sz w:val="21"/>
          <w:szCs w:val="21"/>
        </w:rPr>
        <w:t xml:space="preserve"> &lt; 0.05, Student's t-test, the same below), while the level of HDL-c was significantly decreased (</w:t>
      </w:r>
      <w:r>
        <w:rPr>
          <w:rFonts w:hint="eastAsia"/>
          <w:b w:val="0"/>
          <w:bCs w:val="0"/>
          <w:i/>
          <w:iCs w:val="0"/>
          <w:sz w:val="21"/>
          <w:szCs w:val="21"/>
        </w:rPr>
        <w:t>P</w:t>
      </w:r>
      <w:r>
        <w:rPr>
          <w:rFonts w:hint="eastAsia"/>
          <w:b w:val="0"/>
          <w:bCs w:val="0"/>
          <w:sz w:val="21"/>
          <w:szCs w:val="21"/>
        </w:rPr>
        <w:t xml:space="preserve"> &lt; 0.05), indicating that the model rats exhibited disorders in glucose and lipid metabolism. After 8 weeks of administration with WSF at a dose of 14.26 g/kg, the body weight and serum levels of GLU, TC, and TG in the model rats were significantly reduced (</w:t>
      </w:r>
      <w:r>
        <w:rPr>
          <w:rFonts w:hint="eastAsia"/>
          <w:b w:val="0"/>
          <w:bCs w:val="0"/>
          <w:i/>
          <w:iCs w:val="0"/>
          <w:sz w:val="21"/>
          <w:szCs w:val="21"/>
        </w:rPr>
        <w:t>P</w:t>
      </w:r>
      <w:r>
        <w:rPr>
          <w:rFonts w:hint="eastAsia"/>
          <w:b w:val="0"/>
          <w:bCs w:val="0"/>
          <w:sz w:val="21"/>
          <w:szCs w:val="21"/>
        </w:rPr>
        <w:t xml:space="preserve"> &lt; 0.05), while the HDL-c level was increased (</w:t>
      </w:r>
      <w:r>
        <w:rPr>
          <w:rFonts w:hint="eastAsia"/>
          <w:b w:val="0"/>
          <w:bCs w:val="0"/>
          <w:i/>
          <w:iCs w:val="0"/>
          <w:sz w:val="21"/>
          <w:szCs w:val="21"/>
        </w:rPr>
        <w:t>P</w:t>
      </w:r>
      <w:r>
        <w:rPr>
          <w:rFonts w:hint="eastAsia"/>
          <w:b w:val="0"/>
          <w:bCs w:val="0"/>
          <w:sz w:val="21"/>
          <w:szCs w:val="21"/>
        </w:rPr>
        <w:t xml:space="preserve"> &lt; 0.05). In contrast, administration of WSF at doses of 3.56 and 7.13 g/kg was only effective in modulating serum GLU and HDL-c levels. More importantly, with the continuous increase in the dosage of administration, the improvement effects on body weight and serum levels of GLU, TC, and HDL-c gradually enhanced, exhibiting a certain dose-dependency.</w:t>
      </w:r>
    </w:p>
    <w:p w14:paraId="0EF8E037">
      <w:pPr>
        <w:spacing w:line="300" w:lineRule="auto"/>
        <w:ind w:firstLine="420" w:firstLineChars="200"/>
        <w:rPr>
          <w:b/>
          <w:bCs/>
          <w:color w:val="000000"/>
          <w:kern w:val="0"/>
          <w:szCs w:val="21"/>
          <w:lang w:bidi="ar"/>
        </w:rPr>
      </w:pPr>
      <w:r>
        <w:rPr>
          <w:rFonts w:hint="eastAsia"/>
          <w:color w:val="000000"/>
          <w:kern w:val="0"/>
          <w:szCs w:val="21"/>
          <w:lang w:bidi="ar"/>
        </w:rPr>
        <w:t>In conclusion,</w:t>
      </w:r>
      <w:r>
        <w:rPr>
          <w:rFonts w:hint="eastAsia"/>
          <w:b/>
          <w:bCs/>
          <w:color w:val="000000"/>
          <w:kern w:val="0"/>
          <w:szCs w:val="21"/>
          <w:lang w:bidi="ar"/>
        </w:rPr>
        <w:t xml:space="preserve"> </w:t>
      </w:r>
      <w:r>
        <w:rPr>
          <w:rFonts w:hint="eastAsia"/>
          <w:color w:val="000000"/>
          <w:kern w:val="0"/>
          <w:szCs w:val="21"/>
          <w:lang w:bidi="ar"/>
        </w:rPr>
        <w:t xml:space="preserve">WSF demonstrates a notable dose-dependent regulatory effect on glucose and lipid metabolism in rats with metabolic disorders, with </w:t>
      </w:r>
      <w:r>
        <w:rPr>
          <w:rFonts w:hint="eastAsia"/>
          <w:b/>
          <w:bCs/>
          <w:color w:val="000000"/>
          <w:kern w:val="0"/>
          <w:szCs w:val="21"/>
          <w:lang w:bidi="ar"/>
        </w:rPr>
        <w:t>the optimal dosage identified as 14.26 g/kg for rats.</w:t>
      </w:r>
    </w:p>
    <w:p w14:paraId="32DA5E07">
      <w:pPr>
        <w:spacing w:line="300" w:lineRule="auto"/>
        <w:rPr>
          <w:szCs w:val="21"/>
        </w:rPr>
      </w:pPr>
      <w:r>
        <w:rPr>
          <w:szCs w:val="21"/>
        </w:rPr>
        <w:br w:type="page"/>
      </w:r>
    </w:p>
    <w:p w14:paraId="7E5608B5">
      <w:pPr>
        <w:pStyle w:val="11"/>
        <w:widowControl/>
        <w:adjustRightInd/>
        <w:snapToGrid/>
        <w:spacing w:line="300" w:lineRule="auto"/>
        <w:rPr>
          <w:rFonts w:eastAsia="宋体"/>
        </w:rPr>
      </w:pPr>
      <w:r>
        <w:t xml:space="preserve">Animal </w:t>
      </w:r>
      <w:r>
        <w:rPr>
          <w:rFonts w:eastAsia="宋体"/>
        </w:rPr>
        <w:t>experiment</w:t>
      </w:r>
      <w:r>
        <w:rPr>
          <w:rFonts w:hint="eastAsia" w:eastAsia="宋体"/>
        </w:rPr>
        <w:t xml:space="preserve"> procedure of 28-day oral toxicity </w:t>
      </w:r>
      <w:r>
        <w:rPr>
          <w:rFonts w:eastAsia="宋体"/>
        </w:rPr>
        <w:t>experiment</w:t>
      </w:r>
    </w:p>
    <w:p w14:paraId="4599039C">
      <w:pPr>
        <w:pStyle w:val="13"/>
        <w:widowControl/>
        <w:adjustRightInd/>
        <w:snapToGrid/>
        <w:spacing w:before="0" w:beforeLines="0" w:line="300" w:lineRule="auto"/>
        <w:ind w:firstLine="420" w:firstLineChars="200"/>
        <w:rPr>
          <w:sz w:val="21"/>
          <w:szCs w:val="21"/>
        </w:rPr>
      </w:pPr>
      <w:r>
        <w:rPr>
          <w:rFonts w:hint="eastAsia"/>
          <w:sz w:val="21"/>
          <w:szCs w:val="21"/>
        </w:rPr>
        <w:t>ICR</w:t>
      </w:r>
      <w:r>
        <w:rPr>
          <w:sz w:val="21"/>
          <w:szCs w:val="21"/>
        </w:rPr>
        <w:t xml:space="preserve"> </w:t>
      </w:r>
      <w:r>
        <w:rPr>
          <w:rFonts w:hint="eastAsia"/>
          <w:sz w:val="21"/>
          <w:szCs w:val="21"/>
        </w:rPr>
        <w:t xml:space="preserve">mice </w:t>
      </w:r>
      <w:r>
        <w:rPr>
          <w:sz w:val="21"/>
          <w:szCs w:val="21"/>
        </w:rPr>
        <w:t>(male, n=</w:t>
      </w:r>
      <w:r>
        <w:rPr>
          <w:rFonts w:hint="eastAsia"/>
          <w:sz w:val="21"/>
          <w:szCs w:val="21"/>
        </w:rPr>
        <w:t>20</w:t>
      </w:r>
      <w:r>
        <w:rPr>
          <w:sz w:val="21"/>
          <w:szCs w:val="21"/>
        </w:rPr>
        <w:t>) were purchased from Hangzhou Qizhen Experimental Animal Technology Co., Ltd</w:t>
      </w:r>
      <w:r>
        <w:rPr>
          <w:rFonts w:hint="eastAsia"/>
          <w:sz w:val="21"/>
          <w:szCs w:val="21"/>
        </w:rPr>
        <w:t>.</w:t>
      </w:r>
      <w:r>
        <w:rPr>
          <w:sz w:val="21"/>
          <w:szCs w:val="21"/>
        </w:rPr>
        <w:t xml:space="preserve"> (S</w:t>
      </w:r>
      <w:r>
        <w:rPr>
          <w:rFonts w:hint="eastAsia"/>
          <w:sz w:val="21"/>
          <w:szCs w:val="21"/>
        </w:rPr>
        <w:t>C</w:t>
      </w:r>
      <w:r>
        <w:rPr>
          <w:sz w:val="21"/>
          <w:szCs w:val="21"/>
        </w:rPr>
        <w:t>XK(</w:t>
      </w:r>
      <w:r>
        <w:rPr>
          <w:rFonts w:hint="eastAsia"/>
          <w:sz w:val="21"/>
          <w:szCs w:val="21"/>
        </w:rPr>
        <w:t>Zhe</w:t>
      </w:r>
      <w:r>
        <w:rPr>
          <w:sz w:val="21"/>
          <w:szCs w:val="21"/>
        </w:rPr>
        <w:t>)20</w:t>
      </w:r>
      <w:r>
        <w:rPr>
          <w:rFonts w:hint="eastAsia"/>
          <w:sz w:val="21"/>
          <w:szCs w:val="21"/>
        </w:rPr>
        <w:t>22</w:t>
      </w:r>
      <w:r>
        <w:rPr>
          <w:sz w:val="21"/>
          <w:szCs w:val="21"/>
        </w:rPr>
        <w:t>-00</w:t>
      </w:r>
      <w:r>
        <w:rPr>
          <w:rFonts w:hint="eastAsia"/>
          <w:sz w:val="21"/>
          <w:szCs w:val="21"/>
        </w:rPr>
        <w:t>05</w:t>
      </w:r>
      <w:r>
        <w:rPr>
          <w:sz w:val="21"/>
          <w:szCs w:val="21"/>
        </w:rPr>
        <w:t xml:space="preserve">, </w:t>
      </w:r>
      <w:r>
        <w:rPr>
          <w:rFonts w:hint="eastAsia"/>
          <w:sz w:val="21"/>
          <w:szCs w:val="21"/>
        </w:rPr>
        <w:t>Hangzhou</w:t>
      </w:r>
      <w:r>
        <w:rPr>
          <w:sz w:val="21"/>
          <w:szCs w:val="21"/>
        </w:rPr>
        <w:t>, China). All the animals were reared in standardized environmental conditions characterized by a 12-hour light-dark photoperiod with unrestricted access to water and food. The animal procedures were meticulously conducted in strict adherence to the Zhejiang University of Technology’s Guidelines for the Care and Use of Laboratory Animals.</w:t>
      </w:r>
    </w:p>
    <w:p w14:paraId="1A2C5B41">
      <w:pPr>
        <w:pStyle w:val="13"/>
        <w:widowControl/>
        <w:adjustRightInd/>
        <w:snapToGrid/>
        <w:spacing w:before="0" w:beforeLines="0" w:line="300" w:lineRule="auto"/>
        <w:ind w:firstLine="420" w:firstLineChars="200"/>
        <w:rPr>
          <w:sz w:val="21"/>
          <w:szCs w:val="21"/>
        </w:rPr>
      </w:pPr>
      <w:r>
        <w:rPr>
          <w:sz w:val="21"/>
          <w:szCs w:val="21"/>
        </w:rPr>
        <w:t xml:space="preserve">After adaptive feeding for </w:t>
      </w:r>
      <w:r>
        <w:rPr>
          <w:rFonts w:hint="eastAsia"/>
          <w:sz w:val="21"/>
          <w:szCs w:val="21"/>
        </w:rPr>
        <w:t>1</w:t>
      </w:r>
      <w:r>
        <w:rPr>
          <w:sz w:val="21"/>
          <w:szCs w:val="21"/>
        </w:rPr>
        <w:t xml:space="preserve"> </w:t>
      </w:r>
      <w:r>
        <w:rPr>
          <w:rFonts w:hint="eastAsia"/>
          <w:sz w:val="21"/>
          <w:szCs w:val="21"/>
        </w:rPr>
        <w:t>week</w:t>
      </w:r>
      <w:r>
        <w:rPr>
          <w:sz w:val="21"/>
          <w:szCs w:val="21"/>
        </w:rPr>
        <w:t>, a total of twenty</w:t>
      </w:r>
      <w:r>
        <w:rPr>
          <w:rFonts w:hint="eastAsia"/>
          <w:sz w:val="21"/>
          <w:szCs w:val="21"/>
        </w:rPr>
        <w:t xml:space="preserve"> ICR mice </w:t>
      </w:r>
      <w:r>
        <w:rPr>
          <w:sz w:val="21"/>
          <w:szCs w:val="21"/>
        </w:rPr>
        <w:t xml:space="preserve">were randomly assigned into </w:t>
      </w:r>
      <w:r>
        <w:rPr>
          <w:rFonts w:hint="eastAsia"/>
          <w:sz w:val="21"/>
          <w:szCs w:val="21"/>
        </w:rPr>
        <w:t>two</w:t>
      </w:r>
      <w:r>
        <w:rPr>
          <w:sz w:val="21"/>
          <w:szCs w:val="21"/>
        </w:rPr>
        <w:t xml:space="preserve"> groups according to their body weight with the random number method: the normal group (NC), WSF</w:t>
      </w:r>
      <w:r>
        <w:rPr>
          <w:rFonts w:hint="eastAsia"/>
          <w:sz w:val="21"/>
          <w:szCs w:val="21"/>
        </w:rPr>
        <w:t xml:space="preserve"> </w:t>
      </w:r>
      <w:r>
        <w:rPr>
          <w:sz w:val="21"/>
          <w:szCs w:val="21"/>
        </w:rPr>
        <w:t>administration group (WS</w:t>
      </w:r>
      <w:r>
        <w:rPr>
          <w:rFonts w:hint="eastAsia"/>
          <w:sz w:val="21"/>
          <w:szCs w:val="21"/>
        </w:rPr>
        <w:t xml:space="preserve">, 28.53 </w:t>
      </w:r>
      <w:r>
        <w:rPr>
          <w:sz w:val="21"/>
          <w:szCs w:val="21"/>
        </w:rPr>
        <w:t>g/</w:t>
      </w:r>
      <w:r>
        <w:rPr>
          <w:rFonts w:hint="eastAsia"/>
          <w:sz w:val="21"/>
          <w:szCs w:val="21"/>
        </w:rPr>
        <w:t>kg</w:t>
      </w:r>
      <w:r>
        <w:rPr>
          <w:sz w:val="21"/>
          <w:szCs w:val="21"/>
        </w:rPr>
        <w:t xml:space="preserve">), each consisting of </w:t>
      </w:r>
      <w:r>
        <w:rPr>
          <w:rFonts w:hint="eastAsia"/>
          <w:sz w:val="21"/>
          <w:szCs w:val="21"/>
        </w:rPr>
        <w:t>ten</w:t>
      </w:r>
      <w:r>
        <w:rPr>
          <w:sz w:val="21"/>
          <w:szCs w:val="21"/>
        </w:rPr>
        <w:t xml:space="preserve"> </w:t>
      </w:r>
      <w:r>
        <w:rPr>
          <w:rFonts w:hint="eastAsia"/>
          <w:sz w:val="21"/>
          <w:szCs w:val="21"/>
        </w:rPr>
        <w:t>mice</w:t>
      </w:r>
      <w:r>
        <w:rPr>
          <w:sz w:val="21"/>
          <w:szCs w:val="21"/>
        </w:rPr>
        <w:t xml:space="preserve">. The NC </w:t>
      </w:r>
      <w:r>
        <w:rPr>
          <w:rFonts w:hint="eastAsia"/>
          <w:sz w:val="21"/>
          <w:szCs w:val="21"/>
        </w:rPr>
        <w:t xml:space="preserve">and WS mice </w:t>
      </w:r>
      <w:r>
        <w:rPr>
          <w:sz w:val="21"/>
          <w:szCs w:val="21"/>
        </w:rPr>
        <w:t>w</w:t>
      </w:r>
      <w:r>
        <w:rPr>
          <w:rFonts w:hint="eastAsia"/>
          <w:sz w:val="21"/>
          <w:szCs w:val="21"/>
        </w:rPr>
        <w:t>ere both</w:t>
      </w:r>
      <w:r>
        <w:rPr>
          <w:sz w:val="21"/>
          <w:szCs w:val="21"/>
        </w:rPr>
        <w:t xml:space="preserve"> fed with standard diet over a period of </w:t>
      </w:r>
      <w:r>
        <w:rPr>
          <w:rFonts w:hint="eastAsia"/>
          <w:sz w:val="21"/>
          <w:szCs w:val="21"/>
        </w:rPr>
        <w:t>4</w:t>
      </w:r>
      <w:r>
        <w:rPr>
          <w:sz w:val="21"/>
          <w:szCs w:val="21"/>
        </w:rPr>
        <w:t xml:space="preserve"> weeks. The WS </w:t>
      </w:r>
      <w:r>
        <w:rPr>
          <w:rFonts w:hint="eastAsia"/>
          <w:sz w:val="21"/>
          <w:szCs w:val="21"/>
        </w:rPr>
        <w:t>mice</w:t>
      </w:r>
      <w:r>
        <w:rPr>
          <w:sz w:val="21"/>
          <w:szCs w:val="21"/>
        </w:rPr>
        <w:t xml:space="preserve"> were daily administered WSF at </w:t>
      </w:r>
      <w:r>
        <w:rPr>
          <w:rFonts w:hint="eastAsia"/>
          <w:sz w:val="21"/>
          <w:szCs w:val="21"/>
        </w:rPr>
        <w:t xml:space="preserve">a </w:t>
      </w:r>
      <w:r>
        <w:rPr>
          <w:sz w:val="21"/>
          <w:szCs w:val="21"/>
        </w:rPr>
        <w:t>dose</w:t>
      </w:r>
      <w:r>
        <w:rPr>
          <w:rFonts w:hint="eastAsia"/>
          <w:sz w:val="21"/>
          <w:szCs w:val="21"/>
        </w:rPr>
        <w:t xml:space="preserve"> of 28.53 </w:t>
      </w:r>
      <w:r>
        <w:rPr>
          <w:sz w:val="21"/>
          <w:szCs w:val="21"/>
        </w:rPr>
        <w:t>g/</w:t>
      </w:r>
      <w:r>
        <w:rPr>
          <w:rFonts w:hint="eastAsia"/>
          <w:sz w:val="21"/>
          <w:szCs w:val="21"/>
        </w:rPr>
        <w:t xml:space="preserve">kg </w:t>
      </w:r>
      <w:r>
        <w:rPr>
          <w:sz w:val="21"/>
          <w:szCs w:val="21"/>
        </w:rPr>
        <w:t>(i.g.</w:t>
      </w:r>
      <w:r>
        <w:rPr>
          <w:rFonts w:hint="eastAsia"/>
          <w:sz w:val="21"/>
          <w:szCs w:val="21"/>
        </w:rPr>
        <w:t>, 12 times of clinical dose</w:t>
      </w:r>
      <w:r>
        <w:rPr>
          <w:sz w:val="21"/>
          <w:szCs w:val="21"/>
        </w:rPr>
        <w:t>) adjusted to the volume of 1 ml/100 g in accordance with the body weight</w:t>
      </w:r>
      <w:r>
        <w:rPr>
          <w:rFonts w:hint="eastAsia"/>
          <w:sz w:val="21"/>
          <w:szCs w:val="21"/>
        </w:rPr>
        <w:t xml:space="preserve"> for whole 4 weeks</w:t>
      </w:r>
      <w:r>
        <w:rPr>
          <w:sz w:val="21"/>
          <w:szCs w:val="21"/>
        </w:rPr>
        <w:t>.</w:t>
      </w:r>
    </w:p>
    <w:p w14:paraId="32B58F73">
      <w:pPr>
        <w:pStyle w:val="13"/>
        <w:widowControl/>
        <w:adjustRightInd/>
        <w:snapToGrid/>
        <w:spacing w:before="0" w:beforeLines="0" w:line="300" w:lineRule="auto"/>
        <w:ind w:firstLine="420" w:firstLineChars="200"/>
        <w:rPr>
          <w:sz w:val="21"/>
          <w:szCs w:val="21"/>
        </w:rPr>
      </w:pPr>
      <w:r>
        <w:rPr>
          <w:sz w:val="21"/>
          <w:szCs w:val="21"/>
        </w:rPr>
        <w:t>Upon conclusion of the experiment, mice were subjected to an overnight fasting before blood was drawn from the ocular venous plexus. Obtained blood samples were centrifuged for 10 min twice at 3000 rpm to attain serum for biochemical analysis. The mice were subsequently anesthetized (isoflurane inhalation) with removing their liver as quickly as possible.</w:t>
      </w:r>
    </w:p>
    <w:p w14:paraId="7A4D0983">
      <w:pPr>
        <w:pStyle w:val="13"/>
        <w:widowControl/>
        <w:adjustRightInd/>
        <w:snapToGrid/>
        <w:spacing w:before="0" w:beforeLines="0" w:line="300" w:lineRule="auto"/>
        <w:ind w:firstLine="420" w:firstLineChars="200"/>
        <w:rPr>
          <w:sz w:val="21"/>
          <w:szCs w:val="21"/>
        </w:rPr>
      </w:pPr>
    </w:p>
    <w:p w14:paraId="7872E584">
      <w:pPr>
        <w:spacing w:line="300" w:lineRule="auto"/>
        <w:rPr>
          <w:szCs w:val="21"/>
        </w:rPr>
      </w:pPr>
      <w:r>
        <w:rPr>
          <w:szCs w:val="21"/>
        </w:rPr>
        <w:drawing>
          <wp:inline distT="0" distB="0" distL="114300" distR="114300">
            <wp:extent cx="5238750" cy="1124585"/>
            <wp:effectExtent l="0" t="0" r="0" b="18415"/>
            <wp:docPr id="29" name="图片 29" descr="毒性试验肝脏大体观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毒性试验肝脏大体观组图"/>
                    <pic:cNvPicPr>
                      <a:picLocks noChangeAspect="1"/>
                    </pic:cNvPicPr>
                  </pic:nvPicPr>
                  <pic:blipFill>
                    <a:blip r:embed="rId5"/>
                    <a:srcRect t="6573" b="55259"/>
                    <a:stretch>
                      <a:fillRect/>
                    </a:stretch>
                  </pic:blipFill>
                  <pic:spPr>
                    <a:xfrm>
                      <a:off x="0" y="0"/>
                      <a:ext cx="5238750" cy="1124585"/>
                    </a:xfrm>
                    <a:prstGeom prst="rect">
                      <a:avLst/>
                    </a:prstGeom>
                  </pic:spPr>
                </pic:pic>
              </a:graphicData>
            </a:graphic>
          </wp:inline>
        </w:drawing>
      </w:r>
    </w:p>
    <w:p w14:paraId="6ADBEDC4">
      <w:pPr>
        <w:spacing w:line="300" w:lineRule="auto"/>
        <w:ind w:firstLine="361" w:firstLineChars="200"/>
        <w:rPr>
          <w:sz w:val="18"/>
          <w:szCs w:val="18"/>
        </w:rPr>
      </w:pPr>
      <w:r>
        <w:rPr>
          <w:b/>
          <w:bCs/>
          <w:sz w:val="18"/>
          <w:szCs w:val="20"/>
          <w:lang w:bidi="ar"/>
        </w:rPr>
        <w:t>Fig.</w:t>
      </w:r>
      <w:r>
        <w:rPr>
          <w:rFonts w:hint="eastAsia"/>
          <w:b/>
          <w:bCs/>
          <w:sz w:val="18"/>
          <w:szCs w:val="20"/>
          <w:lang w:bidi="ar"/>
        </w:rPr>
        <w:t xml:space="preserve">S2 </w:t>
      </w:r>
      <w:r>
        <w:rPr>
          <w:rFonts w:hint="eastAsia"/>
          <w:sz w:val="18"/>
          <w:szCs w:val="20"/>
          <w:lang w:bidi="ar"/>
        </w:rPr>
        <w:t xml:space="preserve">General view of mice livers from </w:t>
      </w:r>
      <w:r>
        <w:rPr>
          <w:rFonts w:hint="eastAsia"/>
          <w:sz w:val="18"/>
          <w:szCs w:val="18"/>
        </w:rPr>
        <w:t>28-day oral toxicity experiment of WSF</w:t>
      </w:r>
      <w:r>
        <w:rPr>
          <w:rFonts w:hint="eastAsia"/>
          <w:sz w:val="18"/>
          <w:szCs w:val="20"/>
          <w:lang w:bidi="ar"/>
        </w:rPr>
        <w:t xml:space="preserve">. </w:t>
      </w:r>
      <w:r>
        <w:rPr>
          <w:rFonts w:hint="eastAsia"/>
          <w:b/>
          <w:bCs/>
          <w:sz w:val="18"/>
          <w:szCs w:val="20"/>
          <w:lang w:bidi="ar"/>
        </w:rPr>
        <w:t>NC:</w:t>
      </w:r>
      <w:r>
        <w:rPr>
          <w:rFonts w:hint="eastAsia"/>
          <w:sz w:val="18"/>
          <w:szCs w:val="20"/>
          <w:lang w:bidi="ar"/>
        </w:rPr>
        <w:t xml:space="preserve"> Normal control group; </w:t>
      </w:r>
      <w:r>
        <w:rPr>
          <w:rFonts w:hint="eastAsia"/>
          <w:b/>
          <w:bCs/>
          <w:sz w:val="18"/>
          <w:szCs w:val="20"/>
          <w:lang w:bidi="ar"/>
        </w:rPr>
        <w:t>WS:</w:t>
      </w:r>
      <w:r>
        <w:rPr>
          <w:rFonts w:hint="eastAsia"/>
          <w:sz w:val="18"/>
          <w:szCs w:val="20"/>
          <w:lang w:bidi="ar"/>
        </w:rPr>
        <w:t xml:space="preserve"> WSF administration group (28.53 g/kg). </w:t>
      </w:r>
      <w:r>
        <w:rPr>
          <w:sz w:val="18"/>
          <w:szCs w:val="18"/>
        </w:rPr>
        <w:t>(n=</w:t>
      </w:r>
      <w:r>
        <w:rPr>
          <w:rFonts w:hint="eastAsia"/>
          <w:sz w:val="18"/>
          <w:szCs w:val="18"/>
        </w:rPr>
        <w:t>10</w:t>
      </w:r>
      <w:r>
        <w:rPr>
          <w:sz w:val="18"/>
          <w:szCs w:val="18"/>
        </w:rPr>
        <w:t>)</w:t>
      </w:r>
    </w:p>
    <w:p w14:paraId="123D58F0">
      <w:pPr>
        <w:spacing w:line="300" w:lineRule="auto"/>
        <w:ind w:firstLine="360" w:firstLineChars="200"/>
        <w:rPr>
          <w:sz w:val="18"/>
          <w:szCs w:val="18"/>
        </w:rPr>
      </w:pPr>
    </w:p>
    <w:p w14:paraId="5689B5D8">
      <w:pPr>
        <w:spacing w:line="300" w:lineRule="auto"/>
        <w:jc w:val="center"/>
        <w:rPr>
          <w:szCs w:val="21"/>
        </w:rPr>
      </w:pPr>
      <w:r>
        <w:rPr>
          <w:szCs w:val="21"/>
        </w:rPr>
        <w:drawing>
          <wp:inline distT="0" distB="0" distL="114300" distR="114300">
            <wp:extent cx="5274310" cy="1964690"/>
            <wp:effectExtent l="0" t="0" r="2540" b="16510"/>
            <wp:docPr id="30" name="图片 30" descr="毒性试验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毒性试验组图"/>
                    <pic:cNvPicPr>
                      <a:picLocks noChangeAspect="1"/>
                    </pic:cNvPicPr>
                  </pic:nvPicPr>
                  <pic:blipFill>
                    <a:blip r:embed="rId6"/>
                    <a:srcRect l="594" t="16272" r="2727" b="19698"/>
                    <a:stretch>
                      <a:fillRect/>
                    </a:stretch>
                  </pic:blipFill>
                  <pic:spPr>
                    <a:xfrm>
                      <a:off x="0" y="0"/>
                      <a:ext cx="5274310" cy="1964690"/>
                    </a:xfrm>
                    <a:prstGeom prst="rect">
                      <a:avLst/>
                    </a:prstGeom>
                  </pic:spPr>
                </pic:pic>
              </a:graphicData>
            </a:graphic>
          </wp:inline>
        </w:drawing>
      </w:r>
    </w:p>
    <w:p w14:paraId="7C120452">
      <w:pPr>
        <w:spacing w:line="300" w:lineRule="auto"/>
        <w:ind w:firstLine="361" w:firstLineChars="200"/>
        <w:rPr>
          <w:sz w:val="18"/>
          <w:szCs w:val="18"/>
        </w:rPr>
      </w:pPr>
      <w:r>
        <w:rPr>
          <w:b/>
          <w:bCs/>
          <w:sz w:val="18"/>
          <w:szCs w:val="18"/>
          <w:lang w:bidi="ar"/>
        </w:rPr>
        <w:t>Fig.</w:t>
      </w:r>
      <w:r>
        <w:rPr>
          <w:rFonts w:hint="eastAsia"/>
          <w:b/>
          <w:bCs/>
          <w:sz w:val="18"/>
          <w:szCs w:val="18"/>
          <w:lang w:bidi="ar"/>
        </w:rPr>
        <w:t xml:space="preserve">S3 </w:t>
      </w:r>
      <w:r>
        <w:rPr>
          <w:rFonts w:hint="eastAsia"/>
          <w:sz w:val="18"/>
          <w:szCs w:val="18"/>
          <w:lang w:bidi="ar"/>
        </w:rPr>
        <w:t xml:space="preserve">Results of </w:t>
      </w:r>
      <w:r>
        <w:rPr>
          <w:rFonts w:hint="eastAsia"/>
          <w:sz w:val="18"/>
          <w:szCs w:val="18"/>
        </w:rPr>
        <w:t xml:space="preserve">28-day oral toxicity experiment of WSF. </w:t>
      </w:r>
      <w:r>
        <w:rPr>
          <w:sz w:val="18"/>
          <w:szCs w:val="18"/>
          <w:lang w:bidi="ar"/>
        </w:rPr>
        <w:t>(</w:t>
      </w:r>
      <w:r>
        <w:rPr>
          <w:b/>
          <w:bCs/>
          <w:sz w:val="18"/>
          <w:szCs w:val="18"/>
          <w:lang w:bidi="ar"/>
        </w:rPr>
        <w:t>A</w:t>
      </w:r>
      <w:r>
        <w:rPr>
          <w:sz w:val="18"/>
          <w:szCs w:val="18"/>
          <w:lang w:bidi="ar"/>
        </w:rPr>
        <w:t>) Body weight. (</w:t>
      </w:r>
      <w:r>
        <w:rPr>
          <w:b/>
          <w:bCs/>
          <w:sz w:val="18"/>
          <w:szCs w:val="18"/>
          <w:lang w:bidi="ar"/>
        </w:rPr>
        <w:t>B</w:t>
      </w:r>
      <w:r>
        <w:rPr>
          <w:sz w:val="18"/>
          <w:szCs w:val="18"/>
          <w:lang w:bidi="ar"/>
        </w:rPr>
        <w:t xml:space="preserve">) </w:t>
      </w:r>
      <w:r>
        <w:rPr>
          <w:rFonts w:hint="eastAsia"/>
          <w:sz w:val="18"/>
          <w:szCs w:val="18"/>
          <w:lang w:bidi="ar"/>
        </w:rPr>
        <w:t>Food intake</w:t>
      </w:r>
      <w:r>
        <w:rPr>
          <w:sz w:val="18"/>
          <w:szCs w:val="18"/>
          <w:lang w:bidi="ar"/>
        </w:rPr>
        <w:t>. (</w:t>
      </w:r>
      <w:r>
        <w:rPr>
          <w:b/>
          <w:bCs/>
          <w:sz w:val="18"/>
          <w:szCs w:val="18"/>
          <w:lang w:bidi="ar"/>
        </w:rPr>
        <w:t>C</w:t>
      </w:r>
      <w:r>
        <w:rPr>
          <w:sz w:val="18"/>
          <w:szCs w:val="18"/>
          <w:lang w:bidi="ar"/>
        </w:rPr>
        <w:t xml:space="preserve">) </w:t>
      </w:r>
      <w:r>
        <w:rPr>
          <w:rFonts w:hint="eastAsia"/>
          <w:sz w:val="18"/>
          <w:szCs w:val="18"/>
          <w:lang w:bidi="ar"/>
        </w:rPr>
        <w:t>Water intake</w:t>
      </w:r>
      <w:r>
        <w:rPr>
          <w:sz w:val="18"/>
          <w:szCs w:val="18"/>
          <w:lang w:bidi="ar"/>
        </w:rPr>
        <w:t>. (</w:t>
      </w:r>
      <w:r>
        <w:rPr>
          <w:b/>
          <w:bCs/>
          <w:sz w:val="18"/>
          <w:szCs w:val="18"/>
          <w:lang w:bidi="ar"/>
        </w:rPr>
        <w:t>D</w:t>
      </w:r>
      <w:r>
        <w:rPr>
          <w:sz w:val="18"/>
          <w:szCs w:val="18"/>
          <w:lang w:bidi="ar"/>
        </w:rPr>
        <w:t xml:space="preserve">) Liver </w:t>
      </w:r>
      <w:r>
        <w:rPr>
          <w:rFonts w:hint="eastAsia"/>
          <w:sz w:val="18"/>
          <w:szCs w:val="18"/>
          <w:lang w:bidi="ar"/>
        </w:rPr>
        <w:t>brain ration</w:t>
      </w:r>
      <w:r>
        <w:rPr>
          <w:sz w:val="18"/>
          <w:szCs w:val="18"/>
          <w:lang w:bidi="ar"/>
        </w:rPr>
        <w:t>. (</w:t>
      </w:r>
      <w:r>
        <w:rPr>
          <w:b/>
          <w:bCs/>
          <w:sz w:val="18"/>
          <w:szCs w:val="18"/>
          <w:lang w:bidi="ar"/>
        </w:rPr>
        <w:t>E</w:t>
      </w:r>
      <w:r>
        <w:rPr>
          <w:sz w:val="18"/>
          <w:szCs w:val="18"/>
          <w:lang w:bidi="ar"/>
        </w:rPr>
        <w:t xml:space="preserve">) </w:t>
      </w:r>
      <w:r>
        <w:rPr>
          <w:rFonts w:hint="eastAsia"/>
          <w:sz w:val="18"/>
          <w:szCs w:val="18"/>
          <w:lang w:bidi="ar"/>
        </w:rPr>
        <w:t>AST level</w:t>
      </w:r>
      <w:r>
        <w:rPr>
          <w:sz w:val="18"/>
          <w:szCs w:val="18"/>
          <w:lang w:bidi="ar"/>
        </w:rPr>
        <w:t>. (</w:t>
      </w:r>
      <w:r>
        <w:rPr>
          <w:b/>
          <w:bCs/>
          <w:sz w:val="18"/>
          <w:szCs w:val="18"/>
          <w:lang w:bidi="ar"/>
        </w:rPr>
        <w:t>F</w:t>
      </w:r>
      <w:r>
        <w:rPr>
          <w:sz w:val="18"/>
          <w:szCs w:val="18"/>
          <w:lang w:bidi="ar"/>
        </w:rPr>
        <w:t xml:space="preserve">) </w:t>
      </w:r>
      <w:r>
        <w:rPr>
          <w:rFonts w:hint="eastAsia"/>
          <w:sz w:val="18"/>
          <w:szCs w:val="18"/>
          <w:lang w:bidi="ar"/>
        </w:rPr>
        <w:t>ALT level</w:t>
      </w:r>
      <w:r>
        <w:rPr>
          <w:sz w:val="18"/>
          <w:szCs w:val="18"/>
          <w:lang w:bidi="ar"/>
        </w:rPr>
        <w:t>. (</w:t>
      </w:r>
      <w:r>
        <w:rPr>
          <w:b/>
          <w:bCs/>
          <w:sz w:val="18"/>
          <w:szCs w:val="18"/>
          <w:lang w:bidi="ar"/>
        </w:rPr>
        <w:t>G</w:t>
      </w:r>
      <w:r>
        <w:rPr>
          <w:sz w:val="18"/>
          <w:szCs w:val="18"/>
          <w:lang w:bidi="ar"/>
        </w:rPr>
        <w:t xml:space="preserve">) </w:t>
      </w:r>
      <w:r>
        <w:rPr>
          <w:rFonts w:hint="eastAsia"/>
          <w:sz w:val="18"/>
          <w:szCs w:val="18"/>
          <w:lang w:bidi="ar"/>
        </w:rPr>
        <w:t>GLU level</w:t>
      </w:r>
      <w:r>
        <w:rPr>
          <w:sz w:val="18"/>
          <w:szCs w:val="18"/>
          <w:lang w:bidi="ar"/>
        </w:rPr>
        <w:t>. (</w:t>
      </w:r>
      <w:r>
        <w:rPr>
          <w:rFonts w:hint="eastAsia"/>
          <w:b/>
          <w:bCs/>
          <w:sz w:val="18"/>
          <w:szCs w:val="18"/>
          <w:lang w:bidi="ar"/>
        </w:rPr>
        <w:t>H</w:t>
      </w:r>
      <w:r>
        <w:rPr>
          <w:sz w:val="18"/>
          <w:szCs w:val="18"/>
          <w:lang w:bidi="ar"/>
        </w:rPr>
        <w:t xml:space="preserve">) </w:t>
      </w:r>
      <w:r>
        <w:rPr>
          <w:rFonts w:hint="eastAsia"/>
          <w:sz w:val="18"/>
          <w:szCs w:val="18"/>
          <w:lang w:bidi="ar"/>
        </w:rPr>
        <w:t>TC level</w:t>
      </w:r>
      <w:r>
        <w:rPr>
          <w:sz w:val="18"/>
          <w:szCs w:val="18"/>
          <w:lang w:bidi="ar"/>
        </w:rPr>
        <w:t>.</w:t>
      </w:r>
      <w:r>
        <w:rPr>
          <w:rFonts w:hint="eastAsia"/>
          <w:sz w:val="18"/>
          <w:szCs w:val="18"/>
          <w:lang w:bidi="ar"/>
        </w:rPr>
        <w:t xml:space="preserve"> </w:t>
      </w:r>
      <w:r>
        <w:rPr>
          <w:sz w:val="18"/>
          <w:szCs w:val="18"/>
          <w:lang w:bidi="ar"/>
        </w:rPr>
        <w:t>(</w:t>
      </w:r>
      <w:r>
        <w:rPr>
          <w:rFonts w:hint="eastAsia"/>
          <w:b/>
          <w:bCs/>
          <w:sz w:val="18"/>
          <w:szCs w:val="18"/>
          <w:lang w:bidi="ar"/>
        </w:rPr>
        <w:t>I</w:t>
      </w:r>
      <w:r>
        <w:rPr>
          <w:sz w:val="18"/>
          <w:szCs w:val="18"/>
          <w:lang w:bidi="ar"/>
        </w:rPr>
        <w:t xml:space="preserve">) </w:t>
      </w:r>
      <w:r>
        <w:rPr>
          <w:rFonts w:hint="eastAsia"/>
          <w:sz w:val="18"/>
          <w:szCs w:val="18"/>
          <w:lang w:bidi="ar"/>
        </w:rPr>
        <w:t>TG level</w:t>
      </w:r>
      <w:r>
        <w:rPr>
          <w:sz w:val="18"/>
          <w:szCs w:val="18"/>
          <w:lang w:bidi="ar"/>
        </w:rPr>
        <w:t>.</w:t>
      </w:r>
      <w:r>
        <w:rPr>
          <w:rFonts w:hint="eastAsia"/>
          <w:sz w:val="18"/>
          <w:szCs w:val="18"/>
          <w:lang w:bidi="ar"/>
        </w:rPr>
        <w:t xml:space="preserve"> </w:t>
      </w:r>
      <w:r>
        <w:rPr>
          <w:sz w:val="18"/>
          <w:szCs w:val="18"/>
          <w:lang w:bidi="ar"/>
        </w:rPr>
        <w:t>(</w:t>
      </w:r>
      <w:r>
        <w:rPr>
          <w:rFonts w:hint="eastAsia"/>
          <w:b/>
          <w:bCs/>
          <w:sz w:val="18"/>
          <w:szCs w:val="18"/>
          <w:lang w:bidi="ar"/>
        </w:rPr>
        <w:t>J</w:t>
      </w:r>
      <w:r>
        <w:rPr>
          <w:sz w:val="18"/>
          <w:szCs w:val="18"/>
          <w:lang w:bidi="ar"/>
        </w:rPr>
        <w:t xml:space="preserve">) </w:t>
      </w:r>
      <w:r>
        <w:rPr>
          <w:rFonts w:hint="eastAsia"/>
          <w:sz w:val="18"/>
          <w:szCs w:val="18"/>
          <w:lang w:bidi="ar"/>
        </w:rPr>
        <w:t>HDL-c level</w:t>
      </w:r>
      <w:r>
        <w:rPr>
          <w:sz w:val="18"/>
          <w:szCs w:val="18"/>
          <w:lang w:bidi="ar"/>
        </w:rPr>
        <w:t>.</w:t>
      </w:r>
      <w:r>
        <w:rPr>
          <w:rFonts w:hint="eastAsia"/>
          <w:sz w:val="18"/>
          <w:szCs w:val="18"/>
          <w:lang w:bidi="ar"/>
        </w:rPr>
        <w:t xml:space="preserve"> </w:t>
      </w:r>
      <w:r>
        <w:rPr>
          <w:rFonts w:hint="eastAsia"/>
          <w:snapToGrid w:val="0"/>
          <w:sz w:val="18"/>
          <w:szCs w:val="18"/>
          <w:lang w:bidi="ar"/>
        </w:rPr>
        <w:t>Most of</w:t>
      </w:r>
      <w:r>
        <w:rPr>
          <w:snapToGrid w:val="0"/>
          <w:sz w:val="18"/>
          <w:szCs w:val="18"/>
          <w:lang w:bidi="ar"/>
        </w:rPr>
        <w:t xml:space="preserve"> values were presented as mean ± SD with significance markers of </w:t>
      </w:r>
      <w:r>
        <w:rPr>
          <w:snapToGrid w:val="0"/>
          <w:sz w:val="18"/>
          <w:szCs w:val="18"/>
          <w:vertAlign w:val="superscript"/>
          <w:lang w:bidi="ar"/>
        </w:rPr>
        <w:t>*</w:t>
      </w:r>
      <w:r>
        <w:rPr>
          <w:i/>
          <w:iCs/>
          <w:snapToGrid w:val="0"/>
          <w:sz w:val="18"/>
          <w:szCs w:val="18"/>
          <w:lang w:bidi="ar"/>
        </w:rPr>
        <w:t>P</w:t>
      </w:r>
      <w:r>
        <w:rPr>
          <w:snapToGrid w:val="0"/>
          <w:sz w:val="18"/>
          <w:szCs w:val="18"/>
          <w:lang w:bidi="ar"/>
        </w:rPr>
        <w:t xml:space="preserve"> &lt; 0.05 and </w:t>
      </w:r>
      <w:r>
        <w:rPr>
          <w:snapToGrid w:val="0"/>
          <w:sz w:val="18"/>
          <w:szCs w:val="18"/>
          <w:vertAlign w:val="superscript"/>
          <w:lang w:bidi="ar"/>
        </w:rPr>
        <w:t>**</w:t>
      </w:r>
      <w:r>
        <w:rPr>
          <w:i/>
          <w:iCs/>
          <w:snapToGrid w:val="0"/>
          <w:sz w:val="18"/>
          <w:szCs w:val="18"/>
          <w:lang w:bidi="ar"/>
        </w:rPr>
        <w:t>P</w:t>
      </w:r>
      <w:r>
        <w:rPr>
          <w:snapToGrid w:val="0"/>
          <w:sz w:val="18"/>
          <w:szCs w:val="18"/>
          <w:lang w:bidi="ar"/>
        </w:rPr>
        <w:t xml:space="preserve"> &lt; 0.01</w:t>
      </w:r>
      <w:r>
        <w:rPr>
          <w:rFonts w:hint="eastAsia"/>
          <w:snapToGrid w:val="0"/>
          <w:sz w:val="18"/>
          <w:szCs w:val="18"/>
          <w:lang w:bidi="ar"/>
        </w:rPr>
        <w:t xml:space="preserve"> </w:t>
      </w:r>
      <w:r>
        <w:rPr>
          <w:sz w:val="18"/>
          <w:szCs w:val="18"/>
        </w:rPr>
        <w:t xml:space="preserve">vs </w:t>
      </w:r>
      <w:r>
        <w:rPr>
          <w:rFonts w:hint="eastAsia"/>
          <w:sz w:val="18"/>
          <w:szCs w:val="18"/>
        </w:rPr>
        <w:t>N</w:t>
      </w:r>
      <w:r>
        <w:rPr>
          <w:sz w:val="18"/>
          <w:szCs w:val="18"/>
        </w:rPr>
        <w:t>C group</w:t>
      </w:r>
      <w:r>
        <w:rPr>
          <w:sz w:val="18"/>
          <w:szCs w:val="18"/>
          <w:lang w:bidi="ar"/>
        </w:rPr>
        <w:t>.</w:t>
      </w:r>
      <w:r>
        <w:rPr>
          <w:rFonts w:hint="eastAsia"/>
          <w:sz w:val="18"/>
          <w:szCs w:val="18"/>
          <w:lang w:bidi="ar"/>
        </w:rPr>
        <w:t xml:space="preserve"> </w:t>
      </w:r>
      <w:r>
        <w:rPr>
          <w:sz w:val="18"/>
          <w:szCs w:val="18"/>
        </w:rPr>
        <w:t>(n=</w:t>
      </w:r>
      <w:r>
        <w:rPr>
          <w:rFonts w:hint="eastAsia"/>
          <w:sz w:val="18"/>
          <w:szCs w:val="18"/>
        </w:rPr>
        <w:t>10</w:t>
      </w:r>
      <w:r>
        <w:rPr>
          <w:sz w:val="18"/>
          <w:szCs w:val="18"/>
        </w:rPr>
        <w:t>)</w:t>
      </w:r>
    </w:p>
    <w:p w14:paraId="5A3CAA5C">
      <w:pPr>
        <w:spacing w:line="300" w:lineRule="auto"/>
        <w:ind w:firstLine="360" w:firstLineChars="200"/>
        <w:rPr>
          <w:sz w:val="18"/>
          <w:szCs w:val="18"/>
        </w:rPr>
      </w:pPr>
    </w:p>
    <w:p w14:paraId="64606CE7">
      <w:pPr>
        <w:pStyle w:val="11"/>
        <w:widowControl/>
        <w:adjustRightInd/>
        <w:snapToGrid/>
        <w:spacing w:line="300" w:lineRule="auto"/>
        <w:rPr>
          <w:sz w:val="21"/>
          <w:szCs w:val="21"/>
        </w:rPr>
      </w:pPr>
      <w:r>
        <w:rPr>
          <w:rFonts w:hint="eastAsia" w:eastAsia="宋体"/>
          <w:sz w:val="21"/>
          <w:szCs w:val="21"/>
        </w:rPr>
        <w:t>Conclusion</w:t>
      </w:r>
      <w:r>
        <w:rPr>
          <w:rFonts w:hint="eastAsia"/>
          <w:sz w:val="21"/>
          <w:szCs w:val="21"/>
        </w:rPr>
        <w:t xml:space="preserve"> of 28-day oral toxicity experiment</w:t>
      </w:r>
    </w:p>
    <w:p w14:paraId="623EBFD2">
      <w:pPr>
        <w:spacing w:line="300" w:lineRule="auto"/>
        <w:ind w:firstLine="420" w:firstLineChars="200"/>
        <w:rPr>
          <w:color w:val="000000"/>
          <w:kern w:val="0"/>
          <w:szCs w:val="21"/>
          <w:lang w:bidi="ar"/>
        </w:rPr>
      </w:pPr>
      <w:r>
        <w:rPr>
          <w:rFonts w:hint="eastAsia"/>
          <w:color w:val="000000"/>
          <w:kern w:val="0"/>
          <w:szCs w:val="21"/>
          <w:lang w:bidi="ar"/>
        </w:rPr>
        <w:t>After 28 days of administration of WSF at 12 times the clinical dose for humans, we found that there was no significant difference in food intake, water intake, liver/brain ratio, and serum levels of AST, ALT, GLU, TC, TG, and HDL-c in all mice. Additionally, the body weight of WS mice was significantly higher than that of NC mice, starting from the second week (</w:t>
      </w:r>
      <w:r>
        <w:rPr>
          <w:rFonts w:hint="eastAsia"/>
          <w:i/>
          <w:iCs/>
          <w:color w:val="000000"/>
          <w:kern w:val="0"/>
          <w:szCs w:val="21"/>
          <w:lang w:bidi="ar"/>
        </w:rPr>
        <w:t>P</w:t>
      </w:r>
      <w:r>
        <w:rPr>
          <w:rFonts w:hint="eastAsia"/>
          <w:color w:val="000000"/>
          <w:kern w:val="0"/>
          <w:szCs w:val="21"/>
          <w:lang w:bidi="ar"/>
        </w:rPr>
        <w:t xml:space="preserve"> &lt; 0.05, Student</w:t>
      </w:r>
      <w:r>
        <w:rPr>
          <w:color w:val="000000"/>
          <w:kern w:val="0"/>
          <w:szCs w:val="21"/>
          <w:lang w:bidi="ar"/>
        </w:rPr>
        <w:t>’</w:t>
      </w:r>
      <w:r>
        <w:rPr>
          <w:rFonts w:hint="eastAsia"/>
          <w:color w:val="000000"/>
          <w:kern w:val="0"/>
          <w:szCs w:val="21"/>
          <w:lang w:bidi="ar"/>
        </w:rPr>
        <w:t>s t-test). It is speculated that this may be related to the relatively high initial body weight of the WS mice or that WSF improves their metabolic efficiency. The specific mechanism still requires further study on the activities of enzymes related to glycolipid metabolism.</w:t>
      </w:r>
    </w:p>
    <w:p w14:paraId="1C51B654">
      <w:pPr>
        <w:spacing w:line="300" w:lineRule="auto"/>
        <w:ind w:firstLine="420" w:firstLineChars="200"/>
        <w:rPr>
          <w:b/>
          <w:bCs/>
          <w:kern w:val="0"/>
          <w:sz w:val="18"/>
          <w:szCs w:val="18"/>
          <w:lang w:bidi="ar"/>
        </w:rPr>
      </w:pPr>
      <w:r>
        <w:rPr>
          <w:rFonts w:hint="eastAsia"/>
          <w:color w:val="000000"/>
          <w:kern w:val="0"/>
          <w:szCs w:val="21"/>
          <w:lang w:bidi="ar"/>
        </w:rPr>
        <w:t xml:space="preserve">In conclusion, </w:t>
      </w:r>
      <w:r>
        <w:rPr>
          <w:rFonts w:hint="eastAsia"/>
          <w:b/>
          <w:bCs/>
          <w:color w:val="000000"/>
          <w:kern w:val="0"/>
          <w:szCs w:val="21"/>
          <w:lang w:bidi="ar"/>
        </w:rPr>
        <w:t>WSF has no significant toxic effect on normal mice at 12 times the clinical dose for humans</w:t>
      </w:r>
      <w:r>
        <w:rPr>
          <w:rFonts w:hint="eastAsia"/>
          <w:color w:val="000000"/>
          <w:kern w:val="0"/>
          <w:szCs w:val="21"/>
          <w:lang w:bidi="ar"/>
        </w:rPr>
        <w:t>.</w:t>
      </w:r>
      <w:r>
        <w:rPr>
          <w:b/>
          <w:bCs/>
          <w:kern w:val="0"/>
          <w:sz w:val="18"/>
          <w:szCs w:val="18"/>
          <w:lang w:bidi="ar"/>
        </w:rPr>
        <w:br w:type="page"/>
      </w:r>
    </w:p>
    <w:p w14:paraId="05CC8298">
      <w:pPr>
        <w:autoSpaceDE w:val="0"/>
        <w:autoSpaceDN w:val="0"/>
        <w:spacing w:line="300" w:lineRule="auto"/>
        <w:rPr>
          <w:kern w:val="0"/>
          <w:sz w:val="18"/>
          <w:szCs w:val="18"/>
          <w:lang w:bidi="ar"/>
        </w:rPr>
      </w:pPr>
      <w:r>
        <w:rPr>
          <w:b/>
          <w:bCs/>
          <w:kern w:val="0"/>
          <w:sz w:val="18"/>
          <w:szCs w:val="18"/>
          <w:lang w:bidi="ar"/>
        </w:rPr>
        <w:t>Table.</w:t>
      </w:r>
      <w:r>
        <w:rPr>
          <w:rFonts w:hint="eastAsia"/>
          <w:b/>
          <w:bCs/>
          <w:kern w:val="0"/>
          <w:sz w:val="18"/>
          <w:szCs w:val="18"/>
          <w:lang w:bidi="ar"/>
        </w:rPr>
        <w:t>S3</w:t>
      </w:r>
      <w:r>
        <w:rPr>
          <w:b/>
          <w:bCs/>
          <w:kern w:val="0"/>
          <w:sz w:val="18"/>
          <w:szCs w:val="18"/>
          <w:lang w:bidi="ar"/>
        </w:rPr>
        <w:t xml:space="preserve"> </w:t>
      </w:r>
      <w:r>
        <w:rPr>
          <w:kern w:val="0"/>
          <w:sz w:val="18"/>
          <w:szCs w:val="18"/>
          <w:lang w:bidi="ar"/>
        </w:rPr>
        <w:t>Tissue dehydration procedure</w:t>
      </w:r>
    </w:p>
    <w:tbl>
      <w:tblPr>
        <w:tblStyle w:val="10"/>
        <w:tblW w:w="4653"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560"/>
        <w:gridCol w:w="2269"/>
        <w:gridCol w:w="1134"/>
        <w:gridCol w:w="565"/>
        <w:gridCol w:w="2269"/>
        <w:gridCol w:w="1134"/>
      </w:tblGrid>
      <w:tr w14:paraId="2B88E2F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53" w:type="pct"/>
            <w:tcBorders>
              <w:top w:val="single" w:color="auto" w:sz="12" w:space="0"/>
              <w:left w:val="nil"/>
              <w:bottom w:val="single" w:color="auto" w:sz="8" w:space="0"/>
              <w:right w:val="nil"/>
            </w:tcBorders>
            <w:shd w:val="clear" w:color="auto" w:fill="auto"/>
            <w:vAlign w:val="center"/>
          </w:tcPr>
          <w:p w14:paraId="11BABF0A">
            <w:pPr>
              <w:autoSpaceDE w:val="0"/>
              <w:autoSpaceDN w:val="0"/>
              <w:spacing w:line="300" w:lineRule="auto"/>
              <w:jc w:val="center"/>
              <w:rPr>
                <w:rFonts w:eastAsia="Times New Roman"/>
                <w:b/>
                <w:bCs/>
                <w:kern w:val="0"/>
                <w:sz w:val="18"/>
                <w:szCs w:val="18"/>
              </w:rPr>
            </w:pPr>
            <w:r>
              <w:rPr>
                <w:rFonts w:eastAsia="Times New Roman"/>
                <w:b/>
                <w:bCs/>
                <w:kern w:val="0"/>
                <w:sz w:val="18"/>
                <w:szCs w:val="18"/>
              </w:rPr>
              <w:t>No.</w:t>
            </w:r>
          </w:p>
        </w:tc>
        <w:tc>
          <w:tcPr>
            <w:tcW w:w="1429" w:type="pct"/>
            <w:tcBorders>
              <w:top w:val="single" w:color="auto" w:sz="12" w:space="0"/>
              <w:left w:val="nil"/>
              <w:bottom w:val="single" w:color="auto" w:sz="8" w:space="0"/>
              <w:right w:val="nil"/>
            </w:tcBorders>
            <w:shd w:val="clear" w:color="auto" w:fill="auto"/>
            <w:vAlign w:val="center"/>
          </w:tcPr>
          <w:p w14:paraId="443F907D">
            <w:pPr>
              <w:autoSpaceDE w:val="0"/>
              <w:autoSpaceDN w:val="0"/>
              <w:spacing w:line="300" w:lineRule="auto"/>
              <w:jc w:val="center"/>
              <w:rPr>
                <w:rFonts w:eastAsia="Times New Roman"/>
                <w:b/>
                <w:bCs/>
                <w:kern w:val="0"/>
                <w:sz w:val="18"/>
                <w:szCs w:val="18"/>
              </w:rPr>
            </w:pPr>
            <w:r>
              <w:rPr>
                <w:rFonts w:eastAsia="Times New Roman"/>
                <w:b/>
                <w:bCs/>
                <w:kern w:val="0"/>
                <w:sz w:val="18"/>
                <w:szCs w:val="18"/>
              </w:rPr>
              <w:t>Procedure</w:t>
            </w:r>
          </w:p>
        </w:tc>
        <w:tc>
          <w:tcPr>
            <w:tcW w:w="714" w:type="pct"/>
            <w:tcBorders>
              <w:top w:val="single" w:color="auto" w:sz="12" w:space="0"/>
              <w:left w:val="nil"/>
              <w:bottom w:val="single" w:color="auto" w:sz="8" w:space="0"/>
              <w:right w:val="nil"/>
            </w:tcBorders>
            <w:shd w:val="clear" w:color="auto" w:fill="auto"/>
            <w:vAlign w:val="center"/>
          </w:tcPr>
          <w:p w14:paraId="5596EB8B">
            <w:pPr>
              <w:autoSpaceDE w:val="0"/>
              <w:autoSpaceDN w:val="0"/>
              <w:spacing w:line="300" w:lineRule="auto"/>
              <w:jc w:val="center"/>
              <w:rPr>
                <w:rFonts w:eastAsia="Times New Roman"/>
                <w:b/>
                <w:bCs/>
                <w:kern w:val="0"/>
                <w:sz w:val="18"/>
                <w:szCs w:val="18"/>
              </w:rPr>
            </w:pPr>
            <w:r>
              <w:rPr>
                <w:rFonts w:eastAsia="Times New Roman"/>
                <w:b/>
                <w:bCs/>
                <w:kern w:val="0"/>
                <w:sz w:val="18"/>
                <w:szCs w:val="18"/>
              </w:rPr>
              <w:t>Time</w:t>
            </w:r>
          </w:p>
        </w:tc>
        <w:tc>
          <w:tcPr>
            <w:tcW w:w="356" w:type="pct"/>
            <w:tcBorders>
              <w:top w:val="single" w:color="auto" w:sz="12" w:space="0"/>
              <w:left w:val="nil"/>
              <w:bottom w:val="single" w:color="auto" w:sz="8" w:space="0"/>
              <w:right w:val="nil"/>
            </w:tcBorders>
            <w:shd w:val="clear" w:color="auto" w:fill="auto"/>
            <w:vAlign w:val="center"/>
          </w:tcPr>
          <w:p w14:paraId="19D70F10">
            <w:pPr>
              <w:autoSpaceDE w:val="0"/>
              <w:autoSpaceDN w:val="0"/>
              <w:spacing w:line="300" w:lineRule="auto"/>
              <w:jc w:val="center"/>
              <w:rPr>
                <w:rFonts w:eastAsia="Times New Roman"/>
                <w:b/>
                <w:bCs/>
                <w:kern w:val="0"/>
                <w:sz w:val="18"/>
                <w:szCs w:val="18"/>
                <w:lang w:bidi="ar-SA"/>
              </w:rPr>
            </w:pPr>
            <w:r>
              <w:rPr>
                <w:rFonts w:eastAsia="Times New Roman"/>
                <w:b/>
                <w:bCs/>
                <w:kern w:val="0"/>
                <w:sz w:val="18"/>
                <w:szCs w:val="18"/>
              </w:rPr>
              <w:t>No.</w:t>
            </w:r>
          </w:p>
        </w:tc>
        <w:tc>
          <w:tcPr>
            <w:tcW w:w="1429" w:type="pct"/>
            <w:tcBorders>
              <w:top w:val="single" w:color="auto" w:sz="12" w:space="0"/>
              <w:left w:val="nil"/>
              <w:bottom w:val="single" w:color="auto" w:sz="8" w:space="0"/>
              <w:right w:val="nil"/>
            </w:tcBorders>
            <w:shd w:val="clear" w:color="auto" w:fill="auto"/>
            <w:vAlign w:val="center"/>
          </w:tcPr>
          <w:p w14:paraId="6A698AF0">
            <w:pPr>
              <w:autoSpaceDE w:val="0"/>
              <w:autoSpaceDN w:val="0"/>
              <w:spacing w:line="300" w:lineRule="auto"/>
              <w:jc w:val="center"/>
              <w:rPr>
                <w:rFonts w:eastAsia="Times New Roman"/>
                <w:b/>
                <w:bCs/>
                <w:kern w:val="0"/>
                <w:sz w:val="18"/>
                <w:szCs w:val="18"/>
              </w:rPr>
            </w:pPr>
            <w:r>
              <w:rPr>
                <w:rFonts w:eastAsia="Times New Roman"/>
                <w:b/>
                <w:bCs/>
                <w:kern w:val="0"/>
                <w:sz w:val="18"/>
                <w:szCs w:val="18"/>
              </w:rPr>
              <w:t>Procedure</w:t>
            </w:r>
          </w:p>
        </w:tc>
        <w:tc>
          <w:tcPr>
            <w:tcW w:w="714" w:type="pct"/>
            <w:tcBorders>
              <w:top w:val="single" w:color="auto" w:sz="12" w:space="0"/>
              <w:left w:val="nil"/>
              <w:bottom w:val="single" w:color="auto" w:sz="8" w:space="0"/>
              <w:right w:val="nil"/>
            </w:tcBorders>
            <w:shd w:val="clear" w:color="auto" w:fill="auto"/>
            <w:vAlign w:val="center"/>
          </w:tcPr>
          <w:p w14:paraId="6E0406E1">
            <w:pPr>
              <w:autoSpaceDE w:val="0"/>
              <w:autoSpaceDN w:val="0"/>
              <w:spacing w:line="300" w:lineRule="auto"/>
              <w:jc w:val="center"/>
              <w:rPr>
                <w:rFonts w:eastAsia="Times New Roman"/>
                <w:b/>
                <w:bCs/>
                <w:kern w:val="0"/>
                <w:sz w:val="18"/>
                <w:szCs w:val="18"/>
              </w:rPr>
            </w:pPr>
            <w:r>
              <w:rPr>
                <w:rFonts w:eastAsia="Times New Roman"/>
                <w:b/>
                <w:bCs/>
                <w:kern w:val="0"/>
                <w:sz w:val="18"/>
                <w:szCs w:val="18"/>
              </w:rPr>
              <w:t>Time</w:t>
            </w:r>
          </w:p>
        </w:tc>
      </w:tr>
      <w:tr w14:paraId="7D4224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53" w:type="pct"/>
            <w:tcBorders>
              <w:top w:val="nil"/>
              <w:left w:val="nil"/>
              <w:bottom w:val="nil"/>
              <w:right w:val="nil"/>
            </w:tcBorders>
            <w:shd w:val="clear" w:color="auto" w:fill="auto"/>
            <w:vAlign w:val="center"/>
          </w:tcPr>
          <w:p w14:paraId="3D772579">
            <w:pPr>
              <w:autoSpaceDE w:val="0"/>
              <w:autoSpaceDN w:val="0"/>
              <w:spacing w:line="300" w:lineRule="auto"/>
              <w:jc w:val="center"/>
              <w:rPr>
                <w:rFonts w:eastAsia="Times New Roman"/>
                <w:kern w:val="0"/>
                <w:sz w:val="18"/>
                <w:szCs w:val="18"/>
              </w:rPr>
            </w:pPr>
            <w:r>
              <w:rPr>
                <w:rFonts w:eastAsia="Times New Roman"/>
                <w:kern w:val="0"/>
                <w:sz w:val="18"/>
                <w:szCs w:val="18"/>
              </w:rPr>
              <w:t>1</w:t>
            </w:r>
          </w:p>
        </w:tc>
        <w:tc>
          <w:tcPr>
            <w:tcW w:w="1429" w:type="pct"/>
            <w:tcBorders>
              <w:top w:val="nil"/>
              <w:left w:val="nil"/>
              <w:bottom w:val="nil"/>
              <w:right w:val="nil"/>
            </w:tcBorders>
            <w:shd w:val="clear" w:color="auto" w:fill="auto"/>
            <w:vAlign w:val="center"/>
          </w:tcPr>
          <w:p w14:paraId="1EE55858">
            <w:pPr>
              <w:autoSpaceDE w:val="0"/>
              <w:autoSpaceDN w:val="0"/>
              <w:spacing w:line="300" w:lineRule="auto"/>
              <w:jc w:val="center"/>
              <w:rPr>
                <w:rFonts w:eastAsia="Times New Roman"/>
                <w:kern w:val="0"/>
                <w:sz w:val="18"/>
                <w:szCs w:val="18"/>
              </w:rPr>
            </w:pPr>
            <w:r>
              <w:rPr>
                <w:rFonts w:eastAsia="Times New Roman"/>
                <w:kern w:val="0"/>
                <w:sz w:val="18"/>
                <w:szCs w:val="18"/>
              </w:rPr>
              <w:t>50% Ethanol</w:t>
            </w:r>
          </w:p>
        </w:tc>
        <w:tc>
          <w:tcPr>
            <w:tcW w:w="714" w:type="pct"/>
            <w:tcBorders>
              <w:top w:val="nil"/>
              <w:left w:val="nil"/>
              <w:bottom w:val="nil"/>
              <w:right w:val="nil"/>
            </w:tcBorders>
            <w:shd w:val="clear" w:color="auto" w:fill="auto"/>
            <w:vAlign w:val="center"/>
          </w:tcPr>
          <w:p w14:paraId="5F7AE316">
            <w:pPr>
              <w:autoSpaceDE w:val="0"/>
              <w:autoSpaceDN w:val="0"/>
              <w:spacing w:line="300" w:lineRule="auto"/>
              <w:jc w:val="center"/>
              <w:rPr>
                <w:rFonts w:eastAsia="Times New Roman"/>
                <w:kern w:val="0"/>
                <w:sz w:val="18"/>
                <w:szCs w:val="18"/>
              </w:rPr>
            </w:pPr>
            <w:r>
              <w:rPr>
                <w:rFonts w:eastAsia="Times New Roman"/>
                <w:kern w:val="0"/>
                <w:sz w:val="18"/>
                <w:szCs w:val="18"/>
              </w:rPr>
              <w:t>60 min</w:t>
            </w:r>
          </w:p>
        </w:tc>
        <w:tc>
          <w:tcPr>
            <w:tcW w:w="356" w:type="pct"/>
            <w:tcBorders>
              <w:top w:val="nil"/>
              <w:left w:val="nil"/>
              <w:bottom w:val="nil"/>
              <w:right w:val="nil"/>
            </w:tcBorders>
            <w:shd w:val="clear" w:color="auto" w:fill="auto"/>
            <w:vAlign w:val="center"/>
          </w:tcPr>
          <w:p w14:paraId="0866A8E6">
            <w:pPr>
              <w:autoSpaceDE w:val="0"/>
              <w:autoSpaceDN w:val="0"/>
              <w:spacing w:line="300" w:lineRule="auto"/>
              <w:jc w:val="center"/>
              <w:rPr>
                <w:rFonts w:eastAsia="Times New Roman"/>
                <w:kern w:val="0"/>
                <w:sz w:val="18"/>
                <w:szCs w:val="18"/>
              </w:rPr>
            </w:pPr>
            <w:r>
              <w:rPr>
                <w:rFonts w:eastAsia="Times New Roman"/>
                <w:kern w:val="0"/>
                <w:sz w:val="18"/>
                <w:szCs w:val="18"/>
              </w:rPr>
              <w:t>7</w:t>
            </w:r>
          </w:p>
        </w:tc>
        <w:tc>
          <w:tcPr>
            <w:tcW w:w="1429" w:type="pct"/>
            <w:tcBorders>
              <w:top w:val="nil"/>
              <w:left w:val="nil"/>
              <w:bottom w:val="nil"/>
              <w:right w:val="nil"/>
            </w:tcBorders>
            <w:shd w:val="clear" w:color="auto" w:fill="auto"/>
            <w:vAlign w:val="center"/>
          </w:tcPr>
          <w:p w14:paraId="656A343A">
            <w:pPr>
              <w:autoSpaceDE w:val="0"/>
              <w:autoSpaceDN w:val="0"/>
              <w:spacing w:line="300" w:lineRule="auto"/>
              <w:jc w:val="center"/>
              <w:rPr>
                <w:rFonts w:eastAsia="Times New Roman"/>
                <w:kern w:val="0"/>
                <w:sz w:val="18"/>
                <w:szCs w:val="18"/>
              </w:rPr>
            </w:pPr>
            <w:r>
              <w:rPr>
                <w:rFonts w:eastAsia="Times New Roman"/>
                <w:kern w:val="0"/>
                <w:sz w:val="18"/>
                <w:szCs w:val="18"/>
              </w:rPr>
              <w:t>Anhydrous ethanol II</w:t>
            </w:r>
          </w:p>
        </w:tc>
        <w:tc>
          <w:tcPr>
            <w:tcW w:w="714" w:type="pct"/>
            <w:tcBorders>
              <w:top w:val="nil"/>
              <w:left w:val="nil"/>
              <w:bottom w:val="nil"/>
              <w:right w:val="nil"/>
            </w:tcBorders>
            <w:shd w:val="clear" w:color="auto" w:fill="auto"/>
            <w:vAlign w:val="center"/>
          </w:tcPr>
          <w:p w14:paraId="36628983">
            <w:pPr>
              <w:autoSpaceDE w:val="0"/>
              <w:autoSpaceDN w:val="0"/>
              <w:spacing w:line="300" w:lineRule="auto"/>
              <w:jc w:val="center"/>
              <w:rPr>
                <w:rFonts w:eastAsia="Times New Roman"/>
                <w:kern w:val="0"/>
                <w:sz w:val="18"/>
                <w:szCs w:val="18"/>
              </w:rPr>
            </w:pPr>
            <w:r>
              <w:rPr>
                <w:rFonts w:eastAsia="Times New Roman"/>
                <w:kern w:val="0"/>
                <w:sz w:val="18"/>
                <w:szCs w:val="18"/>
              </w:rPr>
              <w:t>30 min</w:t>
            </w:r>
          </w:p>
        </w:tc>
      </w:tr>
      <w:tr w14:paraId="218B52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53" w:type="pct"/>
            <w:tcBorders>
              <w:top w:val="nil"/>
              <w:left w:val="nil"/>
              <w:bottom w:val="nil"/>
              <w:right w:val="nil"/>
            </w:tcBorders>
            <w:shd w:val="clear" w:color="auto" w:fill="auto"/>
            <w:vAlign w:val="center"/>
          </w:tcPr>
          <w:p w14:paraId="6D7B7E00">
            <w:pPr>
              <w:autoSpaceDE w:val="0"/>
              <w:autoSpaceDN w:val="0"/>
              <w:spacing w:line="300" w:lineRule="auto"/>
              <w:jc w:val="center"/>
              <w:rPr>
                <w:rFonts w:eastAsia="Times New Roman"/>
                <w:kern w:val="0"/>
                <w:sz w:val="18"/>
                <w:szCs w:val="18"/>
              </w:rPr>
            </w:pPr>
            <w:r>
              <w:rPr>
                <w:rFonts w:eastAsia="Times New Roman"/>
                <w:kern w:val="0"/>
                <w:sz w:val="18"/>
                <w:szCs w:val="18"/>
              </w:rPr>
              <w:t>2</w:t>
            </w:r>
          </w:p>
        </w:tc>
        <w:tc>
          <w:tcPr>
            <w:tcW w:w="1429" w:type="pct"/>
            <w:tcBorders>
              <w:top w:val="nil"/>
              <w:left w:val="nil"/>
              <w:bottom w:val="nil"/>
              <w:right w:val="nil"/>
            </w:tcBorders>
            <w:shd w:val="clear" w:color="auto" w:fill="auto"/>
            <w:vAlign w:val="center"/>
          </w:tcPr>
          <w:p w14:paraId="359DA622">
            <w:pPr>
              <w:autoSpaceDE w:val="0"/>
              <w:autoSpaceDN w:val="0"/>
              <w:spacing w:line="300" w:lineRule="auto"/>
              <w:jc w:val="center"/>
              <w:rPr>
                <w:rFonts w:eastAsia="Times New Roman"/>
                <w:kern w:val="0"/>
                <w:sz w:val="18"/>
                <w:szCs w:val="18"/>
              </w:rPr>
            </w:pPr>
            <w:r>
              <w:rPr>
                <w:rFonts w:eastAsia="Times New Roman"/>
                <w:kern w:val="0"/>
                <w:sz w:val="18"/>
                <w:szCs w:val="18"/>
              </w:rPr>
              <w:t>75% Ethanol</w:t>
            </w:r>
          </w:p>
        </w:tc>
        <w:tc>
          <w:tcPr>
            <w:tcW w:w="714" w:type="pct"/>
            <w:tcBorders>
              <w:top w:val="nil"/>
              <w:left w:val="nil"/>
              <w:bottom w:val="nil"/>
              <w:right w:val="nil"/>
            </w:tcBorders>
            <w:shd w:val="clear" w:color="auto" w:fill="auto"/>
            <w:vAlign w:val="center"/>
          </w:tcPr>
          <w:p w14:paraId="7BFB41FC">
            <w:pPr>
              <w:autoSpaceDE w:val="0"/>
              <w:autoSpaceDN w:val="0"/>
              <w:spacing w:line="300" w:lineRule="auto"/>
              <w:jc w:val="center"/>
              <w:rPr>
                <w:rFonts w:eastAsia="Times New Roman"/>
                <w:kern w:val="0"/>
                <w:sz w:val="18"/>
                <w:szCs w:val="18"/>
              </w:rPr>
            </w:pPr>
            <w:r>
              <w:rPr>
                <w:rFonts w:eastAsia="Times New Roman"/>
                <w:kern w:val="0"/>
                <w:sz w:val="18"/>
                <w:szCs w:val="18"/>
              </w:rPr>
              <w:t>60 min</w:t>
            </w:r>
          </w:p>
        </w:tc>
        <w:tc>
          <w:tcPr>
            <w:tcW w:w="356" w:type="pct"/>
            <w:tcBorders>
              <w:top w:val="nil"/>
              <w:left w:val="nil"/>
              <w:bottom w:val="nil"/>
              <w:right w:val="nil"/>
            </w:tcBorders>
            <w:shd w:val="clear" w:color="auto" w:fill="auto"/>
            <w:vAlign w:val="center"/>
          </w:tcPr>
          <w:p w14:paraId="711F665E">
            <w:pPr>
              <w:autoSpaceDE w:val="0"/>
              <w:autoSpaceDN w:val="0"/>
              <w:spacing w:line="300" w:lineRule="auto"/>
              <w:jc w:val="center"/>
              <w:rPr>
                <w:rFonts w:eastAsia="Times New Roman"/>
                <w:kern w:val="0"/>
                <w:sz w:val="18"/>
                <w:szCs w:val="18"/>
              </w:rPr>
            </w:pPr>
            <w:r>
              <w:rPr>
                <w:rFonts w:eastAsia="Times New Roman"/>
                <w:kern w:val="0"/>
                <w:sz w:val="18"/>
                <w:szCs w:val="18"/>
              </w:rPr>
              <w:t>8</w:t>
            </w:r>
          </w:p>
        </w:tc>
        <w:tc>
          <w:tcPr>
            <w:tcW w:w="1429" w:type="pct"/>
            <w:tcBorders>
              <w:top w:val="nil"/>
              <w:left w:val="nil"/>
              <w:bottom w:val="nil"/>
              <w:right w:val="nil"/>
            </w:tcBorders>
            <w:shd w:val="clear" w:color="auto" w:fill="auto"/>
            <w:vAlign w:val="center"/>
          </w:tcPr>
          <w:p w14:paraId="5CA70DDF">
            <w:pPr>
              <w:autoSpaceDE w:val="0"/>
              <w:autoSpaceDN w:val="0"/>
              <w:spacing w:line="300" w:lineRule="auto"/>
              <w:jc w:val="center"/>
              <w:rPr>
                <w:rFonts w:eastAsia="Times New Roman"/>
                <w:kern w:val="0"/>
                <w:sz w:val="18"/>
                <w:szCs w:val="18"/>
              </w:rPr>
            </w:pPr>
            <w:r>
              <w:rPr>
                <w:rFonts w:eastAsia="Times New Roman"/>
                <w:kern w:val="0"/>
                <w:sz w:val="18"/>
                <w:szCs w:val="18"/>
              </w:rPr>
              <w:t>Anhydrous ethanol : Dimethylbenzene = 1 : 1</w:t>
            </w:r>
          </w:p>
        </w:tc>
        <w:tc>
          <w:tcPr>
            <w:tcW w:w="714" w:type="pct"/>
            <w:tcBorders>
              <w:top w:val="nil"/>
              <w:left w:val="nil"/>
              <w:bottom w:val="nil"/>
              <w:right w:val="nil"/>
            </w:tcBorders>
            <w:shd w:val="clear" w:color="auto" w:fill="auto"/>
            <w:vAlign w:val="center"/>
          </w:tcPr>
          <w:p w14:paraId="0FCC093E">
            <w:pPr>
              <w:autoSpaceDE w:val="0"/>
              <w:autoSpaceDN w:val="0"/>
              <w:spacing w:line="300" w:lineRule="auto"/>
              <w:jc w:val="center"/>
              <w:rPr>
                <w:rFonts w:eastAsia="Times New Roman"/>
                <w:kern w:val="0"/>
                <w:sz w:val="18"/>
                <w:szCs w:val="18"/>
              </w:rPr>
            </w:pPr>
            <w:r>
              <w:rPr>
                <w:rFonts w:eastAsia="Times New Roman"/>
                <w:kern w:val="0"/>
                <w:sz w:val="18"/>
                <w:szCs w:val="18"/>
              </w:rPr>
              <w:t>15 min</w:t>
            </w:r>
          </w:p>
        </w:tc>
      </w:tr>
      <w:tr w14:paraId="1CC41C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53" w:type="pct"/>
            <w:tcBorders>
              <w:top w:val="nil"/>
              <w:left w:val="nil"/>
              <w:bottom w:val="nil"/>
              <w:right w:val="nil"/>
            </w:tcBorders>
            <w:shd w:val="clear" w:color="auto" w:fill="auto"/>
            <w:vAlign w:val="center"/>
          </w:tcPr>
          <w:p w14:paraId="78DDAE6A">
            <w:pPr>
              <w:autoSpaceDE w:val="0"/>
              <w:autoSpaceDN w:val="0"/>
              <w:spacing w:line="300" w:lineRule="auto"/>
              <w:jc w:val="center"/>
              <w:rPr>
                <w:rFonts w:eastAsia="Times New Roman"/>
                <w:kern w:val="0"/>
                <w:sz w:val="18"/>
                <w:szCs w:val="18"/>
              </w:rPr>
            </w:pPr>
            <w:r>
              <w:rPr>
                <w:rFonts w:eastAsia="Times New Roman"/>
                <w:kern w:val="0"/>
                <w:sz w:val="18"/>
                <w:szCs w:val="18"/>
              </w:rPr>
              <w:t>3</w:t>
            </w:r>
          </w:p>
        </w:tc>
        <w:tc>
          <w:tcPr>
            <w:tcW w:w="1429" w:type="pct"/>
            <w:tcBorders>
              <w:top w:val="nil"/>
              <w:left w:val="nil"/>
              <w:bottom w:val="nil"/>
              <w:right w:val="nil"/>
            </w:tcBorders>
            <w:shd w:val="clear" w:color="auto" w:fill="auto"/>
            <w:vAlign w:val="center"/>
          </w:tcPr>
          <w:p w14:paraId="6B791FAD">
            <w:pPr>
              <w:autoSpaceDE w:val="0"/>
              <w:autoSpaceDN w:val="0"/>
              <w:spacing w:line="300" w:lineRule="auto"/>
              <w:jc w:val="center"/>
              <w:rPr>
                <w:rFonts w:eastAsia="Times New Roman"/>
                <w:kern w:val="0"/>
                <w:sz w:val="18"/>
                <w:szCs w:val="18"/>
              </w:rPr>
            </w:pPr>
            <w:r>
              <w:rPr>
                <w:rFonts w:eastAsia="Times New Roman"/>
                <w:kern w:val="0"/>
                <w:sz w:val="18"/>
                <w:szCs w:val="18"/>
              </w:rPr>
              <w:t>85% Ethanol</w:t>
            </w:r>
          </w:p>
        </w:tc>
        <w:tc>
          <w:tcPr>
            <w:tcW w:w="714" w:type="pct"/>
            <w:tcBorders>
              <w:top w:val="nil"/>
              <w:left w:val="nil"/>
              <w:bottom w:val="nil"/>
              <w:right w:val="nil"/>
            </w:tcBorders>
            <w:shd w:val="clear" w:color="auto" w:fill="auto"/>
            <w:vAlign w:val="center"/>
          </w:tcPr>
          <w:p w14:paraId="20C123C4">
            <w:pPr>
              <w:autoSpaceDE w:val="0"/>
              <w:autoSpaceDN w:val="0"/>
              <w:spacing w:line="300" w:lineRule="auto"/>
              <w:jc w:val="center"/>
              <w:rPr>
                <w:rFonts w:eastAsia="Times New Roman"/>
                <w:kern w:val="0"/>
                <w:sz w:val="18"/>
                <w:szCs w:val="18"/>
              </w:rPr>
            </w:pPr>
            <w:r>
              <w:rPr>
                <w:rFonts w:eastAsia="Times New Roman"/>
                <w:kern w:val="0"/>
                <w:sz w:val="18"/>
                <w:szCs w:val="18"/>
              </w:rPr>
              <w:t>60 min</w:t>
            </w:r>
          </w:p>
        </w:tc>
        <w:tc>
          <w:tcPr>
            <w:tcW w:w="356" w:type="pct"/>
            <w:tcBorders>
              <w:top w:val="nil"/>
              <w:left w:val="nil"/>
              <w:bottom w:val="nil"/>
              <w:right w:val="nil"/>
            </w:tcBorders>
            <w:shd w:val="clear" w:color="auto" w:fill="auto"/>
            <w:vAlign w:val="center"/>
          </w:tcPr>
          <w:p w14:paraId="2C85C9AE">
            <w:pPr>
              <w:autoSpaceDE w:val="0"/>
              <w:autoSpaceDN w:val="0"/>
              <w:spacing w:line="300" w:lineRule="auto"/>
              <w:jc w:val="center"/>
              <w:rPr>
                <w:rFonts w:eastAsia="Times New Roman"/>
                <w:kern w:val="0"/>
                <w:sz w:val="18"/>
                <w:szCs w:val="18"/>
              </w:rPr>
            </w:pPr>
            <w:r>
              <w:rPr>
                <w:rFonts w:eastAsia="Times New Roman"/>
                <w:kern w:val="0"/>
                <w:sz w:val="18"/>
                <w:szCs w:val="18"/>
              </w:rPr>
              <w:t>9</w:t>
            </w:r>
          </w:p>
        </w:tc>
        <w:tc>
          <w:tcPr>
            <w:tcW w:w="1429" w:type="pct"/>
            <w:tcBorders>
              <w:top w:val="nil"/>
              <w:left w:val="nil"/>
              <w:bottom w:val="nil"/>
              <w:right w:val="nil"/>
            </w:tcBorders>
            <w:shd w:val="clear" w:color="auto" w:fill="auto"/>
            <w:vAlign w:val="center"/>
          </w:tcPr>
          <w:p w14:paraId="2396E9E3">
            <w:pPr>
              <w:autoSpaceDE w:val="0"/>
              <w:autoSpaceDN w:val="0"/>
              <w:spacing w:line="300" w:lineRule="auto"/>
              <w:jc w:val="center"/>
              <w:rPr>
                <w:rFonts w:eastAsia="Times New Roman"/>
                <w:kern w:val="0"/>
                <w:sz w:val="18"/>
                <w:szCs w:val="18"/>
              </w:rPr>
            </w:pPr>
            <w:r>
              <w:rPr>
                <w:rFonts w:eastAsia="Times New Roman"/>
                <w:kern w:val="0"/>
                <w:sz w:val="18"/>
                <w:szCs w:val="18"/>
              </w:rPr>
              <w:t>Dimethylbenzene I</w:t>
            </w:r>
          </w:p>
        </w:tc>
        <w:tc>
          <w:tcPr>
            <w:tcW w:w="714" w:type="pct"/>
            <w:tcBorders>
              <w:top w:val="nil"/>
              <w:left w:val="nil"/>
              <w:bottom w:val="nil"/>
              <w:right w:val="nil"/>
            </w:tcBorders>
            <w:shd w:val="clear" w:color="auto" w:fill="auto"/>
            <w:vAlign w:val="center"/>
          </w:tcPr>
          <w:p w14:paraId="6F975C7D">
            <w:pPr>
              <w:autoSpaceDE w:val="0"/>
              <w:autoSpaceDN w:val="0"/>
              <w:spacing w:line="300" w:lineRule="auto"/>
              <w:jc w:val="center"/>
              <w:rPr>
                <w:rFonts w:eastAsia="Times New Roman"/>
                <w:kern w:val="0"/>
                <w:sz w:val="18"/>
                <w:szCs w:val="18"/>
              </w:rPr>
            </w:pPr>
            <w:r>
              <w:rPr>
                <w:rFonts w:eastAsia="Times New Roman"/>
                <w:kern w:val="0"/>
                <w:sz w:val="18"/>
                <w:szCs w:val="18"/>
              </w:rPr>
              <w:t>10 min</w:t>
            </w:r>
          </w:p>
        </w:tc>
      </w:tr>
      <w:tr w14:paraId="3F460D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53" w:type="pct"/>
            <w:tcBorders>
              <w:top w:val="nil"/>
              <w:left w:val="nil"/>
              <w:bottom w:val="nil"/>
              <w:right w:val="nil"/>
            </w:tcBorders>
            <w:shd w:val="clear" w:color="auto" w:fill="auto"/>
            <w:vAlign w:val="center"/>
          </w:tcPr>
          <w:p w14:paraId="2A72F7C1">
            <w:pPr>
              <w:autoSpaceDE w:val="0"/>
              <w:autoSpaceDN w:val="0"/>
              <w:spacing w:line="300" w:lineRule="auto"/>
              <w:jc w:val="center"/>
              <w:rPr>
                <w:rFonts w:eastAsia="Times New Roman"/>
                <w:kern w:val="0"/>
                <w:sz w:val="18"/>
                <w:szCs w:val="18"/>
              </w:rPr>
            </w:pPr>
            <w:r>
              <w:rPr>
                <w:rFonts w:eastAsia="Times New Roman"/>
                <w:kern w:val="0"/>
                <w:sz w:val="18"/>
                <w:szCs w:val="18"/>
              </w:rPr>
              <w:t>4</w:t>
            </w:r>
          </w:p>
        </w:tc>
        <w:tc>
          <w:tcPr>
            <w:tcW w:w="1429" w:type="pct"/>
            <w:tcBorders>
              <w:top w:val="nil"/>
              <w:left w:val="nil"/>
              <w:bottom w:val="nil"/>
              <w:right w:val="nil"/>
            </w:tcBorders>
            <w:shd w:val="clear" w:color="auto" w:fill="auto"/>
            <w:vAlign w:val="center"/>
          </w:tcPr>
          <w:p w14:paraId="17977318">
            <w:pPr>
              <w:autoSpaceDE w:val="0"/>
              <w:autoSpaceDN w:val="0"/>
              <w:spacing w:line="300" w:lineRule="auto"/>
              <w:jc w:val="center"/>
              <w:rPr>
                <w:rFonts w:eastAsia="Times New Roman"/>
                <w:kern w:val="0"/>
                <w:sz w:val="18"/>
                <w:szCs w:val="18"/>
              </w:rPr>
            </w:pPr>
            <w:r>
              <w:rPr>
                <w:rFonts w:eastAsia="Times New Roman"/>
                <w:kern w:val="0"/>
                <w:sz w:val="18"/>
                <w:szCs w:val="18"/>
              </w:rPr>
              <w:t>95% Ethanol I</w:t>
            </w:r>
          </w:p>
        </w:tc>
        <w:tc>
          <w:tcPr>
            <w:tcW w:w="714" w:type="pct"/>
            <w:tcBorders>
              <w:top w:val="nil"/>
              <w:left w:val="nil"/>
              <w:bottom w:val="nil"/>
              <w:right w:val="nil"/>
            </w:tcBorders>
            <w:shd w:val="clear" w:color="auto" w:fill="auto"/>
            <w:vAlign w:val="center"/>
          </w:tcPr>
          <w:p w14:paraId="28271A3D">
            <w:pPr>
              <w:autoSpaceDE w:val="0"/>
              <w:autoSpaceDN w:val="0"/>
              <w:spacing w:line="300" w:lineRule="auto"/>
              <w:jc w:val="center"/>
              <w:rPr>
                <w:rFonts w:eastAsia="Times New Roman"/>
                <w:kern w:val="0"/>
                <w:sz w:val="18"/>
                <w:szCs w:val="18"/>
              </w:rPr>
            </w:pPr>
            <w:r>
              <w:rPr>
                <w:rFonts w:eastAsia="Times New Roman"/>
                <w:kern w:val="0"/>
                <w:sz w:val="18"/>
                <w:szCs w:val="18"/>
              </w:rPr>
              <w:t>30 min</w:t>
            </w:r>
          </w:p>
        </w:tc>
        <w:tc>
          <w:tcPr>
            <w:tcW w:w="356" w:type="pct"/>
            <w:tcBorders>
              <w:top w:val="nil"/>
              <w:left w:val="nil"/>
              <w:bottom w:val="nil"/>
              <w:right w:val="nil"/>
            </w:tcBorders>
            <w:shd w:val="clear" w:color="auto" w:fill="auto"/>
            <w:vAlign w:val="center"/>
          </w:tcPr>
          <w:p w14:paraId="7F266AAD">
            <w:pPr>
              <w:autoSpaceDE w:val="0"/>
              <w:autoSpaceDN w:val="0"/>
              <w:spacing w:line="300" w:lineRule="auto"/>
              <w:jc w:val="center"/>
              <w:rPr>
                <w:rFonts w:eastAsia="Times New Roman"/>
                <w:kern w:val="0"/>
                <w:sz w:val="18"/>
                <w:szCs w:val="18"/>
              </w:rPr>
            </w:pPr>
            <w:r>
              <w:rPr>
                <w:rFonts w:eastAsia="Times New Roman"/>
                <w:kern w:val="0"/>
                <w:sz w:val="18"/>
                <w:szCs w:val="18"/>
              </w:rPr>
              <w:t>10</w:t>
            </w:r>
          </w:p>
        </w:tc>
        <w:tc>
          <w:tcPr>
            <w:tcW w:w="1429" w:type="pct"/>
            <w:tcBorders>
              <w:top w:val="nil"/>
              <w:left w:val="nil"/>
              <w:bottom w:val="nil"/>
              <w:right w:val="nil"/>
            </w:tcBorders>
            <w:shd w:val="clear" w:color="auto" w:fill="auto"/>
            <w:vAlign w:val="center"/>
          </w:tcPr>
          <w:p w14:paraId="7FD76ADA">
            <w:pPr>
              <w:autoSpaceDE w:val="0"/>
              <w:autoSpaceDN w:val="0"/>
              <w:spacing w:line="300" w:lineRule="auto"/>
              <w:jc w:val="center"/>
              <w:rPr>
                <w:rFonts w:eastAsia="Times New Roman"/>
                <w:kern w:val="0"/>
                <w:sz w:val="18"/>
                <w:szCs w:val="18"/>
              </w:rPr>
            </w:pPr>
            <w:r>
              <w:rPr>
                <w:rFonts w:eastAsia="Times New Roman"/>
                <w:kern w:val="0"/>
                <w:sz w:val="18"/>
                <w:szCs w:val="18"/>
              </w:rPr>
              <w:t>Dimethylbenzene II</w:t>
            </w:r>
          </w:p>
        </w:tc>
        <w:tc>
          <w:tcPr>
            <w:tcW w:w="714" w:type="pct"/>
            <w:tcBorders>
              <w:top w:val="nil"/>
              <w:left w:val="nil"/>
              <w:bottom w:val="nil"/>
              <w:right w:val="nil"/>
            </w:tcBorders>
            <w:shd w:val="clear" w:color="auto" w:fill="auto"/>
            <w:vAlign w:val="center"/>
          </w:tcPr>
          <w:p w14:paraId="062B1EB7">
            <w:pPr>
              <w:autoSpaceDE w:val="0"/>
              <w:autoSpaceDN w:val="0"/>
              <w:spacing w:line="300" w:lineRule="auto"/>
              <w:jc w:val="center"/>
              <w:rPr>
                <w:rFonts w:eastAsia="Times New Roman"/>
                <w:kern w:val="0"/>
                <w:sz w:val="18"/>
                <w:szCs w:val="18"/>
              </w:rPr>
            </w:pPr>
            <w:r>
              <w:rPr>
                <w:rFonts w:eastAsia="Times New Roman"/>
                <w:kern w:val="0"/>
                <w:sz w:val="18"/>
                <w:szCs w:val="18"/>
              </w:rPr>
              <w:t>10 min</w:t>
            </w:r>
          </w:p>
        </w:tc>
      </w:tr>
      <w:tr w14:paraId="0A86F5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53" w:type="pct"/>
            <w:tcBorders>
              <w:top w:val="nil"/>
              <w:left w:val="nil"/>
              <w:bottom w:val="nil"/>
              <w:right w:val="nil"/>
            </w:tcBorders>
            <w:shd w:val="clear" w:color="auto" w:fill="auto"/>
            <w:vAlign w:val="center"/>
          </w:tcPr>
          <w:p w14:paraId="7D734D42">
            <w:pPr>
              <w:autoSpaceDE w:val="0"/>
              <w:autoSpaceDN w:val="0"/>
              <w:spacing w:line="300" w:lineRule="auto"/>
              <w:jc w:val="center"/>
              <w:rPr>
                <w:rFonts w:eastAsia="Times New Roman"/>
                <w:kern w:val="0"/>
                <w:sz w:val="18"/>
                <w:szCs w:val="18"/>
              </w:rPr>
            </w:pPr>
            <w:r>
              <w:rPr>
                <w:rFonts w:eastAsia="Times New Roman"/>
                <w:kern w:val="0"/>
                <w:sz w:val="18"/>
                <w:szCs w:val="18"/>
              </w:rPr>
              <w:t>5</w:t>
            </w:r>
          </w:p>
        </w:tc>
        <w:tc>
          <w:tcPr>
            <w:tcW w:w="1429" w:type="pct"/>
            <w:tcBorders>
              <w:top w:val="nil"/>
              <w:left w:val="nil"/>
              <w:bottom w:val="nil"/>
              <w:right w:val="nil"/>
            </w:tcBorders>
            <w:shd w:val="clear" w:color="auto" w:fill="auto"/>
            <w:vAlign w:val="center"/>
          </w:tcPr>
          <w:p w14:paraId="4B67D0BE">
            <w:pPr>
              <w:autoSpaceDE w:val="0"/>
              <w:autoSpaceDN w:val="0"/>
              <w:spacing w:line="300" w:lineRule="auto"/>
              <w:jc w:val="center"/>
              <w:rPr>
                <w:rFonts w:eastAsia="Times New Roman"/>
                <w:kern w:val="0"/>
                <w:sz w:val="18"/>
                <w:szCs w:val="18"/>
              </w:rPr>
            </w:pPr>
            <w:r>
              <w:rPr>
                <w:rFonts w:eastAsia="Times New Roman"/>
                <w:kern w:val="0"/>
                <w:sz w:val="18"/>
                <w:szCs w:val="18"/>
              </w:rPr>
              <w:t>95% Ethanol II</w:t>
            </w:r>
          </w:p>
        </w:tc>
        <w:tc>
          <w:tcPr>
            <w:tcW w:w="714" w:type="pct"/>
            <w:tcBorders>
              <w:top w:val="nil"/>
              <w:left w:val="nil"/>
              <w:bottom w:val="nil"/>
              <w:right w:val="nil"/>
            </w:tcBorders>
            <w:shd w:val="clear" w:color="auto" w:fill="auto"/>
            <w:vAlign w:val="center"/>
          </w:tcPr>
          <w:p w14:paraId="68BFD4EC">
            <w:pPr>
              <w:autoSpaceDE w:val="0"/>
              <w:autoSpaceDN w:val="0"/>
              <w:spacing w:line="300" w:lineRule="auto"/>
              <w:jc w:val="center"/>
              <w:rPr>
                <w:rFonts w:eastAsia="Times New Roman"/>
                <w:kern w:val="0"/>
                <w:sz w:val="18"/>
                <w:szCs w:val="18"/>
              </w:rPr>
            </w:pPr>
            <w:r>
              <w:rPr>
                <w:rFonts w:eastAsia="Times New Roman"/>
                <w:kern w:val="0"/>
                <w:sz w:val="18"/>
                <w:szCs w:val="18"/>
              </w:rPr>
              <w:t>30 min</w:t>
            </w:r>
          </w:p>
        </w:tc>
        <w:tc>
          <w:tcPr>
            <w:tcW w:w="356" w:type="pct"/>
            <w:tcBorders>
              <w:top w:val="nil"/>
              <w:left w:val="nil"/>
              <w:bottom w:val="nil"/>
              <w:right w:val="nil"/>
            </w:tcBorders>
            <w:shd w:val="clear" w:color="auto" w:fill="auto"/>
            <w:vAlign w:val="center"/>
          </w:tcPr>
          <w:p w14:paraId="22586204">
            <w:pPr>
              <w:autoSpaceDE w:val="0"/>
              <w:autoSpaceDN w:val="0"/>
              <w:spacing w:line="300" w:lineRule="auto"/>
              <w:jc w:val="center"/>
              <w:rPr>
                <w:rFonts w:eastAsia="Times New Roman"/>
                <w:kern w:val="0"/>
                <w:sz w:val="18"/>
                <w:szCs w:val="18"/>
              </w:rPr>
            </w:pPr>
            <w:r>
              <w:rPr>
                <w:rFonts w:eastAsia="Times New Roman"/>
                <w:kern w:val="0"/>
                <w:sz w:val="18"/>
                <w:szCs w:val="18"/>
              </w:rPr>
              <w:t>11</w:t>
            </w:r>
          </w:p>
        </w:tc>
        <w:tc>
          <w:tcPr>
            <w:tcW w:w="1429" w:type="pct"/>
            <w:tcBorders>
              <w:top w:val="nil"/>
              <w:left w:val="nil"/>
              <w:bottom w:val="nil"/>
              <w:right w:val="nil"/>
            </w:tcBorders>
            <w:shd w:val="clear" w:color="auto" w:fill="auto"/>
            <w:vAlign w:val="center"/>
          </w:tcPr>
          <w:p w14:paraId="33B4E5BB">
            <w:pPr>
              <w:autoSpaceDE w:val="0"/>
              <w:autoSpaceDN w:val="0"/>
              <w:spacing w:line="300" w:lineRule="auto"/>
              <w:jc w:val="center"/>
              <w:rPr>
                <w:rFonts w:eastAsia="Times New Roman"/>
                <w:kern w:val="0"/>
                <w:sz w:val="18"/>
                <w:szCs w:val="18"/>
              </w:rPr>
            </w:pPr>
            <w:r>
              <w:rPr>
                <w:rFonts w:eastAsia="Times New Roman"/>
                <w:kern w:val="0"/>
                <w:sz w:val="18"/>
                <w:szCs w:val="18"/>
              </w:rPr>
              <w:t>Paraffin wax I</w:t>
            </w:r>
          </w:p>
        </w:tc>
        <w:tc>
          <w:tcPr>
            <w:tcW w:w="714" w:type="pct"/>
            <w:tcBorders>
              <w:top w:val="nil"/>
              <w:left w:val="nil"/>
              <w:bottom w:val="nil"/>
              <w:right w:val="nil"/>
            </w:tcBorders>
            <w:shd w:val="clear" w:color="auto" w:fill="auto"/>
            <w:vAlign w:val="center"/>
          </w:tcPr>
          <w:p w14:paraId="3DDE0C34">
            <w:pPr>
              <w:autoSpaceDE w:val="0"/>
              <w:autoSpaceDN w:val="0"/>
              <w:spacing w:line="300" w:lineRule="auto"/>
              <w:jc w:val="center"/>
              <w:rPr>
                <w:rFonts w:eastAsia="Times New Roman"/>
                <w:kern w:val="0"/>
                <w:sz w:val="18"/>
                <w:szCs w:val="18"/>
              </w:rPr>
            </w:pPr>
            <w:r>
              <w:rPr>
                <w:rFonts w:eastAsia="Times New Roman"/>
                <w:kern w:val="0"/>
                <w:sz w:val="18"/>
                <w:szCs w:val="18"/>
              </w:rPr>
              <w:t>60 min</w:t>
            </w:r>
          </w:p>
        </w:tc>
      </w:tr>
      <w:tr w14:paraId="18BB4A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53" w:type="pct"/>
            <w:tcBorders>
              <w:top w:val="nil"/>
              <w:left w:val="nil"/>
              <w:bottom w:val="single" w:color="auto" w:sz="12" w:space="0"/>
              <w:right w:val="nil"/>
            </w:tcBorders>
            <w:shd w:val="clear" w:color="auto" w:fill="auto"/>
            <w:vAlign w:val="center"/>
          </w:tcPr>
          <w:p w14:paraId="7684AB00">
            <w:pPr>
              <w:autoSpaceDE w:val="0"/>
              <w:autoSpaceDN w:val="0"/>
              <w:spacing w:line="300" w:lineRule="auto"/>
              <w:jc w:val="center"/>
              <w:rPr>
                <w:rFonts w:eastAsia="Times New Roman"/>
                <w:kern w:val="0"/>
                <w:sz w:val="18"/>
                <w:szCs w:val="18"/>
              </w:rPr>
            </w:pPr>
            <w:r>
              <w:rPr>
                <w:rFonts w:eastAsia="Times New Roman"/>
                <w:kern w:val="0"/>
                <w:sz w:val="18"/>
                <w:szCs w:val="18"/>
              </w:rPr>
              <w:t>6</w:t>
            </w:r>
          </w:p>
        </w:tc>
        <w:tc>
          <w:tcPr>
            <w:tcW w:w="1429" w:type="pct"/>
            <w:tcBorders>
              <w:top w:val="nil"/>
              <w:left w:val="nil"/>
              <w:bottom w:val="single" w:color="auto" w:sz="12" w:space="0"/>
              <w:right w:val="nil"/>
            </w:tcBorders>
            <w:shd w:val="clear" w:color="auto" w:fill="auto"/>
            <w:vAlign w:val="center"/>
          </w:tcPr>
          <w:p w14:paraId="5AA12319">
            <w:pPr>
              <w:autoSpaceDE w:val="0"/>
              <w:autoSpaceDN w:val="0"/>
              <w:spacing w:line="300" w:lineRule="auto"/>
              <w:jc w:val="center"/>
              <w:rPr>
                <w:rFonts w:eastAsia="Times New Roman"/>
                <w:kern w:val="0"/>
                <w:sz w:val="18"/>
                <w:szCs w:val="18"/>
              </w:rPr>
            </w:pPr>
            <w:r>
              <w:rPr>
                <w:rFonts w:eastAsia="Times New Roman"/>
                <w:kern w:val="0"/>
                <w:sz w:val="18"/>
                <w:szCs w:val="18"/>
              </w:rPr>
              <w:t>Anhydrous ethanol I</w:t>
            </w:r>
          </w:p>
        </w:tc>
        <w:tc>
          <w:tcPr>
            <w:tcW w:w="714" w:type="pct"/>
            <w:tcBorders>
              <w:top w:val="nil"/>
              <w:left w:val="nil"/>
              <w:bottom w:val="single" w:color="auto" w:sz="12" w:space="0"/>
              <w:right w:val="nil"/>
            </w:tcBorders>
            <w:shd w:val="clear" w:color="auto" w:fill="auto"/>
            <w:vAlign w:val="center"/>
          </w:tcPr>
          <w:p w14:paraId="72CC58E9">
            <w:pPr>
              <w:autoSpaceDE w:val="0"/>
              <w:autoSpaceDN w:val="0"/>
              <w:spacing w:line="300" w:lineRule="auto"/>
              <w:jc w:val="center"/>
              <w:rPr>
                <w:rFonts w:eastAsia="Times New Roman"/>
                <w:kern w:val="0"/>
                <w:sz w:val="18"/>
                <w:szCs w:val="18"/>
              </w:rPr>
            </w:pPr>
            <w:r>
              <w:rPr>
                <w:rFonts w:eastAsia="Times New Roman"/>
                <w:kern w:val="0"/>
                <w:sz w:val="18"/>
                <w:szCs w:val="18"/>
              </w:rPr>
              <w:t>30 min</w:t>
            </w:r>
          </w:p>
        </w:tc>
        <w:tc>
          <w:tcPr>
            <w:tcW w:w="356" w:type="pct"/>
            <w:tcBorders>
              <w:top w:val="nil"/>
              <w:left w:val="nil"/>
              <w:bottom w:val="single" w:color="auto" w:sz="12" w:space="0"/>
              <w:right w:val="nil"/>
            </w:tcBorders>
            <w:shd w:val="clear" w:color="auto" w:fill="auto"/>
            <w:vAlign w:val="center"/>
          </w:tcPr>
          <w:p w14:paraId="247BD2E4">
            <w:pPr>
              <w:autoSpaceDE w:val="0"/>
              <w:autoSpaceDN w:val="0"/>
              <w:spacing w:line="300" w:lineRule="auto"/>
              <w:jc w:val="center"/>
              <w:rPr>
                <w:rFonts w:eastAsia="Times New Roman"/>
                <w:kern w:val="0"/>
                <w:sz w:val="18"/>
                <w:szCs w:val="18"/>
              </w:rPr>
            </w:pPr>
            <w:r>
              <w:rPr>
                <w:rFonts w:eastAsia="Times New Roman"/>
                <w:kern w:val="0"/>
                <w:sz w:val="18"/>
                <w:szCs w:val="18"/>
              </w:rPr>
              <w:t>12</w:t>
            </w:r>
          </w:p>
        </w:tc>
        <w:tc>
          <w:tcPr>
            <w:tcW w:w="1429" w:type="pct"/>
            <w:tcBorders>
              <w:top w:val="nil"/>
              <w:left w:val="nil"/>
              <w:bottom w:val="single" w:color="auto" w:sz="12" w:space="0"/>
              <w:right w:val="nil"/>
            </w:tcBorders>
            <w:shd w:val="clear" w:color="auto" w:fill="auto"/>
            <w:vAlign w:val="center"/>
          </w:tcPr>
          <w:p w14:paraId="3D562C33">
            <w:pPr>
              <w:autoSpaceDE w:val="0"/>
              <w:autoSpaceDN w:val="0"/>
              <w:spacing w:line="300" w:lineRule="auto"/>
              <w:jc w:val="center"/>
              <w:rPr>
                <w:rFonts w:eastAsia="Times New Roman"/>
                <w:kern w:val="0"/>
                <w:sz w:val="18"/>
                <w:szCs w:val="18"/>
              </w:rPr>
            </w:pPr>
            <w:r>
              <w:rPr>
                <w:rFonts w:eastAsia="Times New Roman"/>
                <w:kern w:val="0"/>
                <w:sz w:val="18"/>
                <w:szCs w:val="18"/>
              </w:rPr>
              <w:t>Paraffin wax II</w:t>
            </w:r>
          </w:p>
        </w:tc>
        <w:tc>
          <w:tcPr>
            <w:tcW w:w="714" w:type="pct"/>
            <w:tcBorders>
              <w:top w:val="nil"/>
              <w:left w:val="nil"/>
              <w:bottom w:val="single" w:color="auto" w:sz="12" w:space="0"/>
              <w:right w:val="nil"/>
            </w:tcBorders>
            <w:shd w:val="clear" w:color="auto" w:fill="auto"/>
            <w:vAlign w:val="center"/>
          </w:tcPr>
          <w:p w14:paraId="2DEA8349">
            <w:pPr>
              <w:autoSpaceDE w:val="0"/>
              <w:autoSpaceDN w:val="0"/>
              <w:spacing w:line="300" w:lineRule="auto"/>
              <w:jc w:val="center"/>
              <w:rPr>
                <w:rFonts w:eastAsia="Times New Roman"/>
                <w:kern w:val="0"/>
                <w:sz w:val="18"/>
                <w:szCs w:val="18"/>
              </w:rPr>
            </w:pPr>
            <w:r>
              <w:rPr>
                <w:rFonts w:eastAsia="Times New Roman"/>
                <w:kern w:val="0"/>
                <w:sz w:val="18"/>
                <w:szCs w:val="18"/>
              </w:rPr>
              <w:t>60 min</w:t>
            </w:r>
          </w:p>
        </w:tc>
      </w:tr>
    </w:tbl>
    <w:p w14:paraId="64233FAA">
      <w:pPr>
        <w:autoSpaceDE w:val="0"/>
        <w:autoSpaceDN w:val="0"/>
        <w:spacing w:line="300" w:lineRule="auto"/>
        <w:rPr>
          <w:b/>
          <w:bCs/>
          <w:kern w:val="0"/>
          <w:sz w:val="18"/>
          <w:szCs w:val="18"/>
          <w:lang w:bidi="ar"/>
        </w:rPr>
      </w:pPr>
    </w:p>
    <w:p w14:paraId="374E5791">
      <w:pPr>
        <w:autoSpaceDE w:val="0"/>
        <w:autoSpaceDN w:val="0"/>
        <w:spacing w:line="300" w:lineRule="auto"/>
        <w:rPr>
          <w:kern w:val="0"/>
          <w:sz w:val="18"/>
          <w:szCs w:val="18"/>
          <w:lang w:bidi="ar"/>
        </w:rPr>
      </w:pPr>
      <w:r>
        <w:rPr>
          <w:b/>
          <w:bCs/>
          <w:kern w:val="0"/>
          <w:sz w:val="18"/>
          <w:szCs w:val="18"/>
          <w:lang w:bidi="ar"/>
        </w:rPr>
        <w:t>Table.</w:t>
      </w:r>
      <w:r>
        <w:rPr>
          <w:rFonts w:hint="eastAsia"/>
          <w:b/>
          <w:bCs/>
          <w:kern w:val="0"/>
          <w:sz w:val="18"/>
          <w:szCs w:val="18"/>
          <w:lang w:bidi="ar"/>
        </w:rPr>
        <w:t>S4</w:t>
      </w:r>
      <w:r>
        <w:rPr>
          <w:b/>
          <w:bCs/>
          <w:kern w:val="0"/>
          <w:sz w:val="18"/>
          <w:szCs w:val="18"/>
          <w:lang w:bidi="ar"/>
        </w:rPr>
        <w:t xml:space="preserve"> </w:t>
      </w:r>
      <w:r>
        <w:rPr>
          <w:kern w:val="0"/>
          <w:sz w:val="18"/>
          <w:szCs w:val="18"/>
          <w:lang w:bidi="ar"/>
        </w:rPr>
        <w:t>Tissue</w:t>
      </w:r>
      <w:r>
        <w:rPr>
          <w:rFonts w:hint="eastAsia"/>
          <w:kern w:val="0"/>
          <w:sz w:val="18"/>
          <w:szCs w:val="18"/>
          <w:lang w:bidi="ar"/>
        </w:rPr>
        <w:t xml:space="preserve"> </w:t>
      </w:r>
      <w:r>
        <w:rPr>
          <w:rFonts w:hint="eastAsia"/>
          <w:kern w:val="0"/>
          <w:sz w:val="18"/>
          <w:szCs w:val="18"/>
        </w:rPr>
        <w:t>H&amp;E stain</w:t>
      </w:r>
      <w:r>
        <w:rPr>
          <w:kern w:val="0"/>
          <w:sz w:val="18"/>
          <w:szCs w:val="18"/>
          <w:lang w:bidi="ar"/>
        </w:rPr>
        <w:t xml:space="preserve"> procedure</w:t>
      </w:r>
    </w:p>
    <w:tbl>
      <w:tblPr>
        <w:tblStyle w:val="10"/>
        <w:tblW w:w="4653"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560"/>
        <w:gridCol w:w="2270"/>
        <w:gridCol w:w="1133"/>
        <w:gridCol w:w="565"/>
        <w:gridCol w:w="2270"/>
        <w:gridCol w:w="1133"/>
      </w:tblGrid>
      <w:tr w14:paraId="56A515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53" w:type="pct"/>
            <w:tcBorders>
              <w:top w:val="single" w:color="auto" w:sz="12" w:space="0"/>
              <w:left w:val="nil"/>
              <w:bottom w:val="single" w:color="auto" w:sz="8" w:space="0"/>
              <w:right w:val="nil"/>
            </w:tcBorders>
            <w:shd w:val="clear" w:color="auto" w:fill="auto"/>
            <w:vAlign w:val="center"/>
          </w:tcPr>
          <w:p w14:paraId="5382245A">
            <w:pPr>
              <w:autoSpaceDE w:val="0"/>
              <w:autoSpaceDN w:val="0"/>
              <w:spacing w:line="300" w:lineRule="auto"/>
              <w:jc w:val="center"/>
              <w:rPr>
                <w:rFonts w:eastAsia="Times New Roman"/>
                <w:b/>
                <w:bCs/>
                <w:kern w:val="0"/>
                <w:sz w:val="18"/>
                <w:szCs w:val="18"/>
              </w:rPr>
            </w:pPr>
            <w:r>
              <w:rPr>
                <w:rFonts w:eastAsia="Times New Roman"/>
                <w:b/>
                <w:bCs/>
                <w:kern w:val="0"/>
                <w:sz w:val="18"/>
                <w:szCs w:val="18"/>
              </w:rPr>
              <w:t>No.</w:t>
            </w:r>
          </w:p>
        </w:tc>
        <w:tc>
          <w:tcPr>
            <w:tcW w:w="1431" w:type="pct"/>
            <w:tcBorders>
              <w:top w:val="single" w:color="auto" w:sz="12" w:space="0"/>
              <w:left w:val="nil"/>
              <w:bottom w:val="single" w:color="auto" w:sz="8" w:space="0"/>
              <w:right w:val="nil"/>
            </w:tcBorders>
            <w:shd w:val="clear" w:color="auto" w:fill="auto"/>
            <w:vAlign w:val="center"/>
          </w:tcPr>
          <w:p w14:paraId="42B95FE5">
            <w:pPr>
              <w:autoSpaceDE w:val="0"/>
              <w:autoSpaceDN w:val="0"/>
              <w:spacing w:line="300" w:lineRule="auto"/>
              <w:jc w:val="center"/>
              <w:rPr>
                <w:rFonts w:eastAsia="Times New Roman"/>
                <w:b/>
                <w:bCs/>
                <w:kern w:val="0"/>
                <w:sz w:val="18"/>
                <w:szCs w:val="18"/>
              </w:rPr>
            </w:pPr>
            <w:r>
              <w:rPr>
                <w:rFonts w:eastAsia="Times New Roman"/>
                <w:b/>
                <w:bCs/>
                <w:kern w:val="0"/>
                <w:sz w:val="18"/>
                <w:szCs w:val="18"/>
              </w:rPr>
              <w:t>Procedure</w:t>
            </w:r>
          </w:p>
        </w:tc>
        <w:tc>
          <w:tcPr>
            <w:tcW w:w="714" w:type="pct"/>
            <w:tcBorders>
              <w:top w:val="single" w:color="auto" w:sz="12" w:space="0"/>
              <w:left w:val="nil"/>
              <w:bottom w:val="single" w:color="auto" w:sz="8" w:space="0"/>
              <w:right w:val="nil"/>
            </w:tcBorders>
            <w:shd w:val="clear" w:color="auto" w:fill="auto"/>
            <w:vAlign w:val="center"/>
          </w:tcPr>
          <w:p w14:paraId="5CA0ADCE">
            <w:pPr>
              <w:autoSpaceDE w:val="0"/>
              <w:autoSpaceDN w:val="0"/>
              <w:spacing w:line="300" w:lineRule="auto"/>
              <w:jc w:val="center"/>
              <w:rPr>
                <w:rFonts w:eastAsia="Times New Roman"/>
                <w:b/>
                <w:bCs/>
                <w:kern w:val="0"/>
                <w:sz w:val="18"/>
                <w:szCs w:val="18"/>
              </w:rPr>
            </w:pPr>
            <w:r>
              <w:rPr>
                <w:rFonts w:eastAsia="Times New Roman"/>
                <w:b/>
                <w:bCs/>
                <w:kern w:val="0"/>
                <w:sz w:val="18"/>
                <w:szCs w:val="18"/>
              </w:rPr>
              <w:t>Time</w:t>
            </w:r>
          </w:p>
        </w:tc>
        <w:tc>
          <w:tcPr>
            <w:tcW w:w="356" w:type="pct"/>
            <w:tcBorders>
              <w:top w:val="single" w:color="auto" w:sz="12" w:space="0"/>
              <w:left w:val="nil"/>
              <w:bottom w:val="single" w:color="auto" w:sz="8" w:space="0"/>
              <w:right w:val="nil"/>
            </w:tcBorders>
            <w:shd w:val="clear" w:color="auto" w:fill="auto"/>
            <w:vAlign w:val="center"/>
          </w:tcPr>
          <w:p w14:paraId="1B389AF8">
            <w:pPr>
              <w:autoSpaceDE w:val="0"/>
              <w:autoSpaceDN w:val="0"/>
              <w:spacing w:line="300" w:lineRule="auto"/>
              <w:jc w:val="center"/>
              <w:rPr>
                <w:rFonts w:eastAsia="Times New Roman"/>
                <w:b/>
                <w:bCs/>
                <w:kern w:val="0"/>
                <w:sz w:val="18"/>
                <w:szCs w:val="18"/>
                <w:lang w:bidi="ar-SA"/>
              </w:rPr>
            </w:pPr>
            <w:r>
              <w:rPr>
                <w:rFonts w:eastAsia="Times New Roman"/>
                <w:b/>
                <w:bCs/>
                <w:kern w:val="0"/>
                <w:sz w:val="18"/>
                <w:szCs w:val="18"/>
              </w:rPr>
              <w:t>No.</w:t>
            </w:r>
          </w:p>
        </w:tc>
        <w:tc>
          <w:tcPr>
            <w:tcW w:w="1431" w:type="pct"/>
            <w:tcBorders>
              <w:top w:val="single" w:color="auto" w:sz="12" w:space="0"/>
              <w:left w:val="nil"/>
              <w:bottom w:val="single" w:color="auto" w:sz="8" w:space="0"/>
              <w:right w:val="nil"/>
            </w:tcBorders>
            <w:shd w:val="clear" w:color="auto" w:fill="auto"/>
            <w:vAlign w:val="center"/>
          </w:tcPr>
          <w:p w14:paraId="659DDB7B">
            <w:pPr>
              <w:autoSpaceDE w:val="0"/>
              <w:autoSpaceDN w:val="0"/>
              <w:spacing w:line="300" w:lineRule="auto"/>
              <w:jc w:val="center"/>
              <w:rPr>
                <w:rFonts w:eastAsia="Times New Roman"/>
                <w:b/>
                <w:bCs/>
                <w:kern w:val="0"/>
                <w:sz w:val="18"/>
                <w:szCs w:val="18"/>
              </w:rPr>
            </w:pPr>
            <w:r>
              <w:rPr>
                <w:rFonts w:eastAsia="Times New Roman"/>
                <w:b/>
                <w:bCs/>
                <w:kern w:val="0"/>
                <w:sz w:val="18"/>
                <w:szCs w:val="18"/>
              </w:rPr>
              <w:t>Procedure</w:t>
            </w:r>
          </w:p>
        </w:tc>
        <w:tc>
          <w:tcPr>
            <w:tcW w:w="714" w:type="pct"/>
            <w:tcBorders>
              <w:top w:val="single" w:color="auto" w:sz="12" w:space="0"/>
              <w:left w:val="nil"/>
              <w:bottom w:val="single" w:color="auto" w:sz="8" w:space="0"/>
              <w:right w:val="nil"/>
            </w:tcBorders>
            <w:shd w:val="clear" w:color="auto" w:fill="auto"/>
            <w:vAlign w:val="center"/>
          </w:tcPr>
          <w:p w14:paraId="73F9F125">
            <w:pPr>
              <w:autoSpaceDE w:val="0"/>
              <w:autoSpaceDN w:val="0"/>
              <w:spacing w:line="300" w:lineRule="auto"/>
              <w:jc w:val="center"/>
              <w:rPr>
                <w:rFonts w:eastAsia="Times New Roman"/>
                <w:b/>
                <w:bCs/>
                <w:kern w:val="0"/>
                <w:sz w:val="18"/>
                <w:szCs w:val="18"/>
              </w:rPr>
            </w:pPr>
            <w:r>
              <w:rPr>
                <w:rFonts w:eastAsia="Times New Roman"/>
                <w:b/>
                <w:bCs/>
                <w:kern w:val="0"/>
                <w:sz w:val="18"/>
                <w:szCs w:val="18"/>
              </w:rPr>
              <w:t>Time</w:t>
            </w:r>
          </w:p>
        </w:tc>
      </w:tr>
      <w:tr w14:paraId="5FB83E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53" w:type="pct"/>
            <w:tcBorders>
              <w:top w:val="nil"/>
              <w:left w:val="nil"/>
              <w:bottom w:val="nil"/>
              <w:right w:val="nil"/>
            </w:tcBorders>
            <w:shd w:val="clear" w:color="auto" w:fill="auto"/>
            <w:vAlign w:val="center"/>
          </w:tcPr>
          <w:p w14:paraId="162829B2">
            <w:pPr>
              <w:autoSpaceDE w:val="0"/>
              <w:autoSpaceDN w:val="0"/>
              <w:spacing w:line="300" w:lineRule="auto"/>
              <w:jc w:val="center"/>
              <w:rPr>
                <w:rFonts w:eastAsia="Times New Roman"/>
                <w:kern w:val="0"/>
                <w:sz w:val="18"/>
                <w:szCs w:val="18"/>
              </w:rPr>
            </w:pPr>
            <w:r>
              <w:rPr>
                <w:rFonts w:eastAsia="Times New Roman"/>
                <w:kern w:val="0"/>
                <w:sz w:val="18"/>
                <w:szCs w:val="18"/>
              </w:rPr>
              <w:t>1</w:t>
            </w:r>
          </w:p>
        </w:tc>
        <w:tc>
          <w:tcPr>
            <w:tcW w:w="1431" w:type="pct"/>
            <w:tcBorders>
              <w:top w:val="nil"/>
              <w:left w:val="nil"/>
              <w:bottom w:val="nil"/>
              <w:right w:val="nil"/>
            </w:tcBorders>
            <w:shd w:val="clear" w:color="auto" w:fill="auto"/>
            <w:vAlign w:val="center"/>
          </w:tcPr>
          <w:p w14:paraId="1DD44691">
            <w:pPr>
              <w:autoSpaceDE w:val="0"/>
              <w:autoSpaceDN w:val="0"/>
              <w:spacing w:line="300" w:lineRule="auto"/>
              <w:jc w:val="center"/>
              <w:rPr>
                <w:rFonts w:eastAsia="Times New Roman"/>
                <w:kern w:val="0"/>
                <w:sz w:val="18"/>
                <w:szCs w:val="18"/>
              </w:rPr>
            </w:pPr>
            <w:r>
              <w:rPr>
                <w:rFonts w:eastAsia="Times New Roman"/>
                <w:kern w:val="0"/>
                <w:sz w:val="18"/>
                <w:szCs w:val="18"/>
              </w:rPr>
              <w:t>Xylene dewaxing I</w:t>
            </w:r>
          </w:p>
        </w:tc>
        <w:tc>
          <w:tcPr>
            <w:tcW w:w="714" w:type="pct"/>
            <w:tcBorders>
              <w:top w:val="nil"/>
              <w:left w:val="nil"/>
              <w:bottom w:val="nil"/>
              <w:right w:val="nil"/>
            </w:tcBorders>
            <w:shd w:val="clear" w:color="auto" w:fill="auto"/>
            <w:vAlign w:val="center"/>
          </w:tcPr>
          <w:p w14:paraId="73A3E54A">
            <w:pPr>
              <w:autoSpaceDE w:val="0"/>
              <w:autoSpaceDN w:val="0"/>
              <w:spacing w:line="300" w:lineRule="auto"/>
              <w:jc w:val="center"/>
              <w:rPr>
                <w:rFonts w:eastAsia="Times New Roman"/>
                <w:kern w:val="0"/>
                <w:sz w:val="18"/>
                <w:szCs w:val="18"/>
              </w:rPr>
            </w:pPr>
            <w:r>
              <w:rPr>
                <w:rFonts w:eastAsia="Times New Roman"/>
                <w:kern w:val="0"/>
                <w:sz w:val="18"/>
                <w:szCs w:val="18"/>
              </w:rPr>
              <w:t>10 min</w:t>
            </w:r>
          </w:p>
        </w:tc>
        <w:tc>
          <w:tcPr>
            <w:tcW w:w="356" w:type="pct"/>
            <w:tcBorders>
              <w:top w:val="nil"/>
              <w:left w:val="nil"/>
              <w:bottom w:val="nil"/>
              <w:right w:val="nil"/>
            </w:tcBorders>
            <w:shd w:val="clear" w:color="auto" w:fill="auto"/>
            <w:vAlign w:val="center"/>
          </w:tcPr>
          <w:p w14:paraId="71A0460F">
            <w:pPr>
              <w:autoSpaceDE w:val="0"/>
              <w:autoSpaceDN w:val="0"/>
              <w:spacing w:line="300" w:lineRule="auto"/>
              <w:jc w:val="center"/>
              <w:rPr>
                <w:rFonts w:eastAsia="Times New Roman"/>
                <w:kern w:val="0"/>
                <w:sz w:val="18"/>
                <w:szCs w:val="18"/>
              </w:rPr>
            </w:pPr>
            <w:r>
              <w:rPr>
                <w:rFonts w:eastAsia="Times New Roman"/>
                <w:kern w:val="0"/>
                <w:sz w:val="18"/>
                <w:szCs w:val="18"/>
              </w:rPr>
              <w:t>13</w:t>
            </w:r>
          </w:p>
        </w:tc>
        <w:tc>
          <w:tcPr>
            <w:tcW w:w="1431" w:type="pct"/>
            <w:tcBorders>
              <w:top w:val="nil"/>
              <w:left w:val="nil"/>
              <w:bottom w:val="nil"/>
              <w:right w:val="nil"/>
            </w:tcBorders>
            <w:shd w:val="clear" w:color="auto" w:fill="auto"/>
            <w:vAlign w:val="center"/>
          </w:tcPr>
          <w:p w14:paraId="2CACA928">
            <w:pPr>
              <w:autoSpaceDE w:val="0"/>
              <w:autoSpaceDN w:val="0"/>
              <w:spacing w:line="300" w:lineRule="auto"/>
              <w:jc w:val="center"/>
              <w:rPr>
                <w:rFonts w:eastAsia="Times New Roman"/>
                <w:kern w:val="0"/>
                <w:sz w:val="18"/>
                <w:szCs w:val="18"/>
              </w:rPr>
            </w:pPr>
            <w:r>
              <w:rPr>
                <w:rFonts w:eastAsia="Times New Roman"/>
                <w:kern w:val="0"/>
                <w:sz w:val="18"/>
                <w:szCs w:val="18"/>
              </w:rPr>
              <w:t>Tap water wash</w:t>
            </w:r>
          </w:p>
        </w:tc>
        <w:tc>
          <w:tcPr>
            <w:tcW w:w="714" w:type="pct"/>
            <w:tcBorders>
              <w:top w:val="nil"/>
              <w:left w:val="nil"/>
              <w:bottom w:val="nil"/>
              <w:right w:val="nil"/>
            </w:tcBorders>
            <w:shd w:val="clear" w:color="auto" w:fill="auto"/>
            <w:vAlign w:val="center"/>
          </w:tcPr>
          <w:p w14:paraId="76E2392C">
            <w:pPr>
              <w:autoSpaceDE w:val="0"/>
              <w:autoSpaceDN w:val="0"/>
              <w:spacing w:line="300" w:lineRule="auto"/>
              <w:jc w:val="center"/>
              <w:rPr>
                <w:rFonts w:eastAsia="Times New Roman"/>
                <w:kern w:val="0"/>
                <w:sz w:val="18"/>
                <w:szCs w:val="18"/>
              </w:rPr>
            </w:pPr>
            <w:r>
              <w:rPr>
                <w:rFonts w:eastAsia="Times New Roman"/>
                <w:kern w:val="0"/>
                <w:sz w:val="18"/>
                <w:szCs w:val="18"/>
              </w:rPr>
              <w:t>1 min</w:t>
            </w:r>
          </w:p>
        </w:tc>
      </w:tr>
      <w:tr w14:paraId="0EF9C0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53" w:type="pct"/>
            <w:tcBorders>
              <w:top w:val="nil"/>
              <w:left w:val="nil"/>
              <w:bottom w:val="nil"/>
              <w:right w:val="nil"/>
            </w:tcBorders>
            <w:shd w:val="clear" w:color="auto" w:fill="auto"/>
            <w:vAlign w:val="center"/>
          </w:tcPr>
          <w:p w14:paraId="3A3FB5BD">
            <w:pPr>
              <w:autoSpaceDE w:val="0"/>
              <w:autoSpaceDN w:val="0"/>
              <w:spacing w:line="300" w:lineRule="auto"/>
              <w:jc w:val="center"/>
              <w:rPr>
                <w:rFonts w:eastAsia="Times New Roman"/>
                <w:kern w:val="0"/>
                <w:sz w:val="18"/>
                <w:szCs w:val="18"/>
              </w:rPr>
            </w:pPr>
            <w:r>
              <w:rPr>
                <w:rFonts w:eastAsia="Times New Roman"/>
                <w:kern w:val="0"/>
                <w:sz w:val="18"/>
                <w:szCs w:val="18"/>
              </w:rPr>
              <w:t>2</w:t>
            </w:r>
          </w:p>
        </w:tc>
        <w:tc>
          <w:tcPr>
            <w:tcW w:w="1431" w:type="pct"/>
            <w:tcBorders>
              <w:top w:val="nil"/>
              <w:left w:val="nil"/>
              <w:bottom w:val="nil"/>
              <w:right w:val="nil"/>
            </w:tcBorders>
            <w:shd w:val="clear" w:color="auto" w:fill="auto"/>
            <w:vAlign w:val="center"/>
          </w:tcPr>
          <w:p w14:paraId="392BDAD8">
            <w:pPr>
              <w:autoSpaceDE w:val="0"/>
              <w:autoSpaceDN w:val="0"/>
              <w:spacing w:line="300" w:lineRule="auto"/>
              <w:jc w:val="center"/>
              <w:rPr>
                <w:rFonts w:eastAsia="Times New Roman"/>
                <w:kern w:val="0"/>
                <w:sz w:val="18"/>
                <w:szCs w:val="18"/>
              </w:rPr>
            </w:pPr>
            <w:r>
              <w:rPr>
                <w:rFonts w:eastAsia="Times New Roman"/>
                <w:kern w:val="0"/>
                <w:sz w:val="18"/>
                <w:szCs w:val="18"/>
              </w:rPr>
              <w:t>Xylene dewaxing II</w:t>
            </w:r>
          </w:p>
        </w:tc>
        <w:tc>
          <w:tcPr>
            <w:tcW w:w="714" w:type="pct"/>
            <w:tcBorders>
              <w:top w:val="nil"/>
              <w:left w:val="nil"/>
              <w:bottom w:val="nil"/>
              <w:right w:val="nil"/>
            </w:tcBorders>
            <w:shd w:val="clear" w:color="auto" w:fill="auto"/>
            <w:vAlign w:val="center"/>
          </w:tcPr>
          <w:p w14:paraId="6277595F">
            <w:pPr>
              <w:autoSpaceDE w:val="0"/>
              <w:autoSpaceDN w:val="0"/>
              <w:spacing w:line="300" w:lineRule="auto"/>
              <w:jc w:val="center"/>
              <w:rPr>
                <w:rFonts w:eastAsia="Times New Roman"/>
                <w:kern w:val="0"/>
                <w:sz w:val="18"/>
                <w:szCs w:val="18"/>
              </w:rPr>
            </w:pPr>
            <w:r>
              <w:rPr>
                <w:rFonts w:eastAsia="Times New Roman"/>
                <w:kern w:val="0"/>
                <w:sz w:val="18"/>
                <w:szCs w:val="18"/>
              </w:rPr>
              <w:t>10 min</w:t>
            </w:r>
          </w:p>
        </w:tc>
        <w:tc>
          <w:tcPr>
            <w:tcW w:w="356" w:type="pct"/>
            <w:tcBorders>
              <w:top w:val="nil"/>
              <w:left w:val="nil"/>
              <w:bottom w:val="nil"/>
              <w:right w:val="nil"/>
            </w:tcBorders>
            <w:shd w:val="clear" w:color="auto" w:fill="auto"/>
            <w:vAlign w:val="center"/>
          </w:tcPr>
          <w:p w14:paraId="17AC879A">
            <w:pPr>
              <w:autoSpaceDE w:val="0"/>
              <w:autoSpaceDN w:val="0"/>
              <w:spacing w:line="300" w:lineRule="auto"/>
              <w:jc w:val="center"/>
              <w:rPr>
                <w:rFonts w:eastAsia="Times New Roman"/>
                <w:kern w:val="0"/>
                <w:sz w:val="18"/>
                <w:szCs w:val="18"/>
              </w:rPr>
            </w:pPr>
            <w:r>
              <w:rPr>
                <w:rFonts w:eastAsia="Times New Roman"/>
                <w:kern w:val="0"/>
                <w:sz w:val="18"/>
                <w:szCs w:val="18"/>
              </w:rPr>
              <w:t>14</w:t>
            </w:r>
          </w:p>
        </w:tc>
        <w:tc>
          <w:tcPr>
            <w:tcW w:w="1431" w:type="pct"/>
            <w:tcBorders>
              <w:top w:val="nil"/>
              <w:left w:val="nil"/>
              <w:bottom w:val="nil"/>
              <w:right w:val="nil"/>
            </w:tcBorders>
            <w:shd w:val="clear" w:color="auto" w:fill="auto"/>
            <w:vAlign w:val="center"/>
          </w:tcPr>
          <w:p w14:paraId="50DADC9C">
            <w:pPr>
              <w:autoSpaceDE w:val="0"/>
              <w:autoSpaceDN w:val="0"/>
              <w:spacing w:line="300" w:lineRule="auto"/>
              <w:jc w:val="center"/>
              <w:rPr>
                <w:rFonts w:eastAsia="Times New Roman"/>
                <w:kern w:val="0"/>
                <w:sz w:val="18"/>
                <w:szCs w:val="18"/>
              </w:rPr>
            </w:pPr>
            <w:r>
              <w:rPr>
                <w:rFonts w:eastAsia="Times New Roman"/>
                <w:kern w:val="0"/>
                <w:sz w:val="18"/>
                <w:szCs w:val="18"/>
              </w:rPr>
              <w:t>Turn blue with 1% dilute ammonia water</w:t>
            </w:r>
          </w:p>
        </w:tc>
        <w:tc>
          <w:tcPr>
            <w:tcW w:w="714" w:type="pct"/>
            <w:tcBorders>
              <w:top w:val="nil"/>
              <w:left w:val="nil"/>
              <w:bottom w:val="nil"/>
              <w:right w:val="nil"/>
            </w:tcBorders>
            <w:shd w:val="clear" w:color="auto" w:fill="auto"/>
            <w:vAlign w:val="center"/>
          </w:tcPr>
          <w:p w14:paraId="774E3951">
            <w:pPr>
              <w:autoSpaceDE w:val="0"/>
              <w:autoSpaceDN w:val="0"/>
              <w:spacing w:line="300" w:lineRule="auto"/>
              <w:jc w:val="center"/>
              <w:rPr>
                <w:rFonts w:eastAsia="Times New Roman"/>
                <w:kern w:val="0"/>
                <w:sz w:val="18"/>
                <w:szCs w:val="18"/>
              </w:rPr>
            </w:pPr>
            <w:r>
              <w:rPr>
                <w:rFonts w:eastAsia="Times New Roman"/>
                <w:kern w:val="0"/>
                <w:sz w:val="18"/>
                <w:szCs w:val="18"/>
              </w:rPr>
              <w:t>30 s</w:t>
            </w:r>
          </w:p>
        </w:tc>
      </w:tr>
      <w:tr w14:paraId="056494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53" w:type="pct"/>
            <w:tcBorders>
              <w:top w:val="nil"/>
              <w:left w:val="nil"/>
              <w:bottom w:val="nil"/>
              <w:right w:val="nil"/>
            </w:tcBorders>
            <w:shd w:val="clear" w:color="auto" w:fill="auto"/>
            <w:vAlign w:val="center"/>
          </w:tcPr>
          <w:p w14:paraId="1E66535D">
            <w:pPr>
              <w:autoSpaceDE w:val="0"/>
              <w:autoSpaceDN w:val="0"/>
              <w:spacing w:line="300" w:lineRule="auto"/>
              <w:jc w:val="center"/>
              <w:rPr>
                <w:rFonts w:eastAsia="Times New Roman"/>
                <w:kern w:val="0"/>
                <w:sz w:val="18"/>
                <w:szCs w:val="18"/>
              </w:rPr>
            </w:pPr>
            <w:r>
              <w:rPr>
                <w:rFonts w:eastAsia="Times New Roman"/>
                <w:kern w:val="0"/>
                <w:sz w:val="18"/>
                <w:szCs w:val="18"/>
              </w:rPr>
              <w:t>3</w:t>
            </w:r>
          </w:p>
        </w:tc>
        <w:tc>
          <w:tcPr>
            <w:tcW w:w="1431" w:type="pct"/>
            <w:tcBorders>
              <w:top w:val="nil"/>
              <w:left w:val="nil"/>
              <w:bottom w:val="nil"/>
              <w:right w:val="nil"/>
            </w:tcBorders>
            <w:shd w:val="clear" w:color="auto" w:fill="auto"/>
            <w:vAlign w:val="center"/>
          </w:tcPr>
          <w:p w14:paraId="5698D6EC">
            <w:pPr>
              <w:autoSpaceDE w:val="0"/>
              <w:autoSpaceDN w:val="0"/>
              <w:spacing w:line="300" w:lineRule="auto"/>
              <w:jc w:val="center"/>
              <w:rPr>
                <w:rFonts w:eastAsia="Times New Roman"/>
                <w:kern w:val="0"/>
                <w:sz w:val="18"/>
                <w:szCs w:val="18"/>
              </w:rPr>
            </w:pPr>
            <w:r>
              <w:rPr>
                <w:rFonts w:eastAsia="Times New Roman"/>
                <w:kern w:val="0"/>
                <w:sz w:val="18"/>
                <w:szCs w:val="18"/>
              </w:rPr>
              <w:t>Anhydrous ethanol I</w:t>
            </w:r>
          </w:p>
        </w:tc>
        <w:tc>
          <w:tcPr>
            <w:tcW w:w="714" w:type="pct"/>
            <w:tcBorders>
              <w:top w:val="nil"/>
              <w:left w:val="nil"/>
              <w:bottom w:val="nil"/>
              <w:right w:val="nil"/>
            </w:tcBorders>
            <w:shd w:val="clear" w:color="auto" w:fill="auto"/>
            <w:vAlign w:val="center"/>
          </w:tcPr>
          <w:p w14:paraId="407A0828">
            <w:pPr>
              <w:autoSpaceDE w:val="0"/>
              <w:autoSpaceDN w:val="0"/>
              <w:spacing w:line="300" w:lineRule="auto"/>
              <w:jc w:val="center"/>
              <w:rPr>
                <w:rFonts w:eastAsia="Times New Roman"/>
                <w:kern w:val="0"/>
                <w:sz w:val="18"/>
                <w:szCs w:val="18"/>
              </w:rPr>
            </w:pPr>
            <w:r>
              <w:rPr>
                <w:rFonts w:eastAsia="Times New Roman"/>
                <w:kern w:val="0"/>
                <w:sz w:val="18"/>
                <w:szCs w:val="18"/>
              </w:rPr>
              <w:t>2 min</w:t>
            </w:r>
          </w:p>
        </w:tc>
        <w:tc>
          <w:tcPr>
            <w:tcW w:w="356" w:type="pct"/>
            <w:tcBorders>
              <w:top w:val="nil"/>
              <w:left w:val="nil"/>
              <w:bottom w:val="nil"/>
              <w:right w:val="nil"/>
            </w:tcBorders>
            <w:shd w:val="clear" w:color="auto" w:fill="auto"/>
            <w:vAlign w:val="center"/>
          </w:tcPr>
          <w:p w14:paraId="2497BA01">
            <w:pPr>
              <w:autoSpaceDE w:val="0"/>
              <w:autoSpaceDN w:val="0"/>
              <w:spacing w:line="300" w:lineRule="auto"/>
              <w:jc w:val="center"/>
              <w:rPr>
                <w:rFonts w:eastAsia="Times New Roman"/>
                <w:kern w:val="0"/>
                <w:sz w:val="18"/>
                <w:szCs w:val="18"/>
              </w:rPr>
            </w:pPr>
            <w:r>
              <w:rPr>
                <w:rFonts w:eastAsia="Times New Roman"/>
                <w:kern w:val="0"/>
                <w:sz w:val="18"/>
                <w:szCs w:val="18"/>
              </w:rPr>
              <w:t>15</w:t>
            </w:r>
          </w:p>
        </w:tc>
        <w:tc>
          <w:tcPr>
            <w:tcW w:w="1431" w:type="pct"/>
            <w:tcBorders>
              <w:top w:val="nil"/>
              <w:left w:val="nil"/>
              <w:bottom w:val="nil"/>
              <w:right w:val="nil"/>
            </w:tcBorders>
            <w:shd w:val="clear" w:color="auto" w:fill="auto"/>
            <w:vAlign w:val="center"/>
          </w:tcPr>
          <w:p w14:paraId="6BC7792D">
            <w:pPr>
              <w:autoSpaceDE w:val="0"/>
              <w:autoSpaceDN w:val="0"/>
              <w:spacing w:line="300" w:lineRule="auto"/>
              <w:jc w:val="center"/>
              <w:rPr>
                <w:rFonts w:eastAsia="Times New Roman"/>
                <w:kern w:val="0"/>
                <w:sz w:val="18"/>
                <w:szCs w:val="18"/>
              </w:rPr>
            </w:pPr>
            <w:r>
              <w:rPr>
                <w:rFonts w:eastAsia="Times New Roman"/>
                <w:kern w:val="0"/>
                <w:sz w:val="18"/>
                <w:szCs w:val="18"/>
              </w:rPr>
              <w:t>Tap water wash</w:t>
            </w:r>
          </w:p>
        </w:tc>
        <w:tc>
          <w:tcPr>
            <w:tcW w:w="714" w:type="pct"/>
            <w:tcBorders>
              <w:top w:val="nil"/>
              <w:left w:val="nil"/>
              <w:bottom w:val="nil"/>
              <w:right w:val="nil"/>
            </w:tcBorders>
            <w:shd w:val="clear" w:color="auto" w:fill="auto"/>
            <w:vAlign w:val="center"/>
          </w:tcPr>
          <w:p w14:paraId="5E8091C1">
            <w:pPr>
              <w:autoSpaceDE w:val="0"/>
              <w:autoSpaceDN w:val="0"/>
              <w:spacing w:line="300" w:lineRule="auto"/>
              <w:jc w:val="center"/>
              <w:rPr>
                <w:rFonts w:eastAsia="Times New Roman"/>
                <w:kern w:val="0"/>
                <w:sz w:val="18"/>
                <w:szCs w:val="18"/>
              </w:rPr>
            </w:pPr>
            <w:r>
              <w:rPr>
                <w:rFonts w:eastAsia="Times New Roman"/>
                <w:kern w:val="0"/>
                <w:sz w:val="18"/>
                <w:szCs w:val="18"/>
              </w:rPr>
              <w:t>1 min</w:t>
            </w:r>
          </w:p>
        </w:tc>
      </w:tr>
      <w:tr w14:paraId="0E77A8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53" w:type="pct"/>
            <w:tcBorders>
              <w:top w:val="nil"/>
              <w:left w:val="nil"/>
              <w:bottom w:val="nil"/>
              <w:right w:val="nil"/>
            </w:tcBorders>
            <w:shd w:val="clear" w:color="auto" w:fill="auto"/>
            <w:vAlign w:val="center"/>
          </w:tcPr>
          <w:p w14:paraId="7E9712E3">
            <w:pPr>
              <w:autoSpaceDE w:val="0"/>
              <w:autoSpaceDN w:val="0"/>
              <w:spacing w:line="300" w:lineRule="auto"/>
              <w:jc w:val="center"/>
              <w:rPr>
                <w:rFonts w:eastAsia="Times New Roman"/>
                <w:kern w:val="0"/>
                <w:sz w:val="18"/>
                <w:szCs w:val="18"/>
              </w:rPr>
            </w:pPr>
            <w:r>
              <w:rPr>
                <w:rFonts w:eastAsia="Times New Roman"/>
                <w:kern w:val="0"/>
                <w:sz w:val="18"/>
                <w:szCs w:val="18"/>
              </w:rPr>
              <w:t>4</w:t>
            </w:r>
          </w:p>
        </w:tc>
        <w:tc>
          <w:tcPr>
            <w:tcW w:w="1431" w:type="pct"/>
            <w:tcBorders>
              <w:top w:val="nil"/>
              <w:left w:val="nil"/>
              <w:bottom w:val="nil"/>
              <w:right w:val="nil"/>
            </w:tcBorders>
            <w:shd w:val="clear" w:color="auto" w:fill="auto"/>
            <w:vAlign w:val="center"/>
          </w:tcPr>
          <w:p w14:paraId="04BC99E9">
            <w:pPr>
              <w:autoSpaceDE w:val="0"/>
              <w:autoSpaceDN w:val="0"/>
              <w:spacing w:line="300" w:lineRule="auto"/>
              <w:jc w:val="center"/>
              <w:rPr>
                <w:rFonts w:eastAsia="Times New Roman"/>
                <w:kern w:val="0"/>
                <w:sz w:val="18"/>
                <w:szCs w:val="18"/>
              </w:rPr>
            </w:pPr>
            <w:r>
              <w:rPr>
                <w:rFonts w:eastAsia="Times New Roman"/>
                <w:kern w:val="0"/>
                <w:sz w:val="18"/>
                <w:szCs w:val="18"/>
              </w:rPr>
              <w:t>Anhydrous ethanol II</w:t>
            </w:r>
          </w:p>
        </w:tc>
        <w:tc>
          <w:tcPr>
            <w:tcW w:w="714" w:type="pct"/>
            <w:tcBorders>
              <w:top w:val="nil"/>
              <w:left w:val="nil"/>
              <w:bottom w:val="nil"/>
              <w:right w:val="nil"/>
            </w:tcBorders>
            <w:shd w:val="clear" w:color="auto" w:fill="auto"/>
            <w:vAlign w:val="center"/>
          </w:tcPr>
          <w:p w14:paraId="52693478">
            <w:pPr>
              <w:autoSpaceDE w:val="0"/>
              <w:autoSpaceDN w:val="0"/>
              <w:spacing w:line="300" w:lineRule="auto"/>
              <w:jc w:val="center"/>
              <w:rPr>
                <w:rFonts w:eastAsia="Times New Roman"/>
                <w:kern w:val="0"/>
                <w:sz w:val="18"/>
                <w:szCs w:val="18"/>
              </w:rPr>
            </w:pPr>
            <w:r>
              <w:rPr>
                <w:rFonts w:eastAsia="Times New Roman"/>
                <w:kern w:val="0"/>
                <w:sz w:val="18"/>
                <w:szCs w:val="18"/>
              </w:rPr>
              <w:t>2 min</w:t>
            </w:r>
          </w:p>
        </w:tc>
        <w:tc>
          <w:tcPr>
            <w:tcW w:w="356" w:type="pct"/>
            <w:tcBorders>
              <w:top w:val="nil"/>
              <w:left w:val="nil"/>
              <w:bottom w:val="nil"/>
              <w:right w:val="nil"/>
            </w:tcBorders>
            <w:shd w:val="clear" w:color="auto" w:fill="auto"/>
            <w:vAlign w:val="center"/>
          </w:tcPr>
          <w:p w14:paraId="290EBB9B">
            <w:pPr>
              <w:autoSpaceDE w:val="0"/>
              <w:autoSpaceDN w:val="0"/>
              <w:spacing w:line="300" w:lineRule="auto"/>
              <w:jc w:val="center"/>
              <w:rPr>
                <w:rFonts w:eastAsia="Times New Roman"/>
                <w:kern w:val="0"/>
                <w:sz w:val="18"/>
                <w:szCs w:val="18"/>
              </w:rPr>
            </w:pPr>
            <w:r>
              <w:rPr>
                <w:rFonts w:eastAsia="Times New Roman"/>
                <w:kern w:val="0"/>
                <w:sz w:val="18"/>
                <w:szCs w:val="18"/>
              </w:rPr>
              <w:t>16</w:t>
            </w:r>
          </w:p>
        </w:tc>
        <w:tc>
          <w:tcPr>
            <w:tcW w:w="1431" w:type="pct"/>
            <w:tcBorders>
              <w:top w:val="nil"/>
              <w:left w:val="nil"/>
              <w:bottom w:val="nil"/>
              <w:right w:val="nil"/>
            </w:tcBorders>
            <w:shd w:val="clear" w:color="auto" w:fill="auto"/>
            <w:vAlign w:val="center"/>
          </w:tcPr>
          <w:p w14:paraId="3540053F">
            <w:pPr>
              <w:autoSpaceDE w:val="0"/>
              <w:autoSpaceDN w:val="0"/>
              <w:spacing w:line="300" w:lineRule="auto"/>
              <w:jc w:val="center"/>
              <w:rPr>
                <w:rFonts w:eastAsia="Times New Roman"/>
                <w:kern w:val="0"/>
                <w:sz w:val="18"/>
                <w:szCs w:val="18"/>
              </w:rPr>
            </w:pPr>
            <w:r>
              <w:rPr>
                <w:rFonts w:eastAsia="Times New Roman"/>
                <w:kern w:val="0"/>
                <w:sz w:val="18"/>
                <w:szCs w:val="18"/>
              </w:rPr>
              <w:t>Eosin staining</w:t>
            </w:r>
          </w:p>
        </w:tc>
        <w:tc>
          <w:tcPr>
            <w:tcW w:w="714" w:type="pct"/>
            <w:tcBorders>
              <w:top w:val="nil"/>
              <w:left w:val="nil"/>
              <w:bottom w:val="nil"/>
              <w:right w:val="nil"/>
            </w:tcBorders>
            <w:shd w:val="clear" w:color="auto" w:fill="auto"/>
            <w:vAlign w:val="center"/>
          </w:tcPr>
          <w:p w14:paraId="741616DA">
            <w:pPr>
              <w:autoSpaceDE w:val="0"/>
              <w:autoSpaceDN w:val="0"/>
              <w:spacing w:line="300" w:lineRule="auto"/>
              <w:jc w:val="center"/>
              <w:rPr>
                <w:rFonts w:eastAsia="Times New Roman"/>
                <w:kern w:val="0"/>
                <w:sz w:val="18"/>
                <w:szCs w:val="18"/>
              </w:rPr>
            </w:pPr>
            <w:r>
              <w:rPr>
                <w:rFonts w:eastAsia="Times New Roman"/>
                <w:kern w:val="0"/>
                <w:sz w:val="18"/>
                <w:szCs w:val="18"/>
              </w:rPr>
              <w:t>1 min</w:t>
            </w:r>
          </w:p>
        </w:tc>
      </w:tr>
      <w:tr w14:paraId="0C7F8B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53" w:type="pct"/>
            <w:tcBorders>
              <w:top w:val="nil"/>
              <w:left w:val="nil"/>
              <w:bottom w:val="nil"/>
              <w:right w:val="nil"/>
            </w:tcBorders>
            <w:shd w:val="clear" w:color="auto" w:fill="auto"/>
            <w:vAlign w:val="center"/>
          </w:tcPr>
          <w:p w14:paraId="1F8DC119">
            <w:pPr>
              <w:autoSpaceDE w:val="0"/>
              <w:autoSpaceDN w:val="0"/>
              <w:spacing w:line="300" w:lineRule="auto"/>
              <w:jc w:val="center"/>
              <w:rPr>
                <w:rFonts w:eastAsia="Times New Roman"/>
                <w:kern w:val="0"/>
                <w:sz w:val="18"/>
                <w:szCs w:val="18"/>
              </w:rPr>
            </w:pPr>
            <w:r>
              <w:rPr>
                <w:rFonts w:eastAsia="Times New Roman"/>
                <w:kern w:val="0"/>
                <w:sz w:val="18"/>
                <w:szCs w:val="18"/>
              </w:rPr>
              <w:t>5</w:t>
            </w:r>
          </w:p>
        </w:tc>
        <w:tc>
          <w:tcPr>
            <w:tcW w:w="1431" w:type="pct"/>
            <w:tcBorders>
              <w:top w:val="nil"/>
              <w:left w:val="nil"/>
              <w:bottom w:val="nil"/>
              <w:right w:val="nil"/>
            </w:tcBorders>
            <w:shd w:val="clear" w:color="auto" w:fill="auto"/>
            <w:vAlign w:val="center"/>
          </w:tcPr>
          <w:p w14:paraId="1C3598ED">
            <w:pPr>
              <w:autoSpaceDE w:val="0"/>
              <w:autoSpaceDN w:val="0"/>
              <w:spacing w:line="300" w:lineRule="auto"/>
              <w:jc w:val="center"/>
              <w:rPr>
                <w:rFonts w:eastAsia="Times New Roman"/>
                <w:kern w:val="0"/>
                <w:sz w:val="18"/>
                <w:szCs w:val="18"/>
              </w:rPr>
            </w:pPr>
            <w:r>
              <w:rPr>
                <w:rFonts w:eastAsia="Times New Roman"/>
                <w:kern w:val="0"/>
                <w:sz w:val="18"/>
                <w:szCs w:val="18"/>
              </w:rPr>
              <w:t>95% Ethanol I</w:t>
            </w:r>
          </w:p>
        </w:tc>
        <w:tc>
          <w:tcPr>
            <w:tcW w:w="714" w:type="pct"/>
            <w:tcBorders>
              <w:top w:val="nil"/>
              <w:left w:val="nil"/>
              <w:bottom w:val="nil"/>
              <w:right w:val="nil"/>
            </w:tcBorders>
            <w:shd w:val="clear" w:color="auto" w:fill="auto"/>
            <w:vAlign w:val="center"/>
          </w:tcPr>
          <w:p w14:paraId="4F388274">
            <w:pPr>
              <w:autoSpaceDE w:val="0"/>
              <w:autoSpaceDN w:val="0"/>
              <w:spacing w:line="300" w:lineRule="auto"/>
              <w:jc w:val="center"/>
              <w:rPr>
                <w:rFonts w:eastAsia="Times New Roman"/>
                <w:kern w:val="0"/>
                <w:sz w:val="18"/>
                <w:szCs w:val="18"/>
              </w:rPr>
            </w:pPr>
            <w:r>
              <w:rPr>
                <w:rFonts w:eastAsia="Times New Roman"/>
                <w:kern w:val="0"/>
                <w:sz w:val="18"/>
                <w:szCs w:val="18"/>
              </w:rPr>
              <w:t>2 min</w:t>
            </w:r>
          </w:p>
        </w:tc>
        <w:tc>
          <w:tcPr>
            <w:tcW w:w="356" w:type="pct"/>
            <w:tcBorders>
              <w:top w:val="nil"/>
              <w:left w:val="nil"/>
              <w:bottom w:val="nil"/>
              <w:right w:val="nil"/>
            </w:tcBorders>
            <w:shd w:val="clear" w:color="auto" w:fill="auto"/>
            <w:vAlign w:val="center"/>
          </w:tcPr>
          <w:p w14:paraId="45F18B7C">
            <w:pPr>
              <w:autoSpaceDE w:val="0"/>
              <w:autoSpaceDN w:val="0"/>
              <w:spacing w:line="300" w:lineRule="auto"/>
              <w:jc w:val="center"/>
              <w:rPr>
                <w:rFonts w:eastAsia="Times New Roman"/>
                <w:kern w:val="0"/>
                <w:sz w:val="18"/>
                <w:szCs w:val="18"/>
              </w:rPr>
            </w:pPr>
            <w:r>
              <w:rPr>
                <w:rFonts w:eastAsia="Times New Roman"/>
                <w:kern w:val="0"/>
                <w:sz w:val="18"/>
                <w:szCs w:val="18"/>
              </w:rPr>
              <w:t>17</w:t>
            </w:r>
          </w:p>
        </w:tc>
        <w:tc>
          <w:tcPr>
            <w:tcW w:w="1431" w:type="pct"/>
            <w:tcBorders>
              <w:top w:val="nil"/>
              <w:left w:val="nil"/>
              <w:bottom w:val="nil"/>
              <w:right w:val="nil"/>
            </w:tcBorders>
            <w:shd w:val="clear" w:color="auto" w:fill="auto"/>
            <w:vAlign w:val="center"/>
          </w:tcPr>
          <w:p w14:paraId="5E80EABD">
            <w:pPr>
              <w:autoSpaceDE w:val="0"/>
              <w:autoSpaceDN w:val="0"/>
              <w:spacing w:line="300" w:lineRule="auto"/>
              <w:jc w:val="center"/>
              <w:rPr>
                <w:rFonts w:eastAsia="Times New Roman"/>
                <w:kern w:val="0"/>
                <w:sz w:val="18"/>
                <w:szCs w:val="18"/>
              </w:rPr>
            </w:pPr>
            <w:r>
              <w:rPr>
                <w:rFonts w:eastAsia="Times New Roman"/>
                <w:kern w:val="0"/>
                <w:sz w:val="18"/>
                <w:szCs w:val="18"/>
              </w:rPr>
              <w:t>Tap water wash</w:t>
            </w:r>
          </w:p>
        </w:tc>
        <w:tc>
          <w:tcPr>
            <w:tcW w:w="714" w:type="pct"/>
            <w:tcBorders>
              <w:top w:val="nil"/>
              <w:left w:val="nil"/>
              <w:bottom w:val="nil"/>
              <w:right w:val="nil"/>
            </w:tcBorders>
            <w:shd w:val="clear" w:color="auto" w:fill="auto"/>
            <w:vAlign w:val="center"/>
          </w:tcPr>
          <w:p w14:paraId="12BA3492">
            <w:pPr>
              <w:autoSpaceDE w:val="0"/>
              <w:autoSpaceDN w:val="0"/>
              <w:spacing w:line="300" w:lineRule="auto"/>
              <w:jc w:val="center"/>
              <w:rPr>
                <w:rFonts w:eastAsia="Times New Roman"/>
                <w:kern w:val="0"/>
                <w:sz w:val="18"/>
                <w:szCs w:val="18"/>
              </w:rPr>
            </w:pPr>
            <w:r>
              <w:rPr>
                <w:rFonts w:eastAsia="Times New Roman"/>
                <w:kern w:val="0"/>
                <w:sz w:val="18"/>
                <w:szCs w:val="18"/>
              </w:rPr>
              <w:t>30 s</w:t>
            </w:r>
          </w:p>
        </w:tc>
      </w:tr>
      <w:tr w14:paraId="1A8C02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53" w:type="pct"/>
            <w:tcBorders>
              <w:top w:val="nil"/>
              <w:left w:val="nil"/>
              <w:bottom w:val="nil"/>
              <w:right w:val="nil"/>
            </w:tcBorders>
            <w:shd w:val="clear" w:color="auto" w:fill="auto"/>
            <w:vAlign w:val="center"/>
          </w:tcPr>
          <w:p w14:paraId="141F1085">
            <w:pPr>
              <w:autoSpaceDE w:val="0"/>
              <w:autoSpaceDN w:val="0"/>
              <w:spacing w:line="300" w:lineRule="auto"/>
              <w:jc w:val="center"/>
              <w:rPr>
                <w:rFonts w:eastAsia="Times New Roman"/>
                <w:kern w:val="0"/>
                <w:sz w:val="18"/>
                <w:szCs w:val="18"/>
              </w:rPr>
            </w:pPr>
            <w:r>
              <w:rPr>
                <w:rFonts w:eastAsia="Times New Roman"/>
                <w:kern w:val="0"/>
                <w:sz w:val="18"/>
                <w:szCs w:val="18"/>
              </w:rPr>
              <w:t>6</w:t>
            </w:r>
          </w:p>
        </w:tc>
        <w:tc>
          <w:tcPr>
            <w:tcW w:w="1431" w:type="pct"/>
            <w:tcBorders>
              <w:top w:val="nil"/>
              <w:left w:val="nil"/>
              <w:bottom w:val="nil"/>
              <w:right w:val="nil"/>
            </w:tcBorders>
            <w:shd w:val="clear" w:color="auto" w:fill="auto"/>
            <w:vAlign w:val="center"/>
          </w:tcPr>
          <w:p w14:paraId="06C98487">
            <w:pPr>
              <w:autoSpaceDE w:val="0"/>
              <w:autoSpaceDN w:val="0"/>
              <w:spacing w:line="300" w:lineRule="auto"/>
              <w:jc w:val="center"/>
              <w:rPr>
                <w:rFonts w:eastAsia="Times New Roman"/>
                <w:kern w:val="0"/>
                <w:sz w:val="18"/>
                <w:szCs w:val="18"/>
              </w:rPr>
            </w:pPr>
            <w:r>
              <w:rPr>
                <w:rFonts w:eastAsia="Times New Roman"/>
                <w:kern w:val="0"/>
                <w:sz w:val="18"/>
                <w:szCs w:val="18"/>
              </w:rPr>
              <w:t>95% Ethanol II</w:t>
            </w:r>
          </w:p>
        </w:tc>
        <w:tc>
          <w:tcPr>
            <w:tcW w:w="714" w:type="pct"/>
            <w:tcBorders>
              <w:top w:val="nil"/>
              <w:left w:val="nil"/>
              <w:bottom w:val="nil"/>
              <w:right w:val="nil"/>
            </w:tcBorders>
            <w:shd w:val="clear" w:color="auto" w:fill="auto"/>
            <w:vAlign w:val="center"/>
          </w:tcPr>
          <w:p w14:paraId="7BEDEA15">
            <w:pPr>
              <w:autoSpaceDE w:val="0"/>
              <w:autoSpaceDN w:val="0"/>
              <w:spacing w:line="300" w:lineRule="auto"/>
              <w:jc w:val="center"/>
              <w:rPr>
                <w:rFonts w:eastAsia="Times New Roman"/>
                <w:kern w:val="0"/>
                <w:sz w:val="18"/>
                <w:szCs w:val="18"/>
              </w:rPr>
            </w:pPr>
            <w:r>
              <w:rPr>
                <w:rFonts w:eastAsia="Times New Roman"/>
                <w:kern w:val="0"/>
                <w:sz w:val="18"/>
                <w:szCs w:val="18"/>
              </w:rPr>
              <w:t>2 min</w:t>
            </w:r>
          </w:p>
        </w:tc>
        <w:tc>
          <w:tcPr>
            <w:tcW w:w="356" w:type="pct"/>
            <w:tcBorders>
              <w:top w:val="nil"/>
              <w:left w:val="nil"/>
              <w:bottom w:val="nil"/>
              <w:right w:val="nil"/>
            </w:tcBorders>
            <w:shd w:val="clear" w:color="auto" w:fill="auto"/>
            <w:vAlign w:val="center"/>
          </w:tcPr>
          <w:p w14:paraId="713A2CEC">
            <w:pPr>
              <w:autoSpaceDE w:val="0"/>
              <w:autoSpaceDN w:val="0"/>
              <w:spacing w:line="300" w:lineRule="auto"/>
              <w:jc w:val="center"/>
              <w:rPr>
                <w:rFonts w:eastAsia="Times New Roman"/>
                <w:kern w:val="0"/>
                <w:sz w:val="18"/>
                <w:szCs w:val="18"/>
              </w:rPr>
            </w:pPr>
            <w:r>
              <w:rPr>
                <w:rFonts w:eastAsia="Times New Roman"/>
                <w:kern w:val="0"/>
                <w:sz w:val="18"/>
                <w:szCs w:val="18"/>
              </w:rPr>
              <w:t>18</w:t>
            </w:r>
          </w:p>
        </w:tc>
        <w:tc>
          <w:tcPr>
            <w:tcW w:w="1431" w:type="pct"/>
            <w:tcBorders>
              <w:top w:val="nil"/>
              <w:left w:val="nil"/>
              <w:bottom w:val="nil"/>
              <w:right w:val="nil"/>
            </w:tcBorders>
            <w:shd w:val="clear" w:color="auto" w:fill="auto"/>
            <w:vAlign w:val="center"/>
          </w:tcPr>
          <w:p w14:paraId="5FDA5F54">
            <w:pPr>
              <w:autoSpaceDE w:val="0"/>
              <w:autoSpaceDN w:val="0"/>
              <w:spacing w:line="300" w:lineRule="auto"/>
              <w:jc w:val="center"/>
              <w:rPr>
                <w:rFonts w:eastAsia="Times New Roman"/>
                <w:kern w:val="0"/>
                <w:sz w:val="18"/>
                <w:szCs w:val="18"/>
                <w:lang w:bidi="ar-SA"/>
              </w:rPr>
            </w:pPr>
            <w:r>
              <w:rPr>
                <w:rFonts w:eastAsia="Times New Roman"/>
                <w:kern w:val="0"/>
                <w:sz w:val="18"/>
                <w:szCs w:val="18"/>
              </w:rPr>
              <w:t>80% Ethanol</w:t>
            </w:r>
          </w:p>
        </w:tc>
        <w:tc>
          <w:tcPr>
            <w:tcW w:w="714" w:type="pct"/>
            <w:tcBorders>
              <w:top w:val="nil"/>
              <w:left w:val="nil"/>
              <w:bottom w:val="nil"/>
              <w:right w:val="nil"/>
            </w:tcBorders>
            <w:shd w:val="clear" w:color="auto" w:fill="auto"/>
            <w:vAlign w:val="center"/>
          </w:tcPr>
          <w:p w14:paraId="5788149F">
            <w:pPr>
              <w:autoSpaceDE w:val="0"/>
              <w:autoSpaceDN w:val="0"/>
              <w:spacing w:line="300" w:lineRule="auto"/>
              <w:jc w:val="center"/>
              <w:rPr>
                <w:rFonts w:eastAsia="Times New Roman"/>
                <w:kern w:val="0"/>
                <w:sz w:val="18"/>
                <w:szCs w:val="18"/>
              </w:rPr>
            </w:pPr>
            <w:r>
              <w:rPr>
                <w:rFonts w:eastAsia="Times New Roman"/>
                <w:kern w:val="0"/>
                <w:sz w:val="18"/>
                <w:szCs w:val="18"/>
              </w:rPr>
              <w:t>20 s</w:t>
            </w:r>
          </w:p>
        </w:tc>
      </w:tr>
      <w:tr w14:paraId="10A126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53" w:type="pct"/>
            <w:tcBorders>
              <w:top w:val="nil"/>
              <w:left w:val="nil"/>
              <w:bottom w:val="nil"/>
              <w:right w:val="nil"/>
            </w:tcBorders>
            <w:shd w:val="clear" w:color="auto" w:fill="auto"/>
            <w:vAlign w:val="center"/>
          </w:tcPr>
          <w:p w14:paraId="084175C8">
            <w:pPr>
              <w:autoSpaceDE w:val="0"/>
              <w:autoSpaceDN w:val="0"/>
              <w:spacing w:line="300" w:lineRule="auto"/>
              <w:jc w:val="center"/>
              <w:rPr>
                <w:rFonts w:eastAsia="Times New Roman"/>
                <w:kern w:val="0"/>
                <w:sz w:val="18"/>
                <w:szCs w:val="18"/>
              </w:rPr>
            </w:pPr>
            <w:r>
              <w:rPr>
                <w:rFonts w:eastAsia="Times New Roman"/>
                <w:kern w:val="0"/>
                <w:sz w:val="18"/>
                <w:szCs w:val="18"/>
              </w:rPr>
              <w:t>7</w:t>
            </w:r>
          </w:p>
        </w:tc>
        <w:tc>
          <w:tcPr>
            <w:tcW w:w="1431" w:type="pct"/>
            <w:tcBorders>
              <w:top w:val="nil"/>
              <w:left w:val="nil"/>
              <w:bottom w:val="nil"/>
              <w:right w:val="nil"/>
            </w:tcBorders>
            <w:shd w:val="clear" w:color="auto" w:fill="auto"/>
            <w:vAlign w:val="center"/>
          </w:tcPr>
          <w:p w14:paraId="52502E68">
            <w:pPr>
              <w:autoSpaceDE w:val="0"/>
              <w:autoSpaceDN w:val="0"/>
              <w:spacing w:line="300" w:lineRule="auto"/>
              <w:jc w:val="center"/>
              <w:rPr>
                <w:rFonts w:eastAsia="Times New Roman"/>
                <w:kern w:val="0"/>
                <w:sz w:val="18"/>
                <w:szCs w:val="18"/>
              </w:rPr>
            </w:pPr>
            <w:r>
              <w:rPr>
                <w:rFonts w:eastAsia="Times New Roman"/>
                <w:kern w:val="0"/>
                <w:sz w:val="18"/>
                <w:szCs w:val="18"/>
              </w:rPr>
              <w:t>70% Ethanol</w:t>
            </w:r>
          </w:p>
        </w:tc>
        <w:tc>
          <w:tcPr>
            <w:tcW w:w="714" w:type="pct"/>
            <w:tcBorders>
              <w:top w:val="nil"/>
              <w:left w:val="nil"/>
              <w:bottom w:val="nil"/>
              <w:right w:val="nil"/>
            </w:tcBorders>
            <w:shd w:val="clear" w:color="auto" w:fill="auto"/>
            <w:vAlign w:val="center"/>
          </w:tcPr>
          <w:p w14:paraId="691120D3">
            <w:pPr>
              <w:autoSpaceDE w:val="0"/>
              <w:autoSpaceDN w:val="0"/>
              <w:spacing w:line="300" w:lineRule="auto"/>
              <w:jc w:val="center"/>
              <w:rPr>
                <w:rFonts w:eastAsia="Times New Roman"/>
                <w:kern w:val="0"/>
                <w:sz w:val="18"/>
                <w:szCs w:val="18"/>
              </w:rPr>
            </w:pPr>
            <w:r>
              <w:rPr>
                <w:rFonts w:eastAsia="Times New Roman"/>
                <w:kern w:val="0"/>
                <w:sz w:val="18"/>
                <w:szCs w:val="18"/>
              </w:rPr>
              <w:t>2 min</w:t>
            </w:r>
          </w:p>
        </w:tc>
        <w:tc>
          <w:tcPr>
            <w:tcW w:w="356" w:type="pct"/>
            <w:tcBorders>
              <w:top w:val="nil"/>
              <w:left w:val="nil"/>
              <w:bottom w:val="nil"/>
              <w:right w:val="nil"/>
            </w:tcBorders>
            <w:shd w:val="clear" w:color="auto" w:fill="auto"/>
            <w:vAlign w:val="center"/>
          </w:tcPr>
          <w:p w14:paraId="51251EB6">
            <w:pPr>
              <w:autoSpaceDE w:val="0"/>
              <w:autoSpaceDN w:val="0"/>
              <w:spacing w:line="300" w:lineRule="auto"/>
              <w:jc w:val="center"/>
              <w:rPr>
                <w:rFonts w:eastAsia="Times New Roman"/>
                <w:kern w:val="0"/>
                <w:sz w:val="18"/>
                <w:szCs w:val="18"/>
              </w:rPr>
            </w:pPr>
            <w:r>
              <w:rPr>
                <w:rFonts w:eastAsia="Times New Roman"/>
                <w:kern w:val="0"/>
                <w:sz w:val="18"/>
                <w:szCs w:val="18"/>
              </w:rPr>
              <w:t>19</w:t>
            </w:r>
          </w:p>
        </w:tc>
        <w:tc>
          <w:tcPr>
            <w:tcW w:w="1431" w:type="pct"/>
            <w:tcBorders>
              <w:top w:val="nil"/>
              <w:left w:val="nil"/>
              <w:bottom w:val="nil"/>
              <w:right w:val="nil"/>
            </w:tcBorders>
            <w:shd w:val="clear" w:color="auto" w:fill="auto"/>
            <w:vAlign w:val="center"/>
          </w:tcPr>
          <w:p w14:paraId="181800B7">
            <w:pPr>
              <w:autoSpaceDE w:val="0"/>
              <w:autoSpaceDN w:val="0"/>
              <w:spacing w:line="300" w:lineRule="auto"/>
              <w:jc w:val="center"/>
              <w:rPr>
                <w:rFonts w:eastAsia="Times New Roman"/>
                <w:kern w:val="0"/>
                <w:sz w:val="18"/>
                <w:szCs w:val="18"/>
                <w:lang w:bidi="ar-SA"/>
              </w:rPr>
            </w:pPr>
            <w:r>
              <w:rPr>
                <w:rFonts w:eastAsia="Times New Roman"/>
                <w:kern w:val="0"/>
                <w:sz w:val="18"/>
                <w:szCs w:val="18"/>
              </w:rPr>
              <w:t>80% Ethanol</w:t>
            </w:r>
          </w:p>
        </w:tc>
        <w:tc>
          <w:tcPr>
            <w:tcW w:w="714" w:type="pct"/>
            <w:tcBorders>
              <w:top w:val="nil"/>
              <w:left w:val="nil"/>
              <w:bottom w:val="nil"/>
              <w:right w:val="nil"/>
            </w:tcBorders>
            <w:shd w:val="clear" w:color="auto" w:fill="auto"/>
            <w:vAlign w:val="center"/>
          </w:tcPr>
          <w:p w14:paraId="6BE022BA">
            <w:pPr>
              <w:autoSpaceDE w:val="0"/>
              <w:autoSpaceDN w:val="0"/>
              <w:spacing w:line="300" w:lineRule="auto"/>
              <w:jc w:val="center"/>
              <w:rPr>
                <w:rFonts w:eastAsia="Times New Roman"/>
                <w:kern w:val="0"/>
                <w:sz w:val="18"/>
                <w:szCs w:val="18"/>
              </w:rPr>
            </w:pPr>
            <w:r>
              <w:rPr>
                <w:rFonts w:eastAsia="Times New Roman"/>
                <w:kern w:val="0"/>
                <w:sz w:val="18"/>
                <w:szCs w:val="18"/>
              </w:rPr>
              <w:t>30 s</w:t>
            </w:r>
          </w:p>
        </w:tc>
      </w:tr>
      <w:tr w14:paraId="28A48C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53" w:type="pct"/>
            <w:tcBorders>
              <w:top w:val="nil"/>
              <w:left w:val="nil"/>
              <w:bottom w:val="nil"/>
              <w:right w:val="nil"/>
            </w:tcBorders>
            <w:shd w:val="clear" w:color="auto" w:fill="auto"/>
            <w:vAlign w:val="center"/>
          </w:tcPr>
          <w:p w14:paraId="115DD345">
            <w:pPr>
              <w:autoSpaceDE w:val="0"/>
              <w:autoSpaceDN w:val="0"/>
              <w:spacing w:line="300" w:lineRule="auto"/>
              <w:jc w:val="center"/>
              <w:rPr>
                <w:rFonts w:eastAsia="Times New Roman"/>
                <w:kern w:val="0"/>
                <w:sz w:val="18"/>
                <w:szCs w:val="18"/>
              </w:rPr>
            </w:pPr>
            <w:r>
              <w:rPr>
                <w:rFonts w:eastAsia="Times New Roman"/>
                <w:kern w:val="0"/>
                <w:sz w:val="18"/>
                <w:szCs w:val="18"/>
              </w:rPr>
              <w:t>8</w:t>
            </w:r>
          </w:p>
        </w:tc>
        <w:tc>
          <w:tcPr>
            <w:tcW w:w="1431" w:type="pct"/>
            <w:tcBorders>
              <w:top w:val="nil"/>
              <w:left w:val="nil"/>
              <w:bottom w:val="nil"/>
              <w:right w:val="nil"/>
            </w:tcBorders>
            <w:shd w:val="clear" w:color="auto" w:fill="auto"/>
            <w:vAlign w:val="center"/>
          </w:tcPr>
          <w:p w14:paraId="577EBAC2">
            <w:pPr>
              <w:autoSpaceDE w:val="0"/>
              <w:autoSpaceDN w:val="0"/>
              <w:spacing w:line="300" w:lineRule="auto"/>
              <w:jc w:val="center"/>
              <w:rPr>
                <w:rFonts w:eastAsia="Times New Roman"/>
                <w:kern w:val="0"/>
                <w:sz w:val="18"/>
                <w:szCs w:val="18"/>
              </w:rPr>
            </w:pPr>
            <w:r>
              <w:rPr>
                <w:rFonts w:eastAsia="Times New Roman"/>
                <w:kern w:val="0"/>
                <w:sz w:val="18"/>
                <w:szCs w:val="18"/>
              </w:rPr>
              <w:t>50% Ethanol</w:t>
            </w:r>
          </w:p>
        </w:tc>
        <w:tc>
          <w:tcPr>
            <w:tcW w:w="714" w:type="pct"/>
            <w:tcBorders>
              <w:top w:val="nil"/>
              <w:left w:val="nil"/>
              <w:bottom w:val="nil"/>
              <w:right w:val="nil"/>
            </w:tcBorders>
            <w:shd w:val="clear" w:color="auto" w:fill="auto"/>
            <w:vAlign w:val="center"/>
          </w:tcPr>
          <w:p w14:paraId="33CF8343">
            <w:pPr>
              <w:autoSpaceDE w:val="0"/>
              <w:autoSpaceDN w:val="0"/>
              <w:spacing w:line="300" w:lineRule="auto"/>
              <w:jc w:val="center"/>
              <w:rPr>
                <w:rFonts w:eastAsia="Times New Roman"/>
                <w:kern w:val="0"/>
                <w:sz w:val="18"/>
                <w:szCs w:val="18"/>
              </w:rPr>
            </w:pPr>
            <w:r>
              <w:rPr>
                <w:rFonts w:eastAsia="Times New Roman"/>
                <w:kern w:val="0"/>
                <w:sz w:val="18"/>
                <w:szCs w:val="18"/>
              </w:rPr>
              <w:t>2 min</w:t>
            </w:r>
          </w:p>
        </w:tc>
        <w:tc>
          <w:tcPr>
            <w:tcW w:w="356" w:type="pct"/>
            <w:tcBorders>
              <w:top w:val="nil"/>
              <w:left w:val="nil"/>
              <w:bottom w:val="nil"/>
              <w:right w:val="nil"/>
            </w:tcBorders>
            <w:shd w:val="clear" w:color="auto" w:fill="auto"/>
            <w:vAlign w:val="center"/>
          </w:tcPr>
          <w:p w14:paraId="3AEB7290">
            <w:pPr>
              <w:autoSpaceDE w:val="0"/>
              <w:autoSpaceDN w:val="0"/>
              <w:spacing w:line="300" w:lineRule="auto"/>
              <w:jc w:val="center"/>
              <w:rPr>
                <w:rFonts w:eastAsia="Times New Roman"/>
                <w:kern w:val="0"/>
                <w:sz w:val="18"/>
                <w:szCs w:val="18"/>
              </w:rPr>
            </w:pPr>
            <w:r>
              <w:rPr>
                <w:rFonts w:eastAsia="Times New Roman"/>
                <w:kern w:val="0"/>
                <w:sz w:val="18"/>
                <w:szCs w:val="18"/>
              </w:rPr>
              <w:t>20</w:t>
            </w:r>
          </w:p>
        </w:tc>
        <w:tc>
          <w:tcPr>
            <w:tcW w:w="1431" w:type="pct"/>
            <w:tcBorders>
              <w:top w:val="nil"/>
              <w:left w:val="nil"/>
              <w:bottom w:val="nil"/>
              <w:right w:val="nil"/>
            </w:tcBorders>
            <w:shd w:val="clear" w:color="auto" w:fill="auto"/>
            <w:vAlign w:val="center"/>
          </w:tcPr>
          <w:p w14:paraId="7596D441">
            <w:pPr>
              <w:autoSpaceDE w:val="0"/>
              <w:autoSpaceDN w:val="0"/>
              <w:spacing w:line="300" w:lineRule="auto"/>
              <w:jc w:val="center"/>
              <w:rPr>
                <w:rFonts w:eastAsia="Times New Roman"/>
                <w:kern w:val="0"/>
                <w:sz w:val="18"/>
                <w:szCs w:val="18"/>
              </w:rPr>
            </w:pPr>
            <w:r>
              <w:rPr>
                <w:rFonts w:eastAsia="Times New Roman"/>
                <w:kern w:val="0"/>
                <w:sz w:val="18"/>
                <w:szCs w:val="18"/>
              </w:rPr>
              <w:t>Anhydrous ethanol I</w:t>
            </w:r>
          </w:p>
        </w:tc>
        <w:tc>
          <w:tcPr>
            <w:tcW w:w="714" w:type="pct"/>
            <w:tcBorders>
              <w:top w:val="nil"/>
              <w:left w:val="nil"/>
              <w:bottom w:val="nil"/>
              <w:right w:val="nil"/>
            </w:tcBorders>
            <w:shd w:val="clear" w:color="auto" w:fill="auto"/>
            <w:vAlign w:val="center"/>
          </w:tcPr>
          <w:p w14:paraId="3659A891">
            <w:pPr>
              <w:autoSpaceDE w:val="0"/>
              <w:autoSpaceDN w:val="0"/>
              <w:spacing w:line="300" w:lineRule="auto"/>
              <w:jc w:val="center"/>
              <w:rPr>
                <w:rFonts w:eastAsia="Times New Roman"/>
                <w:kern w:val="0"/>
                <w:sz w:val="18"/>
                <w:szCs w:val="18"/>
              </w:rPr>
            </w:pPr>
            <w:r>
              <w:rPr>
                <w:rFonts w:eastAsia="Times New Roman"/>
                <w:kern w:val="0"/>
                <w:sz w:val="18"/>
                <w:szCs w:val="18"/>
              </w:rPr>
              <w:t>2 min</w:t>
            </w:r>
          </w:p>
        </w:tc>
      </w:tr>
      <w:tr w14:paraId="0C83D8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53" w:type="pct"/>
            <w:tcBorders>
              <w:top w:val="nil"/>
              <w:left w:val="nil"/>
              <w:bottom w:val="nil"/>
              <w:right w:val="nil"/>
            </w:tcBorders>
            <w:shd w:val="clear" w:color="auto" w:fill="auto"/>
            <w:vAlign w:val="center"/>
          </w:tcPr>
          <w:p w14:paraId="4BA8618F">
            <w:pPr>
              <w:autoSpaceDE w:val="0"/>
              <w:autoSpaceDN w:val="0"/>
              <w:spacing w:line="300" w:lineRule="auto"/>
              <w:jc w:val="center"/>
              <w:rPr>
                <w:rFonts w:eastAsia="Times New Roman"/>
                <w:kern w:val="0"/>
                <w:sz w:val="18"/>
                <w:szCs w:val="18"/>
              </w:rPr>
            </w:pPr>
            <w:r>
              <w:rPr>
                <w:rFonts w:eastAsia="Times New Roman"/>
                <w:kern w:val="0"/>
                <w:sz w:val="18"/>
                <w:szCs w:val="18"/>
              </w:rPr>
              <w:t>9</w:t>
            </w:r>
          </w:p>
        </w:tc>
        <w:tc>
          <w:tcPr>
            <w:tcW w:w="1431" w:type="pct"/>
            <w:tcBorders>
              <w:top w:val="nil"/>
              <w:left w:val="nil"/>
              <w:bottom w:val="nil"/>
              <w:right w:val="nil"/>
            </w:tcBorders>
            <w:shd w:val="clear" w:color="auto" w:fill="auto"/>
            <w:vAlign w:val="center"/>
          </w:tcPr>
          <w:p w14:paraId="15B38C22">
            <w:pPr>
              <w:autoSpaceDE w:val="0"/>
              <w:autoSpaceDN w:val="0"/>
              <w:spacing w:line="300" w:lineRule="auto"/>
              <w:jc w:val="center"/>
              <w:rPr>
                <w:rFonts w:eastAsia="Times New Roman"/>
                <w:kern w:val="0"/>
                <w:sz w:val="18"/>
                <w:szCs w:val="18"/>
              </w:rPr>
            </w:pPr>
            <w:r>
              <w:rPr>
                <w:rFonts w:eastAsia="Times New Roman"/>
                <w:kern w:val="0"/>
                <w:sz w:val="18"/>
                <w:szCs w:val="18"/>
              </w:rPr>
              <w:t>Tap water wash</w:t>
            </w:r>
          </w:p>
        </w:tc>
        <w:tc>
          <w:tcPr>
            <w:tcW w:w="714" w:type="pct"/>
            <w:tcBorders>
              <w:top w:val="nil"/>
              <w:left w:val="nil"/>
              <w:bottom w:val="nil"/>
              <w:right w:val="nil"/>
            </w:tcBorders>
            <w:shd w:val="clear" w:color="auto" w:fill="auto"/>
            <w:vAlign w:val="center"/>
          </w:tcPr>
          <w:p w14:paraId="2413BE62">
            <w:pPr>
              <w:autoSpaceDE w:val="0"/>
              <w:autoSpaceDN w:val="0"/>
              <w:spacing w:line="300" w:lineRule="auto"/>
              <w:jc w:val="center"/>
              <w:rPr>
                <w:rFonts w:eastAsia="Times New Roman"/>
                <w:kern w:val="0"/>
                <w:sz w:val="18"/>
                <w:szCs w:val="18"/>
              </w:rPr>
            </w:pPr>
            <w:r>
              <w:rPr>
                <w:rFonts w:eastAsia="Times New Roman"/>
                <w:kern w:val="0"/>
                <w:sz w:val="18"/>
                <w:szCs w:val="18"/>
              </w:rPr>
              <w:t>2 min</w:t>
            </w:r>
          </w:p>
        </w:tc>
        <w:tc>
          <w:tcPr>
            <w:tcW w:w="356" w:type="pct"/>
            <w:tcBorders>
              <w:top w:val="nil"/>
              <w:left w:val="nil"/>
              <w:bottom w:val="nil"/>
              <w:right w:val="nil"/>
            </w:tcBorders>
            <w:shd w:val="clear" w:color="auto" w:fill="auto"/>
            <w:vAlign w:val="center"/>
          </w:tcPr>
          <w:p w14:paraId="247B7AC3">
            <w:pPr>
              <w:autoSpaceDE w:val="0"/>
              <w:autoSpaceDN w:val="0"/>
              <w:spacing w:line="300" w:lineRule="auto"/>
              <w:jc w:val="center"/>
              <w:rPr>
                <w:rFonts w:eastAsia="Times New Roman"/>
                <w:kern w:val="0"/>
                <w:sz w:val="18"/>
                <w:szCs w:val="18"/>
              </w:rPr>
            </w:pPr>
            <w:r>
              <w:rPr>
                <w:rFonts w:eastAsia="Times New Roman"/>
                <w:kern w:val="0"/>
                <w:sz w:val="18"/>
                <w:szCs w:val="18"/>
              </w:rPr>
              <w:t>21</w:t>
            </w:r>
          </w:p>
        </w:tc>
        <w:tc>
          <w:tcPr>
            <w:tcW w:w="1431" w:type="pct"/>
            <w:tcBorders>
              <w:top w:val="nil"/>
              <w:left w:val="nil"/>
              <w:bottom w:val="nil"/>
              <w:right w:val="nil"/>
            </w:tcBorders>
            <w:shd w:val="clear" w:color="auto" w:fill="auto"/>
            <w:vAlign w:val="center"/>
          </w:tcPr>
          <w:p w14:paraId="3021576B">
            <w:pPr>
              <w:autoSpaceDE w:val="0"/>
              <w:autoSpaceDN w:val="0"/>
              <w:spacing w:line="300" w:lineRule="auto"/>
              <w:jc w:val="center"/>
              <w:rPr>
                <w:rFonts w:eastAsia="Times New Roman"/>
                <w:kern w:val="0"/>
                <w:sz w:val="18"/>
                <w:szCs w:val="18"/>
              </w:rPr>
            </w:pPr>
            <w:r>
              <w:rPr>
                <w:rFonts w:eastAsia="Times New Roman"/>
                <w:kern w:val="0"/>
                <w:sz w:val="18"/>
                <w:szCs w:val="18"/>
              </w:rPr>
              <w:t>Anhydrous ethanol II</w:t>
            </w:r>
          </w:p>
        </w:tc>
        <w:tc>
          <w:tcPr>
            <w:tcW w:w="714" w:type="pct"/>
            <w:tcBorders>
              <w:top w:val="nil"/>
              <w:left w:val="nil"/>
              <w:bottom w:val="nil"/>
              <w:right w:val="nil"/>
            </w:tcBorders>
            <w:shd w:val="clear" w:color="auto" w:fill="auto"/>
            <w:vAlign w:val="center"/>
          </w:tcPr>
          <w:p w14:paraId="0A236FC7">
            <w:pPr>
              <w:autoSpaceDE w:val="0"/>
              <w:autoSpaceDN w:val="0"/>
              <w:spacing w:line="300" w:lineRule="auto"/>
              <w:jc w:val="center"/>
              <w:rPr>
                <w:rFonts w:eastAsia="Times New Roman"/>
                <w:kern w:val="0"/>
                <w:sz w:val="18"/>
                <w:szCs w:val="18"/>
              </w:rPr>
            </w:pPr>
            <w:r>
              <w:rPr>
                <w:rFonts w:eastAsia="Times New Roman"/>
                <w:kern w:val="0"/>
                <w:sz w:val="18"/>
                <w:szCs w:val="18"/>
              </w:rPr>
              <w:t>2 min</w:t>
            </w:r>
          </w:p>
        </w:tc>
      </w:tr>
      <w:tr w14:paraId="77ECD3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53" w:type="pct"/>
            <w:tcBorders>
              <w:top w:val="nil"/>
              <w:left w:val="nil"/>
              <w:bottom w:val="nil"/>
              <w:right w:val="nil"/>
            </w:tcBorders>
            <w:shd w:val="clear" w:color="auto" w:fill="auto"/>
            <w:vAlign w:val="center"/>
          </w:tcPr>
          <w:p w14:paraId="3922AF1C">
            <w:pPr>
              <w:autoSpaceDE w:val="0"/>
              <w:autoSpaceDN w:val="0"/>
              <w:spacing w:line="300" w:lineRule="auto"/>
              <w:jc w:val="center"/>
              <w:rPr>
                <w:rFonts w:eastAsia="Times New Roman"/>
                <w:kern w:val="0"/>
                <w:sz w:val="18"/>
                <w:szCs w:val="18"/>
              </w:rPr>
            </w:pPr>
            <w:r>
              <w:rPr>
                <w:rFonts w:eastAsia="Times New Roman"/>
                <w:kern w:val="0"/>
                <w:sz w:val="18"/>
                <w:szCs w:val="18"/>
              </w:rPr>
              <w:t>10</w:t>
            </w:r>
          </w:p>
        </w:tc>
        <w:tc>
          <w:tcPr>
            <w:tcW w:w="1431" w:type="pct"/>
            <w:tcBorders>
              <w:top w:val="nil"/>
              <w:left w:val="nil"/>
              <w:bottom w:val="nil"/>
              <w:right w:val="nil"/>
            </w:tcBorders>
            <w:shd w:val="clear" w:color="auto" w:fill="auto"/>
            <w:vAlign w:val="center"/>
          </w:tcPr>
          <w:p w14:paraId="02A49A72">
            <w:pPr>
              <w:autoSpaceDE w:val="0"/>
              <w:autoSpaceDN w:val="0"/>
              <w:spacing w:line="300" w:lineRule="auto"/>
              <w:jc w:val="center"/>
              <w:rPr>
                <w:rFonts w:eastAsia="Times New Roman"/>
                <w:kern w:val="0"/>
                <w:sz w:val="18"/>
                <w:szCs w:val="18"/>
              </w:rPr>
            </w:pPr>
            <w:r>
              <w:rPr>
                <w:rFonts w:eastAsia="Times New Roman"/>
                <w:kern w:val="0"/>
                <w:sz w:val="18"/>
                <w:szCs w:val="18"/>
              </w:rPr>
              <w:t>Hematoxylin staining</w:t>
            </w:r>
          </w:p>
        </w:tc>
        <w:tc>
          <w:tcPr>
            <w:tcW w:w="714" w:type="pct"/>
            <w:tcBorders>
              <w:top w:val="nil"/>
              <w:left w:val="nil"/>
              <w:bottom w:val="nil"/>
              <w:right w:val="nil"/>
            </w:tcBorders>
            <w:shd w:val="clear" w:color="auto" w:fill="auto"/>
            <w:vAlign w:val="center"/>
          </w:tcPr>
          <w:p w14:paraId="7FC5AFA6">
            <w:pPr>
              <w:autoSpaceDE w:val="0"/>
              <w:autoSpaceDN w:val="0"/>
              <w:spacing w:line="300" w:lineRule="auto"/>
              <w:jc w:val="center"/>
              <w:rPr>
                <w:rFonts w:eastAsia="Times New Roman"/>
                <w:kern w:val="0"/>
                <w:sz w:val="18"/>
                <w:szCs w:val="18"/>
              </w:rPr>
            </w:pPr>
            <w:r>
              <w:rPr>
                <w:rFonts w:eastAsia="Times New Roman"/>
                <w:kern w:val="0"/>
                <w:sz w:val="18"/>
                <w:szCs w:val="18"/>
              </w:rPr>
              <w:t>6 min</w:t>
            </w:r>
          </w:p>
        </w:tc>
        <w:tc>
          <w:tcPr>
            <w:tcW w:w="356" w:type="pct"/>
            <w:tcBorders>
              <w:top w:val="nil"/>
              <w:left w:val="nil"/>
              <w:bottom w:val="nil"/>
              <w:right w:val="nil"/>
            </w:tcBorders>
            <w:shd w:val="clear" w:color="auto" w:fill="auto"/>
            <w:vAlign w:val="center"/>
          </w:tcPr>
          <w:p w14:paraId="5DF061E6">
            <w:pPr>
              <w:autoSpaceDE w:val="0"/>
              <w:autoSpaceDN w:val="0"/>
              <w:spacing w:line="300" w:lineRule="auto"/>
              <w:jc w:val="center"/>
              <w:rPr>
                <w:rFonts w:eastAsia="Times New Roman"/>
                <w:kern w:val="0"/>
                <w:sz w:val="18"/>
                <w:szCs w:val="18"/>
              </w:rPr>
            </w:pPr>
            <w:r>
              <w:rPr>
                <w:rFonts w:eastAsia="Times New Roman"/>
                <w:kern w:val="0"/>
                <w:sz w:val="18"/>
                <w:szCs w:val="18"/>
              </w:rPr>
              <w:t>22</w:t>
            </w:r>
          </w:p>
        </w:tc>
        <w:tc>
          <w:tcPr>
            <w:tcW w:w="1431" w:type="pct"/>
            <w:tcBorders>
              <w:top w:val="nil"/>
              <w:left w:val="nil"/>
              <w:bottom w:val="nil"/>
              <w:right w:val="nil"/>
            </w:tcBorders>
            <w:shd w:val="clear" w:color="auto" w:fill="auto"/>
            <w:vAlign w:val="center"/>
          </w:tcPr>
          <w:p w14:paraId="69E8A95E">
            <w:pPr>
              <w:autoSpaceDE w:val="0"/>
              <w:autoSpaceDN w:val="0"/>
              <w:spacing w:line="300" w:lineRule="auto"/>
              <w:jc w:val="center"/>
              <w:rPr>
                <w:rFonts w:eastAsia="Times New Roman"/>
                <w:kern w:val="0"/>
                <w:sz w:val="18"/>
                <w:szCs w:val="18"/>
                <w:lang w:bidi="ar-SA"/>
              </w:rPr>
            </w:pPr>
            <w:r>
              <w:rPr>
                <w:rFonts w:eastAsia="Times New Roman"/>
                <w:kern w:val="0"/>
                <w:sz w:val="18"/>
                <w:szCs w:val="18"/>
                <w:lang w:bidi="ar-SA"/>
              </w:rPr>
              <w:t>Transparency with xylene I</w:t>
            </w:r>
          </w:p>
        </w:tc>
        <w:tc>
          <w:tcPr>
            <w:tcW w:w="714" w:type="pct"/>
            <w:tcBorders>
              <w:top w:val="nil"/>
              <w:left w:val="nil"/>
              <w:bottom w:val="nil"/>
              <w:right w:val="nil"/>
            </w:tcBorders>
            <w:shd w:val="clear" w:color="auto" w:fill="auto"/>
            <w:vAlign w:val="center"/>
          </w:tcPr>
          <w:p w14:paraId="1DB65BCF">
            <w:pPr>
              <w:autoSpaceDE w:val="0"/>
              <w:autoSpaceDN w:val="0"/>
              <w:spacing w:line="300" w:lineRule="auto"/>
              <w:jc w:val="center"/>
              <w:rPr>
                <w:rFonts w:eastAsia="Times New Roman"/>
                <w:kern w:val="0"/>
                <w:sz w:val="18"/>
                <w:szCs w:val="18"/>
              </w:rPr>
            </w:pPr>
            <w:r>
              <w:rPr>
                <w:rFonts w:eastAsia="Times New Roman"/>
                <w:kern w:val="0"/>
                <w:sz w:val="18"/>
                <w:szCs w:val="18"/>
              </w:rPr>
              <w:t>10 min</w:t>
            </w:r>
          </w:p>
        </w:tc>
      </w:tr>
      <w:tr w14:paraId="424580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53" w:type="pct"/>
            <w:tcBorders>
              <w:top w:val="nil"/>
              <w:left w:val="nil"/>
              <w:bottom w:val="nil"/>
              <w:right w:val="nil"/>
            </w:tcBorders>
            <w:shd w:val="clear" w:color="auto" w:fill="auto"/>
            <w:vAlign w:val="center"/>
          </w:tcPr>
          <w:p w14:paraId="5386B491">
            <w:pPr>
              <w:autoSpaceDE w:val="0"/>
              <w:autoSpaceDN w:val="0"/>
              <w:spacing w:line="300" w:lineRule="auto"/>
              <w:jc w:val="center"/>
              <w:rPr>
                <w:rFonts w:eastAsia="Times New Roman"/>
                <w:kern w:val="0"/>
                <w:sz w:val="18"/>
                <w:szCs w:val="18"/>
              </w:rPr>
            </w:pPr>
            <w:r>
              <w:rPr>
                <w:rFonts w:eastAsia="Times New Roman"/>
                <w:kern w:val="0"/>
                <w:sz w:val="18"/>
                <w:szCs w:val="18"/>
              </w:rPr>
              <w:t>11</w:t>
            </w:r>
          </w:p>
        </w:tc>
        <w:tc>
          <w:tcPr>
            <w:tcW w:w="1431" w:type="pct"/>
            <w:tcBorders>
              <w:top w:val="nil"/>
              <w:left w:val="nil"/>
              <w:bottom w:val="nil"/>
              <w:right w:val="nil"/>
            </w:tcBorders>
            <w:shd w:val="clear" w:color="auto" w:fill="auto"/>
            <w:vAlign w:val="center"/>
          </w:tcPr>
          <w:p w14:paraId="71CA0EFE">
            <w:pPr>
              <w:autoSpaceDE w:val="0"/>
              <w:autoSpaceDN w:val="0"/>
              <w:spacing w:line="300" w:lineRule="auto"/>
              <w:jc w:val="center"/>
              <w:rPr>
                <w:rFonts w:eastAsia="Times New Roman"/>
                <w:kern w:val="0"/>
                <w:sz w:val="18"/>
                <w:szCs w:val="18"/>
                <w:lang w:bidi="ar-SA"/>
              </w:rPr>
            </w:pPr>
            <w:r>
              <w:rPr>
                <w:rFonts w:eastAsia="Times New Roman"/>
                <w:kern w:val="0"/>
                <w:sz w:val="18"/>
                <w:szCs w:val="18"/>
              </w:rPr>
              <w:t>Tap water wash</w:t>
            </w:r>
          </w:p>
        </w:tc>
        <w:tc>
          <w:tcPr>
            <w:tcW w:w="714" w:type="pct"/>
            <w:tcBorders>
              <w:top w:val="nil"/>
              <w:left w:val="nil"/>
              <w:bottom w:val="nil"/>
              <w:right w:val="nil"/>
            </w:tcBorders>
            <w:shd w:val="clear" w:color="auto" w:fill="auto"/>
            <w:vAlign w:val="center"/>
          </w:tcPr>
          <w:p w14:paraId="6FAE0AD3">
            <w:pPr>
              <w:autoSpaceDE w:val="0"/>
              <w:autoSpaceDN w:val="0"/>
              <w:spacing w:line="300" w:lineRule="auto"/>
              <w:jc w:val="center"/>
              <w:rPr>
                <w:rFonts w:eastAsia="Times New Roman"/>
                <w:kern w:val="0"/>
                <w:sz w:val="18"/>
                <w:szCs w:val="18"/>
              </w:rPr>
            </w:pPr>
            <w:r>
              <w:rPr>
                <w:rFonts w:eastAsia="Times New Roman"/>
                <w:kern w:val="0"/>
                <w:sz w:val="18"/>
                <w:szCs w:val="18"/>
              </w:rPr>
              <w:t>1 min</w:t>
            </w:r>
          </w:p>
        </w:tc>
        <w:tc>
          <w:tcPr>
            <w:tcW w:w="356" w:type="pct"/>
            <w:tcBorders>
              <w:top w:val="nil"/>
              <w:left w:val="nil"/>
              <w:bottom w:val="nil"/>
              <w:right w:val="nil"/>
            </w:tcBorders>
            <w:shd w:val="clear" w:color="auto" w:fill="auto"/>
            <w:vAlign w:val="center"/>
          </w:tcPr>
          <w:p w14:paraId="02E237DE">
            <w:pPr>
              <w:autoSpaceDE w:val="0"/>
              <w:autoSpaceDN w:val="0"/>
              <w:spacing w:line="300" w:lineRule="auto"/>
              <w:jc w:val="center"/>
              <w:rPr>
                <w:rFonts w:eastAsia="Times New Roman"/>
                <w:kern w:val="0"/>
                <w:sz w:val="18"/>
                <w:szCs w:val="18"/>
              </w:rPr>
            </w:pPr>
            <w:r>
              <w:rPr>
                <w:rFonts w:eastAsia="Times New Roman"/>
                <w:kern w:val="0"/>
                <w:sz w:val="18"/>
                <w:szCs w:val="18"/>
              </w:rPr>
              <w:t>23</w:t>
            </w:r>
          </w:p>
        </w:tc>
        <w:tc>
          <w:tcPr>
            <w:tcW w:w="1431" w:type="pct"/>
            <w:tcBorders>
              <w:top w:val="nil"/>
              <w:left w:val="nil"/>
              <w:bottom w:val="nil"/>
              <w:right w:val="nil"/>
            </w:tcBorders>
            <w:shd w:val="clear" w:color="auto" w:fill="auto"/>
            <w:vAlign w:val="center"/>
          </w:tcPr>
          <w:p w14:paraId="3B85F2D3">
            <w:pPr>
              <w:autoSpaceDE w:val="0"/>
              <w:autoSpaceDN w:val="0"/>
              <w:spacing w:line="300" w:lineRule="auto"/>
              <w:jc w:val="center"/>
              <w:rPr>
                <w:rFonts w:eastAsia="Times New Roman"/>
                <w:kern w:val="0"/>
                <w:sz w:val="18"/>
                <w:szCs w:val="18"/>
              </w:rPr>
            </w:pPr>
            <w:r>
              <w:rPr>
                <w:rFonts w:eastAsia="Times New Roman"/>
                <w:kern w:val="0"/>
                <w:sz w:val="18"/>
                <w:szCs w:val="18"/>
                <w:lang w:bidi="ar-SA"/>
              </w:rPr>
              <w:t xml:space="preserve">Transparency with xylene </w:t>
            </w:r>
            <w:r>
              <w:rPr>
                <w:rFonts w:eastAsia="Times New Roman"/>
                <w:kern w:val="0"/>
                <w:sz w:val="18"/>
                <w:szCs w:val="18"/>
              </w:rPr>
              <w:t>II</w:t>
            </w:r>
          </w:p>
        </w:tc>
        <w:tc>
          <w:tcPr>
            <w:tcW w:w="714" w:type="pct"/>
            <w:tcBorders>
              <w:top w:val="nil"/>
              <w:left w:val="nil"/>
              <w:bottom w:val="nil"/>
              <w:right w:val="nil"/>
            </w:tcBorders>
            <w:shd w:val="clear" w:color="auto" w:fill="auto"/>
            <w:vAlign w:val="center"/>
          </w:tcPr>
          <w:p w14:paraId="1CC164D2">
            <w:pPr>
              <w:autoSpaceDE w:val="0"/>
              <w:autoSpaceDN w:val="0"/>
              <w:spacing w:line="300" w:lineRule="auto"/>
              <w:jc w:val="center"/>
              <w:rPr>
                <w:rFonts w:eastAsia="Times New Roman"/>
                <w:kern w:val="0"/>
                <w:sz w:val="18"/>
                <w:szCs w:val="18"/>
              </w:rPr>
            </w:pPr>
            <w:r>
              <w:rPr>
                <w:rFonts w:eastAsia="Times New Roman"/>
                <w:kern w:val="0"/>
                <w:sz w:val="18"/>
                <w:szCs w:val="18"/>
              </w:rPr>
              <w:t>10 min</w:t>
            </w:r>
          </w:p>
        </w:tc>
      </w:tr>
      <w:tr w14:paraId="32DFE7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53" w:type="pct"/>
            <w:tcBorders>
              <w:top w:val="nil"/>
              <w:left w:val="nil"/>
              <w:bottom w:val="single" w:color="auto" w:sz="12" w:space="0"/>
              <w:right w:val="nil"/>
            </w:tcBorders>
            <w:shd w:val="clear" w:color="auto" w:fill="auto"/>
            <w:vAlign w:val="center"/>
          </w:tcPr>
          <w:p w14:paraId="7F5D32B5">
            <w:pPr>
              <w:autoSpaceDE w:val="0"/>
              <w:autoSpaceDN w:val="0"/>
              <w:spacing w:line="300" w:lineRule="auto"/>
              <w:jc w:val="center"/>
              <w:rPr>
                <w:rFonts w:eastAsia="Times New Roman"/>
                <w:kern w:val="0"/>
                <w:sz w:val="18"/>
                <w:szCs w:val="18"/>
              </w:rPr>
            </w:pPr>
            <w:r>
              <w:rPr>
                <w:rFonts w:eastAsia="Times New Roman"/>
                <w:kern w:val="0"/>
                <w:sz w:val="18"/>
                <w:szCs w:val="18"/>
              </w:rPr>
              <w:t>12</w:t>
            </w:r>
          </w:p>
        </w:tc>
        <w:tc>
          <w:tcPr>
            <w:tcW w:w="1431" w:type="pct"/>
            <w:tcBorders>
              <w:top w:val="nil"/>
              <w:left w:val="nil"/>
              <w:bottom w:val="single" w:color="auto" w:sz="12" w:space="0"/>
              <w:right w:val="nil"/>
            </w:tcBorders>
            <w:shd w:val="clear" w:color="auto" w:fill="auto"/>
            <w:vAlign w:val="center"/>
          </w:tcPr>
          <w:p w14:paraId="356F4AC8">
            <w:pPr>
              <w:autoSpaceDE w:val="0"/>
              <w:autoSpaceDN w:val="0"/>
              <w:spacing w:line="300" w:lineRule="auto"/>
              <w:jc w:val="center"/>
              <w:rPr>
                <w:rFonts w:eastAsia="Times New Roman"/>
                <w:kern w:val="0"/>
                <w:sz w:val="18"/>
                <w:szCs w:val="18"/>
              </w:rPr>
            </w:pPr>
            <w:r>
              <w:rPr>
                <w:rFonts w:eastAsia="Times New Roman"/>
                <w:kern w:val="0"/>
                <w:sz w:val="18"/>
                <w:szCs w:val="18"/>
              </w:rPr>
              <w:t>1% Hydrochloric acid in 75% ethanol differentiation</w:t>
            </w:r>
          </w:p>
        </w:tc>
        <w:tc>
          <w:tcPr>
            <w:tcW w:w="714" w:type="pct"/>
            <w:tcBorders>
              <w:top w:val="nil"/>
              <w:left w:val="nil"/>
              <w:bottom w:val="single" w:color="auto" w:sz="12" w:space="0"/>
              <w:right w:val="nil"/>
            </w:tcBorders>
            <w:shd w:val="clear" w:color="auto" w:fill="auto"/>
            <w:vAlign w:val="center"/>
          </w:tcPr>
          <w:p w14:paraId="0994AC68">
            <w:pPr>
              <w:autoSpaceDE w:val="0"/>
              <w:autoSpaceDN w:val="0"/>
              <w:spacing w:line="300" w:lineRule="auto"/>
              <w:jc w:val="center"/>
              <w:rPr>
                <w:rFonts w:eastAsia="Times New Roman"/>
                <w:kern w:val="0"/>
                <w:sz w:val="18"/>
                <w:szCs w:val="18"/>
              </w:rPr>
            </w:pPr>
            <w:r>
              <w:rPr>
                <w:rFonts w:eastAsia="Times New Roman"/>
                <w:kern w:val="0"/>
                <w:sz w:val="18"/>
                <w:szCs w:val="18"/>
              </w:rPr>
              <w:t>10 s</w:t>
            </w:r>
          </w:p>
        </w:tc>
        <w:tc>
          <w:tcPr>
            <w:tcW w:w="356" w:type="pct"/>
            <w:tcBorders>
              <w:top w:val="nil"/>
              <w:left w:val="nil"/>
              <w:bottom w:val="single" w:color="auto" w:sz="12" w:space="0"/>
              <w:right w:val="nil"/>
            </w:tcBorders>
            <w:shd w:val="clear" w:color="auto" w:fill="auto"/>
            <w:vAlign w:val="center"/>
          </w:tcPr>
          <w:p w14:paraId="27A6CBC7">
            <w:pPr>
              <w:autoSpaceDE w:val="0"/>
              <w:autoSpaceDN w:val="0"/>
              <w:spacing w:line="300" w:lineRule="auto"/>
              <w:jc w:val="center"/>
              <w:rPr>
                <w:rFonts w:eastAsia="Times New Roman"/>
                <w:kern w:val="0"/>
                <w:sz w:val="18"/>
                <w:szCs w:val="18"/>
              </w:rPr>
            </w:pPr>
          </w:p>
        </w:tc>
        <w:tc>
          <w:tcPr>
            <w:tcW w:w="1431" w:type="pct"/>
            <w:tcBorders>
              <w:top w:val="nil"/>
              <w:left w:val="nil"/>
              <w:bottom w:val="single" w:color="auto" w:sz="12" w:space="0"/>
              <w:right w:val="nil"/>
            </w:tcBorders>
            <w:shd w:val="clear" w:color="auto" w:fill="auto"/>
            <w:vAlign w:val="center"/>
          </w:tcPr>
          <w:p w14:paraId="44E45B66">
            <w:pPr>
              <w:autoSpaceDE w:val="0"/>
              <w:autoSpaceDN w:val="0"/>
              <w:spacing w:line="300" w:lineRule="auto"/>
              <w:jc w:val="center"/>
              <w:rPr>
                <w:rFonts w:eastAsia="Times New Roman"/>
                <w:kern w:val="0"/>
                <w:sz w:val="18"/>
                <w:szCs w:val="18"/>
              </w:rPr>
            </w:pPr>
          </w:p>
        </w:tc>
        <w:tc>
          <w:tcPr>
            <w:tcW w:w="714" w:type="pct"/>
            <w:tcBorders>
              <w:top w:val="nil"/>
              <w:left w:val="nil"/>
              <w:bottom w:val="single" w:color="auto" w:sz="12" w:space="0"/>
              <w:right w:val="nil"/>
            </w:tcBorders>
            <w:shd w:val="clear" w:color="auto" w:fill="auto"/>
            <w:vAlign w:val="center"/>
          </w:tcPr>
          <w:p w14:paraId="07932430">
            <w:pPr>
              <w:autoSpaceDE w:val="0"/>
              <w:autoSpaceDN w:val="0"/>
              <w:spacing w:line="300" w:lineRule="auto"/>
              <w:jc w:val="center"/>
              <w:rPr>
                <w:rFonts w:eastAsia="Times New Roman"/>
                <w:kern w:val="0"/>
                <w:sz w:val="18"/>
                <w:szCs w:val="18"/>
              </w:rPr>
            </w:pPr>
          </w:p>
        </w:tc>
      </w:tr>
    </w:tbl>
    <w:p w14:paraId="52C218AF">
      <w:pPr>
        <w:autoSpaceDE w:val="0"/>
        <w:autoSpaceDN w:val="0"/>
        <w:spacing w:line="300" w:lineRule="auto"/>
        <w:rPr>
          <w:b/>
          <w:bCs/>
          <w:kern w:val="0"/>
          <w:sz w:val="18"/>
          <w:szCs w:val="18"/>
          <w:lang w:bidi="ar"/>
        </w:rPr>
      </w:pPr>
    </w:p>
    <w:p w14:paraId="7B39C7F7">
      <w:pPr>
        <w:autoSpaceDE w:val="0"/>
        <w:autoSpaceDN w:val="0"/>
        <w:spacing w:line="300" w:lineRule="auto"/>
        <w:rPr>
          <w:kern w:val="0"/>
          <w:sz w:val="18"/>
          <w:szCs w:val="18"/>
          <w:lang w:bidi="ar"/>
        </w:rPr>
      </w:pPr>
      <w:r>
        <w:rPr>
          <w:b/>
          <w:bCs/>
          <w:kern w:val="0"/>
          <w:sz w:val="18"/>
          <w:szCs w:val="18"/>
          <w:lang w:bidi="ar"/>
        </w:rPr>
        <w:t>Table.</w:t>
      </w:r>
      <w:r>
        <w:rPr>
          <w:rFonts w:hint="eastAsia"/>
          <w:b/>
          <w:bCs/>
          <w:kern w:val="0"/>
          <w:sz w:val="18"/>
          <w:szCs w:val="18"/>
          <w:lang w:bidi="ar"/>
        </w:rPr>
        <w:t>S5</w:t>
      </w:r>
      <w:r>
        <w:rPr>
          <w:b/>
          <w:bCs/>
          <w:kern w:val="0"/>
          <w:sz w:val="18"/>
          <w:szCs w:val="18"/>
          <w:lang w:bidi="ar"/>
        </w:rPr>
        <w:t xml:space="preserve"> </w:t>
      </w:r>
      <w:r>
        <w:rPr>
          <w:kern w:val="0"/>
          <w:sz w:val="18"/>
          <w:szCs w:val="18"/>
          <w:lang w:bidi="ar"/>
        </w:rPr>
        <w:t>The catalog and lot numbers of the antibodies</w:t>
      </w:r>
    </w:p>
    <w:tbl>
      <w:tblPr>
        <w:tblStyle w:val="10"/>
        <w:tblW w:w="4822"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566"/>
        <w:gridCol w:w="2551"/>
        <w:gridCol w:w="2551"/>
        <w:gridCol w:w="2551"/>
      </w:tblGrid>
      <w:tr w14:paraId="7B3182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4" w:type="pct"/>
            <w:tcBorders>
              <w:top w:val="single" w:color="auto" w:sz="12" w:space="0"/>
              <w:left w:val="nil"/>
              <w:bottom w:val="single" w:color="auto" w:sz="8" w:space="0"/>
              <w:right w:val="nil"/>
            </w:tcBorders>
            <w:shd w:val="clear" w:color="auto" w:fill="auto"/>
            <w:vAlign w:val="center"/>
          </w:tcPr>
          <w:p w14:paraId="72B93920">
            <w:pPr>
              <w:autoSpaceDE w:val="0"/>
              <w:autoSpaceDN w:val="0"/>
              <w:spacing w:line="300" w:lineRule="auto"/>
              <w:jc w:val="center"/>
              <w:rPr>
                <w:rFonts w:eastAsia="Times New Roman"/>
                <w:b/>
                <w:bCs/>
                <w:kern w:val="0"/>
                <w:sz w:val="18"/>
                <w:szCs w:val="18"/>
              </w:rPr>
            </w:pPr>
            <w:r>
              <w:rPr>
                <w:rFonts w:eastAsia="Times New Roman"/>
                <w:b/>
                <w:bCs/>
                <w:kern w:val="0"/>
                <w:sz w:val="18"/>
                <w:szCs w:val="18"/>
              </w:rPr>
              <w:t>No.</w:t>
            </w:r>
          </w:p>
        </w:tc>
        <w:tc>
          <w:tcPr>
            <w:tcW w:w="1551" w:type="pct"/>
            <w:tcBorders>
              <w:top w:val="single" w:color="auto" w:sz="12" w:space="0"/>
              <w:left w:val="nil"/>
              <w:bottom w:val="single" w:color="auto" w:sz="8" w:space="0"/>
              <w:right w:val="nil"/>
            </w:tcBorders>
            <w:shd w:val="clear" w:color="auto" w:fill="auto"/>
            <w:vAlign w:val="center"/>
          </w:tcPr>
          <w:p w14:paraId="46D17E21">
            <w:pPr>
              <w:autoSpaceDE w:val="0"/>
              <w:autoSpaceDN w:val="0"/>
              <w:spacing w:line="300" w:lineRule="auto"/>
              <w:jc w:val="center"/>
              <w:rPr>
                <w:rFonts w:eastAsia="Times New Roman"/>
                <w:b/>
                <w:bCs/>
                <w:kern w:val="0"/>
                <w:sz w:val="18"/>
                <w:szCs w:val="18"/>
              </w:rPr>
            </w:pPr>
            <w:r>
              <w:rPr>
                <w:rFonts w:eastAsia="Times New Roman"/>
                <w:b/>
                <w:bCs/>
                <w:kern w:val="0"/>
                <w:sz w:val="18"/>
                <w:szCs w:val="18"/>
              </w:rPr>
              <w:t>Antibody</w:t>
            </w:r>
          </w:p>
        </w:tc>
        <w:tc>
          <w:tcPr>
            <w:tcW w:w="1551" w:type="pct"/>
            <w:tcBorders>
              <w:top w:val="single" w:color="auto" w:sz="12" w:space="0"/>
              <w:left w:val="nil"/>
              <w:bottom w:val="single" w:color="auto" w:sz="8" w:space="0"/>
              <w:right w:val="nil"/>
            </w:tcBorders>
            <w:shd w:val="clear" w:color="auto" w:fill="auto"/>
            <w:vAlign w:val="center"/>
          </w:tcPr>
          <w:p w14:paraId="6DE09B6A">
            <w:pPr>
              <w:autoSpaceDE w:val="0"/>
              <w:autoSpaceDN w:val="0"/>
              <w:spacing w:line="300" w:lineRule="auto"/>
              <w:jc w:val="center"/>
              <w:rPr>
                <w:rFonts w:eastAsia="Times New Roman"/>
                <w:b/>
                <w:bCs/>
                <w:kern w:val="0"/>
                <w:sz w:val="18"/>
                <w:szCs w:val="18"/>
              </w:rPr>
            </w:pPr>
            <w:r>
              <w:rPr>
                <w:rFonts w:eastAsia="Times New Roman"/>
                <w:b/>
                <w:bCs/>
                <w:kern w:val="0"/>
                <w:sz w:val="18"/>
                <w:szCs w:val="18"/>
              </w:rPr>
              <w:t>Catalog number</w:t>
            </w:r>
          </w:p>
        </w:tc>
        <w:tc>
          <w:tcPr>
            <w:tcW w:w="1551" w:type="pct"/>
            <w:tcBorders>
              <w:top w:val="single" w:color="auto" w:sz="12" w:space="0"/>
              <w:left w:val="nil"/>
              <w:bottom w:val="single" w:color="auto" w:sz="8" w:space="0"/>
              <w:right w:val="nil"/>
            </w:tcBorders>
            <w:shd w:val="clear" w:color="auto" w:fill="auto"/>
            <w:vAlign w:val="center"/>
          </w:tcPr>
          <w:p w14:paraId="5CB73322">
            <w:pPr>
              <w:autoSpaceDE w:val="0"/>
              <w:autoSpaceDN w:val="0"/>
              <w:spacing w:line="300" w:lineRule="auto"/>
              <w:jc w:val="center"/>
              <w:rPr>
                <w:rFonts w:eastAsia="Times New Roman"/>
                <w:b/>
                <w:bCs/>
                <w:kern w:val="0"/>
                <w:sz w:val="18"/>
                <w:szCs w:val="18"/>
              </w:rPr>
            </w:pPr>
            <w:r>
              <w:rPr>
                <w:rFonts w:eastAsia="Times New Roman"/>
                <w:b/>
                <w:bCs/>
                <w:kern w:val="0"/>
                <w:sz w:val="18"/>
                <w:szCs w:val="18"/>
              </w:rPr>
              <w:t>Lot number</w:t>
            </w:r>
          </w:p>
        </w:tc>
      </w:tr>
      <w:tr w14:paraId="27982C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4" w:type="pct"/>
            <w:tcBorders>
              <w:top w:val="nil"/>
              <w:left w:val="nil"/>
              <w:bottom w:val="nil"/>
              <w:right w:val="nil"/>
            </w:tcBorders>
            <w:shd w:val="clear" w:color="auto" w:fill="auto"/>
            <w:vAlign w:val="center"/>
          </w:tcPr>
          <w:p w14:paraId="35678E70">
            <w:pPr>
              <w:autoSpaceDE w:val="0"/>
              <w:autoSpaceDN w:val="0"/>
              <w:spacing w:line="300" w:lineRule="auto"/>
              <w:jc w:val="center"/>
              <w:rPr>
                <w:rFonts w:eastAsia="Times New Roman"/>
                <w:kern w:val="0"/>
                <w:sz w:val="18"/>
                <w:szCs w:val="18"/>
              </w:rPr>
            </w:pPr>
            <w:r>
              <w:rPr>
                <w:rFonts w:eastAsia="Times New Roman"/>
                <w:kern w:val="0"/>
                <w:sz w:val="18"/>
                <w:szCs w:val="18"/>
              </w:rPr>
              <w:t>1</w:t>
            </w:r>
          </w:p>
        </w:tc>
        <w:tc>
          <w:tcPr>
            <w:tcW w:w="1551" w:type="pct"/>
            <w:tcBorders>
              <w:top w:val="nil"/>
              <w:left w:val="nil"/>
              <w:bottom w:val="nil"/>
              <w:right w:val="nil"/>
            </w:tcBorders>
            <w:shd w:val="clear" w:color="auto" w:fill="auto"/>
            <w:vAlign w:val="center"/>
          </w:tcPr>
          <w:p w14:paraId="60D02BF0">
            <w:pPr>
              <w:autoSpaceDE w:val="0"/>
              <w:autoSpaceDN w:val="0"/>
              <w:spacing w:line="300" w:lineRule="auto"/>
              <w:jc w:val="center"/>
              <w:rPr>
                <w:rFonts w:eastAsia="Times New Roman"/>
                <w:kern w:val="0"/>
                <w:sz w:val="18"/>
                <w:szCs w:val="18"/>
              </w:rPr>
            </w:pPr>
            <w:r>
              <w:rPr>
                <w:rFonts w:eastAsia="Times New Roman"/>
                <w:kern w:val="0"/>
                <w:sz w:val="18"/>
                <w:szCs w:val="18"/>
              </w:rPr>
              <w:t>TLR4</w:t>
            </w:r>
          </w:p>
        </w:tc>
        <w:tc>
          <w:tcPr>
            <w:tcW w:w="1551" w:type="pct"/>
            <w:tcBorders>
              <w:top w:val="nil"/>
              <w:left w:val="nil"/>
              <w:bottom w:val="nil"/>
              <w:right w:val="nil"/>
            </w:tcBorders>
            <w:shd w:val="clear" w:color="auto" w:fill="auto"/>
            <w:vAlign w:val="center"/>
          </w:tcPr>
          <w:p w14:paraId="2D327A71">
            <w:pPr>
              <w:autoSpaceDE w:val="0"/>
              <w:autoSpaceDN w:val="0"/>
              <w:spacing w:line="300" w:lineRule="auto"/>
              <w:jc w:val="center"/>
              <w:rPr>
                <w:rFonts w:eastAsia="Times New Roman"/>
                <w:kern w:val="0"/>
                <w:sz w:val="18"/>
                <w:szCs w:val="18"/>
              </w:rPr>
            </w:pPr>
            <w:r>
              <w:rPr>
                <w:rFonts w:eastAsia="Times New Roman"/>
                <w:kern w:val="0"/>
                <w:sz w:val="18"/>
                <w:szCs w:val="18"/>
              </w:rPr>
              <w:t>bs-20594R</w:t>
            </w:r>
          </w:p>
        </w:tc>
        <w:tc>
          <w:tcPr>
            <w:tcW w:w="1551" w:type="pct"/>
            <w:tcBorders>
              <w:top w:val="nil"/>
              <w:left w:val="nil"/>
              <w:bottom w:val="nil"/>
              <w:right w:val="nil"/>
            </w:tcBorders>
            <w:shd w:val="clear" w:color="auto" w:fill="auto"/>
            <w:vAlign w:val="center"/>
          </w:tcPr>
          <w:p w14:paraId="04901C3E">
            <w:pPr>
              <w:autoSpaceDE w:val="0"/>
              <w:autoSpaceDN w:val="0"/>
              <w:spacing w:line="300" w:lineRule="auto"/>
              <w:jc w:val="center"/>
              <w:rPr>
                <w:rFonts w:eastAsia="Times New Roman"/>
                <w:kern w:val="0"/>
                <w:sz w:val="18"/>
                <w:szCs w:val="18"/>
              </w:rPr>
            </w:pPr>
            <w:r>
              <w:rPr>
                <w:rFonts w:eastAsia="Times New Roman"/>
                <w:kern w:val="0"/>
                <w:sz w:val="18"/>
                <w:szCs w:val="18"/>
              </w:rPr>
              <w:t>BC03078334</w:t>
            </w:r>
          </w:p>
        </w:tc>
      </w:tr>
      <w:tr w14:paraId="03A86B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4" w:type="pct"/>
            <w:tcBorders>
              <w:top w:val="nil"/>
              <w:left w:val="nil"/>
              <w:bottom w:val="nil"/>
              <w:right w:val="nil"/>
            </w:tcBorders>
            <w:shd w:val="clear" w:color="auto" w:fill="auto"/>
            <w:vAlign w:val="center"/>
          </w:tcPr>
          <w:p w14:paraId="13E36FED">
            <w:pPr>
              <w:autoSpaceDE w:val="0"/>
              <w:autoSpaceDN w:val="0"/>
              <w:spacing w:line="300" w:lineRule="auto"/>
              <w:jc w:val="center"/>
              <w:rPr>
                <w:rFonts w:eastAsia="Times New Roman"/>
                <w:kern w:val="0"/>
                <w:sz w:val="18"/>
                <w:szCs w:val="18"/>
              </w:rPr>
            </w:pPr>
            <w:r>
              <w:rPr>
                <w:rFonts w:eastAsia="Times New Roman"/>
                <w:kern w:val="0"/>
                <w:sz w:val="18"/>
                <w:szCs w:val="18"/>
              </w:rPr>
              <w:t>2</w:t>
            </w:r>
          </w:p>
        </w:tc>
        <w:tc>
          <w:tcPr>
            <w:tcW w:w="1551" w:type="pct"/>
            <w:tcBorders>
              <w:top w:val="nil"/>
              <w:left w:val="nil"/>
              <w:bottom w:val="nil"/>
              <w:right w:val="nil"/>
            </w:tcBorders>
            <w:shd w:val="clear" w:color="auto" w:fill="auto"/>
            <w:vAlign w:val="center"/>
          </w:tcPr>
          <w:p w14:paraId="174985B5">
            <w:pPr>
              <w:autoSpaceDE w:val="0"/>
              <w:autoSpaceDN w:val="0"/>
              <w:spacing w:line="300" w:lineRule="auto"/>
              <w:jc w:val="center"/>
              <w:rPr>
                <w:rFonts w:eastAsia="Times New Roman"/>
                <w:kern w:val="0"/>
                <w:sz w:val="18"/>
                <w:szCs w:val="18"/>
              </w:rPr>
            </w:pPr>
            <w:r>
              <w:rPr>
                <w:rFonts w:eastAsia="Times New Roman"/>
                <w:kern w:val="0"/>
                <w:sz w:val="18"/>
                <w:szCs w:val="18"/>
              </w:rPr>
              <w:t>NF-κB</w:t>
            </w:r>
          </w:p>
        </w:tc>
        <w:tc>
          <w:tcPr>
            <w:tcW w:w="1551" w:type="pct"/>
            <w:tcBorders>
              <w:top w:val="nil"/>
              <w:left w:val="nil"/>
              <w:bottom w:val="nil"/>
              <w:right w:val="nil"/>
            </w:tcBorders>
            <w:shd w:val="clear" w:color="auto" w:fill="auto"/>
            <w:vAlign w:val="center"/>
          </w:tcPr>
          <w:p w14:paraId="7A9B237A">
            <w:pPr>
              <w:autoSpaceDE w:val="0"/>
              <w:autoSpaceDN w:val="0"/>
              <w:spacing w:line="300" w:lineRule="auto"/>
              <w:jc w:val="center"/>
              <w:rPr>
                <w:rFonts w:eastAsia="Times New Roman"/>
                <w:kern w:val="0"/>
                <w:sz w:val="18"/>
                <w:szCs w:val="18"/>
              </w:rPr>
            </w:pPr>
            <w:r>
              <w:rPr>
                <w:rFonts w:eastAsia="Times New Roman"/>
                <w:kern w:val="0"/>
                <w:sz w:val="18"/>
                <w:szCs w:val="18"/>
              </w:rPr>
              <w:t>T55034F</w:t>
            </w:r>
          </w:p>
        </w:tc>
        <w:tc>
          <w:tcPr>
            <w:tcW w:w="1551" w:type="pct"/>
            <w:tcBorders>
              <w:top w:val="nil"/>
              <w:left w:val="nil"/>
              <w:bottom w:val="nil"/>
              <w:right w:val="nil"/>
            </w:tcBorders>
            <w:shd w:val="clear" w:color="auto" w:fill="auto"/>
            <w:vAlign w:val="center"/>
          </w:tcPr>
          <w:p w14:paraId="2CACFE66">
            <w:pPr>
              <w:autoSpaceDE w:val="0"/>
              <w:autoSpaceDN w:val="0"/>
              <w:spacing w:line="300" w:lineRule="auto"/>
              <w:jc w:val="center"/>
              <w:rPr>
                <w:rFonts w:eastAsia="Times New Roman"/>
                <w:kern w:val="0"/>
                <w:sz w:val="18"/>
                <w:szCs w:val="18"/>
              </w:rPr>
            </w:pPr>
            <w:r>
              <w:rPr>
                <w:rFonts w:eastAsia="Times New Roman"/>
                <w:kern w:val="0"/>
                <w:sz w:val="18"/>
                <w:szCs w:val="18"/>
              </w:rPr>
              <w:t>10144146</w:t>
            </w:r>
          </w:p>
        </w:tc>
      </w:tr>
      <w:tr w14:paraId="590203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4" w:type="pct"/>
            <w:tcBorders>
              <w:top w:val="nil"/>
              <w:left w:val="nil"/>
              <w:bottom w:val="nil"/>
              <w:right w:val="nil"/>
            </w:tcBorders>
            <w:shd w:val="clear" w:color="auto" w:fill="auto"/>
            <w:vAlign w:val="center"/>
          </w:tcPr>
          <w:p w14:paraId="6F28E6B9">
            <w:pPr>
              <w:autoSpaceDE w:val="0"/>
              <w:autoSpaceDN w:val="0"/>
              <w:spacing w:line="300" w:lineRule="auto"/>
              <w:jc w:val="center"/>
              <w:rPr>
                <w:rFonts w:eastAsia="Times New Roman"/>
                <w:kern w:val="0"/>
                <w:sz w:val="18"/>
                <w:szCs w:val="18"/>
              </w:rPr>
            </w:pPr>
            <w:r>
              <w:rPr>
                <w:rFonts w:eastAsia="Times New Roman"/>
                <w:kern w:val="0"/>
                <w:sz w:val="18"/>
                <w:szCs w:val="18"/>
              </w:rPr>
              <w:t>3</w:t>
            </w:r>
          </w:p>
        </w:tc>
        <w:tc>
          <w:tcPr>
            <w:tcW w:w="1551" w:type="pct"/>
            <w:tcBorders>
              <w:top w:val="nil"/>
              <w:left w:val="nil"/>
              <w:bottom w:val="nil"/>
              <w:right w:val="nil"/>
            </w:tcBorders>
            <w:shd w:val="clear" w:color="auto" w:fill="auto"/>
            <w:vAlign w:val="center"/>
          </w:tcPr>
          <w:p w14:paraId="0F28362E">
            <w:pPr>
              <w:autoSpaceDE w:val="0"/>
              <w:autoSpaceDN w:val="0"/>
              <w:spacing w:line="300" w:lineRule="auto"/>
              <w:jc w:val="center"/>
              <w:rPr>
                <w:rFonts w:eastAsia="Times New Roman"/>
                <w:kern w:val="0"/>
                <w:sz w:val="18"/>
                <w:szCs w:val="18"/>
              </w:rPr>
            </w:pPr>
            <w:r>
              <w:rPr>
                <w:rFonts w:eastAsia="Times New Roman"/>
                <w:kern w:val="0"/>
                <w:sz w:val="18"/>
                <w:szCs w:val="18"/>
              </w:rPr>
              <w:t>COX2</w:t>
            </w:r>
          </w:p>
        </w:tc>
        <w:tc>
          <w:tcPr>
            <w:tcW w:w="1551" w:type="pct"/>
            <w:tcBorders>
              <w:top w:val="nil"/>
              <w:left w:val="nil"/>
              <w:bottom w:val="nil"/>
              <w:right w:val="nil"/>
            </w:tcBorders>
            <w:shd w:val="clear" w:color="auto" w:fill="auto"/>
            <w:vAlign w:val="center"/>
          </w:tcPr>
          <w:p w14:paraId="14B336A4">
            <w:pPr>
              <w:autoSpaceDE w:val="0"/>
              <w:autoSpaceDN w:val="0"/>
              <w:spacing w:line="300" w:lineRule="auto"/>
              <w:jc w:val="center"/>
              <w:rPr>
                <w:rFonts w:eastAsia="Times New Roman"/>
                <w:kern w:val="0"/>
                <w:sz w:val="18"/>
                <w:szCs w:val="18"/>
              </w:rPr>
            </w:pPr>
            <w:r>
              <w:rPr>
                <w:rFonts w:eastAsia="Times New Roman"/>
                <w:kern w:val="0"/>
                <w:sz w:val="18"/>
                <w:szCs w:val="18"/>
              </w:rPr>
              <w:t>12375-1-AP</w:t>
            </w:r>
          </w:p>
        </w:tc>
        <w:tc>
          <w:tcPr>
            <w:tcW w:w="1551" w:type="pct"/>
            <w:tcBorders>
              <w:top w:val="nil"/>
              <w:left w:val="nil"/>
              <w:bottom w:val="nil"/>
              <w:right w:val="nil"/>
            </w:tcBorders>
            <w:shd w:val="clear" w:color="auto" w:fill="auto"/>
            <w:vAlign w:val="center"/>
          </w:tcPr>
          <w:p w14:paraId="3A43E056">
            <w:pPr>
              <w:autoSpaceDE w:val="0"/>
              <w:autoSpaceDN w:val="0"/>
              <w:spacing w:line="300" w:lineRule="auto"/>
              <w:jc w:val="center"/>
              <w:rPr>
                <w:rFonts w:eastAsia="Times New Roman"/>
                <w:kern w:val="0"/>
                <w:sz w:val="18"/>
                <w:szCs w:val="18"/>
              </w:rPr>
            </w:pPr>
            <w:r>
              <w:rPr>
                <w:rFonts w:eastAsia="Times New Roman"/>
                <w:kern w:val="0"/>
                <w:sz w:val="18"/>
                <w:szCs w:val="18"/>
              </w:rPr>
              <w:t>00072808</w:t>
            </w:r>
          </w:p>
        </w:tc>
      </w:tr>
      <w:tr w14:paraId="64BA7C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 w:hRule="atLeast"/>
          <w:jc w:val="center"/>
        </w:trPr>
        <w:tc>
          <w:tcPr>
            <w:tcW w:w="344" w:type="pct"/>
            <w:tcBorders>
              <w:top w:val="nil"/>
              <w:left w:val="nil"/>
              <w:bottom w:val="single" w:color="auto" w:sz="12" w:space="0"/>
              <w:right w:val="nil"/>
            </w:tcBorders>
            <w:shd w:val="clear" w:color="auto" w:fill="auto"/>
            <w:vAlign w:val="center"/>
          </w:tcPr>
          <w:p w14:paraId="3D5CABC1">
            <w:pPr>
              <w:autoSpaceDE w:val="0"/>
              <w:autoSpaceDN w:val="0"/>
              <w:spacing w:line="300" w:lineRule="auto"/>
              <w:jc w:val="center"/>
              <w:rPr>
                <w:rFonts w:eastAsia="Times New Roman"/>
                <w:kern w:val="0"/>
                <w:sz w:val="18"/>
                <w:szCs w:val="18"/>
              </w:rPr>
            </w:pPr>
            <w:r>
              <w:rPr>
                <w:rFonts w:eastAsia="Times New Roman"/>
                <w:kern w:val="0"/>
                <w:sz w:val="18"/>
                <w:szCs w:val="18"/>
              </w:rPr>
              <w:t>4</w:t>
            </w:r>
          </w:p>
        </w:tc>
        <w:tc>
          <w:tcPr>
            <w:tcW w:w="1551" w:type="pct"/>
            <w:tcBorders>
              <w:top w:val="nil"/>
              <w:left w:val="nil"/>
              <w:bottom w:val="single" w:color="auto" w:sz="12" w:space="0"/>
              <w:right w:val="nil"/>
            </w:tcBorders>
            <w:shd w:val="clear" w:color="auto" w:fill="auto"/>
            <w:vAlign w:val="center"/>
          </w:tcPr>
          <w:p w14:paraId="2735E81A">
            <w:pPr>
              <w:autoSpaceDE w:val="0"/>
              <w:autoSpaceDN w:val="0"/>
              <w:spacing w:line="300" w:lineRule="auto"/>
              <w:jc w:val="center"/>
              <w:rPr>
                <w:rFonts w:eastAsia="Times New Roman"/>
                <w:kern w:val="0"/>
                <w:sz w:val="18"/>
                <w:szCs w:val="18"/>
              </w:rPr>
            </w:pPr>
            <w:r>
              <w:rPr>
                <w:rFonts w:eastAsia="Times New Roman"/>
                <w:kern w:val="0"/>
                <w:sz w:val="18"/>
                <w:szCs w:val="18"/>
              </w:rPr>
              <w:t>IL-6</w:t>
            </w:r>
          </w:p>
        </w:tc>
        <w:tc>
          <w:tcPr>
            <w:tcW w:w="2551" w:type="dxa"/>
            <w:tcBorders>
              <w:top w:val="nil"/>
              <w:left w:val="nil"/>
              <w:bottom w:val="single" w:color="auto" w:sz="12" w:space="0"/>
              <w:right w:val="nil"/>
            </w:tcBorders>
            <w:shd w:val="clear" w:color="auto" w:fill="auto"/>
            <w:vAlign w:val="center"/>
          </w:tcPr>
          <w:p w14:paraId="5A15F0E1">
            <w:pPr>
              <w:autoSpaceDE w:val="0"/>
              <w:autoSpaceDN w:val="0"/>
              <w:spacing w:line="300" w:lineRule="auto"/>
              <w:jc w:val="center"/>
              <w:rPr>
                <w:rFonts w:eastAsia="Times New Roman"/>
                <w:kern w:val="0"/>
                <w:sz w:val="18"/>
                <w:szCs w:val="18"/>
              </w:rPr>
            </w:pPr>
            <w:r>
              <w:rPr>
                <w:rFonts w:eastAsia="Times New Roman"/>
                <w:kern w:val="0"/>
                <w:sz w:val="18"/>
                <w:szCs w:val="18"/>
              </w:rPr>
              <w:t>66146-1-Ig</w:t>
            </w:r>
          </w:p>
        </w:tc>
        <w:tc>
          <w:tcPr>
            <w:tcW w:w="2551" w:type="dxa"/>
            <w:tcBorders>
              <w:top w:val="nil"/>
              <w:left w:val="nil"/>
              <w:bottom w:val="single" w:color="auto" w:sz="12" w:space="0"/>
              <w:right w:val="nil"/>
            </w:tcBorders>
            <w:shd w:val="clear" w:color="auto" w:fill="auto"/>
            <w:vAlign w:val="center"/>
          </w:tcPr>
          <w:p w14:paraId="16C6D3DD">
            <w:pPr>
              <w:autoSpaceDE w:val="0"/>
              <w:autoSpaceDN w:val="0"/>
              <w:spacing w:line="300" w:lineRule="auto"/>
              <w:jc w:val="center"/>
              <w:rPr>
                <w:rFonts w:eastAsia="Times New Roman"/>
                <w:kern w:val="0"/>
                <w:sz w:val="18"/>
                <w:szCs w:val="18"/>
              </w:rPr>
            </w:pPr>
            <w:r>
              <w:rPr>
                <w:rFonts w:hint="eastAsia" w:eastAsia="Times New Roman"/>
                <w:kern w:val="0"/>
                <w:sz w:val="18"/>
                <w:szCs w:val="18"/>
              </w:rPr>
              <w:t>10017944</w:t>
            </w:r>
          </w:p>
        </w:tc>
      </w:tr>
    </w:tbl>
    <w:p w14:paraId="6155BB66">
      <w:pPr>
        <w:rPr>
          <w:szCs w:val="21"/>
        </w:rPr>
      </w:pPr>
      <w:r>
        <w:rPr>
          <w:szCs w:val="21"/>
        </w:rPr>
        <w:br w:type="page"/>
      </w:r>
    </w:p>
    <w:p w14:paraId="310314F8">
      <w:pPr>
        <w:pStyle w:val="11"/>
        <w:widowControl/>
        <w:adjustRightInd/>
        <w:snapToGrid/>
        <w:spacing w:line="300" w:lineRule="auto"/>
      </w:pPr>
      <w:r>
        <w:rPr>
          <w:rFonts w:hint="eastAsia"/>
        </w:rPr>
        <w:t xml:space="preserve">Code for </w:t>
      </w:r>
      <w:r>
        <w:rPr>
          <w:rFonts w:hint="eastAsia" w:eastAsia="宋体"/>
        </w:rPr>
        <w:t>Image J v1.54f</w:t>
      </w:r>
      <w:r>
        <w:rPr>
          <w:rFonts w:hint="eastAsia"/>
        </w:rPr>
        <w:t xml:space="preserve">: </w:t>
      </w:r>
    </w:p>
    <w:p w14:paraId="5E482A8F">
      <w:pPr>
        <w:numPr>
          <w:ilvl w:val="0"/>
          <w:numId w:val="1"/>
        </w:numPr>
        <w:spacing w:line="300" w:lineRule="auto"/>
        <w:ind w:firstLine="422" w:firstLineChars="200"/>
        <w:rPr>
          <w:b/>
          <w:bCs/>
          <w:szCs w:val="21"/>
        </w:rPr>
      </w:pPr>
      <w:r>
        <w:rPr>
          <w:rFonts w:hint="eastAsia"/>
          <w:b/>
          <w:bCs/>
          <w:szCs w:val="21"/>
        </w:rPr>
        <w:t xml:space="preserve">Code for statistical analysis of liver parenchymal cell area: </w:t>
      </w:r>
    </w:p>
    <w:p w14:paraId="1195A032">
      <w:pPr>
        <w:spacing w:line="300" w:lineRule="auto"/>
        <w:ind w:firstLine="420" w:firstLineChars="200"/>
        <w:rPr>
          <w:szCs w:val="21"/>
        </w:rPr>
      </w:pPr>
      <w:r>
        <w:rPr>
          <w:szCs w:val="21"/>
        </w:rPr>
        <w:t>run("8-bit");</w:t>
      </w:r>
    </w:p>
    <w:p w14:paraId="342F5563">
      <w:pPr>
        <w:spacing w:line="300" w:lineRule="auto"/>
        <w:ind w:firstLine="420" w:firstLineChars="200"/>
        <w:rPr>
          <w:szCs w:val="21"/>
        </w:rPr>
      </w:pPr>
      <w:r>
        <w:rPr>
          <w:szCs w:val="21"/>
        </w:rPr>
        <w:t>setAutoThreshold("Default");</w:t>
      </w:r>
    </w:p>
    <w:p w14:paraId="16EB8BC9">
      <w:pPr>
        <w:spacing w:line="300" w:lineRule="auto"/>
        <w:ind w:firstLine="420" w:firstLineChars="200"/>
        <w:rPr>
          <w:szCs w:val="21"/>
        </w:rPr>
      </w:pPr>
      <w:r>
        <w:rPr>
          <w:szCs w:val="21"/>
        </w:rPr>
        <w:t>//run("Threshold...");</w:t>
      </w:r>
    </w:p>
    <w:p w14:paraId="655E692C">
      <w:pPr>
        <w:spacing w:line="300" w:lineRule="auto"/>
        <w:ind w:firstLine="420" w:firstLineChars="200"/>
        <w:rPr>
          <w:szCs w:val="21"/>
        </w:rPr>
      </w:pPr>
      <w:r>
        <w:rPr>
          <w:szCs w:val="21"/>
        </w:rPr>
        <w:t>setThreshold(35, 162, "raw");</w:t>
      </w:r>
    </w:p>
    <w:p w14:paraId="71F59DF0">
      <w:pPr>
        <w:spacing w:line="300" w:lineRule="auto"/>
        <w:ind w:firstLine="420" w:firstLineChars="200"/>
        <w:rPr>
          <w:szCs w:val="21"/>
        </w:rPr>
      </w:pPr>
      <w:r>
        <w:rPr>
          <w:szCs w:val="21"/>
        </w:rPr>
        <w:t>//setThreshold(35, 162);</w:t>
      </w:r>
    </w:p>
    <w:p w14:paraId="76B90209">
      <w:pPr>
        <w:spacing w:line="300" w:lineRule="auto"/>
        <w:ind w:firstLine="420" w:firstLineChars="200"/>
        <w:rPr>
          <w:szCs w:val="21"/>
        </w:rPr>
      </w:pPr>
      <w:r>
        <w:rPr>
          <w:szCs w:val="21"/>
        </w:rPr>
        <w:t>setOption("BlackBackground", false);</w:t>
      </w:r>
    </w:p>
    <w:p w14:paraId="32900B3B">
      <w:pPr>
        <w:spacing w:line="300" w:lineRule="auto"/>
        <w:ind w:firstLine="420" w:firstLineChars="200"/>
        <w:rPr>
          <w:szCs w:val="21"/>
        </w:rPr>
      </w:pPr>
      <w:r>
        <w:rPr>
          <w:szCs w:val="21"/>
        </w:rPr>
        <w:t>run("Convert to Mask");</w:t>
      </w:r>
    </w:p>
    <w:p w14:paraId="5B0BA8EE">
      <w:pPr>
        <w:spacing w:line="300" w:lineRule="auto"/>
        <w:ind w:firstLine="420" w:firstLineChars="200"/>
        <w:rPr>
          <w:szCs w:val="21"/>
        </w:rPr>
      </w:pPr>
      <w:r>
        <w:rPr>
          <w:szCs w:val="21"/>
        </w:rPr>
        <w:t>run("Measure");</w:t>
      </w:r>
    </w:p>
    <w:p w14:paraId="695C8BC6">
      <w:pPr>
        <w:numPr>
          <w:ilvl w:val="0"/>
          <w:numId w:val="1"/>
        </w:numPr>
        <w:spacing w:line="300" w:lineRule="auto"/>
        <w:ind w:firstLine="422" w:firstLineChars="200"/>
        <w:rPr>
          <w:b/>
          <w:bCs/>
          <w:szCs w:val="21"/>
        </w:rPr>
      </w:pPr>
      <w:r>
        <w:rPr>
          <w:rFonts w:hint="eastAsia"/>
          <w:b/>
          <w:bCs/>
          <w:szCs w:val="21"/>
        </w:rPr>
        <w:t xml:space="preserve">Code for statistical analysis of Oil Red O area: </w:t>
      </w:r>
    </w:p>
    <w:p w14:paraId="1E6B188D">
      <w:pPr>
        <w:spacing w:line="300" w:lineRule="auto"/>
        <w:ind w:firstLine="420" w:firstLineChars="200"/>
        <w:rPr>
          <w:szCs w:val="21"/>
        </w:rPr>
      </w:pPr>
      <w:r>
        <w:rPr>
          <w:szCs w:val="21"/>
        </w:rPr>
        <w:t>title=getTitle()</w:t>
      </w:r>
    </w:p>
    <w:p w14:paraId="0D99A91A">
      <w:pPr>
        <w:spacing w:line="300" w:lineRule="auto"/>
        <w:ind w:firstLine="420" w:firstLineChars="200"/>
        <w:rPr>
          <w:szCs w:val="21"/>
        </w:rPr>
      </w:pPr>
      <w:r>
        <w:rPr>
          <w:szCs w:val="21"/>
        </w:rPr>
        <w:t>run("Colour Deconvolution", "vectors=RGB");</w:t>
      </w:r>
    </w:p>
    <w:p w14:paraId="5AF8EFAF">
      <w:pPr>
        <w:spacing w:line="300" w:lineRule="auto"/>
        <w:ind w:firstLine="420" w:firstLineChars="200"/>
        <w:rPr>
          <w:szCs w:val="21"/>
        </w:rPr>
      </w:pPr>
      <w:r>
        <w:rPr>
          <w:szCs w:val="21"/>
        </w:rPr>
        <w:t>run("8-bit");</w:t>
      </w:r>
    </w:p>
    <w:p w14:paraId="1B0FF0FB">
      <w:pPr>
        <w:spacing w:line="300" w:lineRule="auto"/>
        <w:ind w:firstLine="420" w:firstLineChars="200"/>
        <w:rPr>
          <w:szCs w:val="21"/>
        </w:rPr>
      </w:pPr>
      <w:r>
        <w:rPr>
          <w:szCs w:val="21"/>
        </w:rPr>
        <w:t>selectImage(title+ "-(Colour_1)");</w:t>
      </w:r>
    </w:p>
    <w:p w14:paraId="4D9C8FF2">
      <w:pPr>
        <w:spacing w:line="300" w:lineRule="auto"/>
        <w:ind w:firstLine="420" w:firstLineChars="200"/>
        <w:rPr>
          <w:szCs w:val="21"/>
        </w:rPr>
      </w:pPr>
      <w:r>
        <w:rPr>
          <w:szCs w:val="21"/>
        </w:rPr>
        <w:t>setAutoThreshold("Default no-reset");</w:t>
      </w:r>
    </w:p>
    <w:p w14:paraId="0A4B0AB0">
      <w:pPr>
        <w:spacing w:line="300" w:lineRule="auto"/>
        <w:ind w:firstLine="420" w:firstLineChars="200"/>
        <w:rPr>
          <w:szCs w:val="21"/>
        </w:rPr>
      </w:pPr>
      <w:r>
        <w:rPr>
          <w:szCs w:val="21"/>
        </w:rPr>
        <w:t>//run("Threshold...");</w:t>
      </w:r>
    </w:p>
    <w:p w14:paraId="7BE5B842">
      <w:pPr>
        <w:spacing w:line="300" w:lineRule="auto"/>
        <w:ind w:firstLine="420" w:firstLineChars="200"/>
        <w:rPr>
          <w:szCs w:val="21"/>
        </w:rPr>
      </w:pPr>
      <w:r>
        <w:rPr>
          <w:szCs w:val="21"/>
        </w:rPr>
        <w:t>//setThreshold(0, 47);</w:t>
      </w:r>
    </w:p>
    <w:p w14:paraId="36DAB044">
      <w:pPr>
        <w:spacing w:line="300" w:lineRule="auto"/>
        <w:ind w:firstLine="420" w:firstLineChars="200"/>
        <w:rPr>
          <w:szCs w:val="21"/>
        </w:rPr>
      </w:pPr>
      <w:r>
        <w:rPr>
          <w:szCs w:val="21"/>
        </w:rPr>
        <w:t>run("Convert to Mask");</w:t>
      </w:r>
    </w:p>
    <w:p w14:paraId="7EA8F6F1">
      <w:pPr>
        <w:spacing w:line="300" w:lineRule="auto"/>
        <w:ind w:firstLine="420" w:firstLineChars="200"/>
        <w:rPr>
          <w:szCs w:val="21"/>
        </w:rPr>
      </w:pPr>
      <w:r>
        <w:rPr>
          <w:szCs w:val="21"/>
        </w:rPr>
        <w:t>run("Measure");</w:t>
      </w:r>
    </w:p>
    <w:p w14:paraId="33167E60">
      <w:pPr>
        <w:spacing w:line="300" w:lineRule="auto"/>
        <w:ind w:firstLine="420" w:firstLineChars="200"/>
        <w:rPr>
          <w:szCs w:val="21"/>
        </w:rPr>
      </w:pPr>
    </w:p>
    <w:p w14:paraId="00FB086A">
      <w:pPr>
        <w:spacing w:line="300" w:lineRule="auto"/>
        <w:ind w:firstLine="422" w:firstLineChars="200"/>
        <w:rPr>
          <w:b/>
          <w:bCs/>
          <w:szCs w:val="21"/>
        </w:rPr>
      </w:pPr>
      <w:r>
        <w:rPr>
          <w:rFonts w:hint="eastAsia"/>
          <w:b/>
          <w:bCs/>
          <w:szCs w:val="21"/>
        </w:rPr>
        <w:t xml:space="preserve">Oil Red O area ratio (%) = Oil Red O area / Liver parenchymal cell area </w:t>
      </w:r>
      <w:r>
        <w:rPr>
          <w:rFonts w:ascii="Arial" w:hAnsi="Arial" w:cs="Arial"/>
          <w:b/>
          <w:bCs/>
          <w:szCs w:val="21"/>
        </w:rPr>
        <w:t>×</w:t>
      </w:r>
      <w:r>
        <w:rPr>
          <w:rFonts w:hint="eastAsia"/>
          <w:b/>
          <w:bCs/>
          <w:szCs w:val="21"/>
        </w:rPr>
        <w:t xml:space="preserve"> 100%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005B06"/>
    <w:multiLevelType w:val="singleLevel"/>
    <w:tmpl w:val="80005B06"/>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31"/>
  <w:doNotDisplayPageBoundaries w:val="1"/>
  <w:embedSystemFonts/>
  <w:bordersDoNotSurroundHeader w:val="1"/>
  <w:bordersDoNotSurroundFooter w:val="1"/>
  <w:documentProtection w:enforcement="0"/>
  <w:defaultTabStop w:val="420"/>
  <w:drawingGridVerticalSpacing w:val="157"/>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hMGQ1YzcxNmRmNTE3M2I0MWJjOGRmNjBhZTA4YjcifQ=="/>
  </w:docVars>
  <w:rsids>
    <w:rsidRoot w:val="6A8B3238"/>
    <w:rsid w:val="00654ED7"/>
    <w:rsid w:val="008F43CE"/>
    <w:rsid w:val="00CF517A"/>
    <w:rsid w:val="00E00E69"/>
    <w:rsid w:val="00E5168E"/>
    <w:rsid w:val="0226386B"/>
    <w:rsid w:val="02503846"/>
    <w:rsid w:val="03926F6B"/>
    <w:rsid w:val="03EE3EEF"/>
    <w:rsid w:val="043577FC"/>
    <w:rsid w:val="0496681F"/>
    <w:rsid w:val="04AE7B23"/>
    <w:rsid w:val="05C927E0"/>
    <w:rsid w:val="068C19FB"/>
    <w:rsid w:val="077E558A"/>
    <w:rsid w:val="082406BC"/>
    <w:rsid w:val="086419B7"/>
    <w:rsid w:val="08795965"/>
    <w:rsid w:val="08C44805"/>
    <w:rsid w:val="08D475BF"/>
    <w:rsid w:val="09EA6F07"/>
    <w:rsid w:val="0A153E7D"/>
    <w:rsid w:val="0A310FDA"/>
    <w:rsid w:val="0B0E70A3"/>
    <w:rsid w:val="0CFB2875"/>
    <w:rsid w:val="0E063A99"/>
    <w:rsid w:val="0E0F487A"/>
    <w:rsid w:val="0E6A7BB1"/>
    <w:rsid w:val="0E885E0B"/>
    <w:rsid w:val="0F314585"/>
    <w:rsid w:val="0FB71F81"/>
    <w:rsid w:val="102B64CB"/>
    <w:rsid w:val="104D77F9"/>
    <w:rsid w:val="10BF2868"/>
    <w:rsid w:val="12E806A4"/>
    <w:rsid w:val="14F2239A"/>
    <w:rsid w:val="15306307"/>
    <w:rsid w:val="15E84B86"/>
    <w:rsid w:val="15EC6E74"/>
    <w:rsid w:val="164E7351"/>
    <w:rsid w:val="16D51CFA"/>
    <w:rsid w:val="17DD45FB"/>
    <w:rsid w:val="18BA78A3"/>
    <w:rsid w:val="19393A07"/>
    <w:rsid w:val="19E613F2"/>
    <w:rsid w:val="1AE61203"/>
    <w:rsid w:val="1BA12D43"/>
    <w:rsid w:val="1BBC6B81"/>
    <w:rsid w:val="1C2E0661"/>
    <w:rsid w:val="1CA143E4"/>
    <w:rsid w:val="1CD35F20"/>
    <w:rsid w:val="1E6C00EC"/>
    <w:rsid w:val="1EBD54C6"/>
    <w:rsid w:val="1F8C2B00"/>
    <w:rsid w:val="1FAC420E"/>
    <w:rsid w:val="1FFE4B89"/>
    <w:rsid w:val="20272A87"/>
    <w:rsid w:val="204253C8"/>
    <w:rsid w:val="21053CB1"/>
    <w:rsid w:val="227E4008"/>
    <w:rsid w:val="23BF5D0D"/>
    <w:rsid w:val="24100B19"/>
    <w:rsid w:val="242664D7"/>
    <w:rsid w:val="254020D0"/>
    <w:rsid w:val="26D416F7"/>
    <w:rsid w:val="28077FFF"/>
    <w:rsid w:val="28EA5651"/>
    <w:rsid w:val="294875E2"/>
    <w:rsid w:val="2992706C"/>
    <w:rsid w:val="2A4B5A6B"/>
    <w:rsid w:val="2ABB62E3"/>
    <w:rsid w:val="2B724D12"/>
    <w:rsid w:val="2BA123B5"/>
    <w:rsid w:val="2C2F7632"/>
    <w:rsid w:val="2D091870"/>
    <w:rsid w:val="2DCF6290"/>
    <w:rsid w:val="2EB72FAC"/>
    <w:rsid w:val="3014442E"/>
    <w:rsid w:val="307146F9"/>
    <w:rsid w:val="320878CE"/>
    <w:rsid w:val="32CC4EA3"/>
    <w:rsid w:val="332F0D60"/>
    <w:rsid w:val="34071ADD"/>
    <w:rsid w:val="34083583"/>
    <w:rsid w:val="340E112B"/>
    <w:rsid w:val="35C27B62"/>
    <w:rsid w:val="36153982"/>
    <w:rsid w:val="36703F22"/>
    <w:rsid w:val="387046D6"/>
    <w:rsid w:val="38F26354"/>
    <w:rsid w:val="3ACD736D"/>
    <w:rsid w:val="3B9742E5"/>
    <w:rsid w:val="3BA50710"/>
    <w:rsid w:val="3BB87FA3"/>
    <w:rsid w:val="3C326368"/>
    <w:rsid w:val="3C37543B"/>
    <w:rsid w:val="3C670593"/>
    <w:rsid w:val="3D2D4D36"/>
    <w:rsid w:val="3D6719D1"/>
    <w:rsid w:val="3D694C63"/>
    <w:rsid w:val="3DC8688D"/>
    <w:rsid w:val="3DCF64F7"/>
    <w:rsid w:val="3DD10F68"/>
    <w:rsid w:val="3DEA5ACF"/>
    <w:rsid w:val="3F372FA0"/>
    <w:rsid w:val="3FC81B8F"/>
    <w:rsid w:val="403A3223"/>
    <w:rsid w:val="41456B3D"/>
    <w:rsid w:val="441253C9"/>
    <w:rsid w:val="45346A17"/>
    <w:rsid w:val="45AD4CB1"/>
    <w:rsid w:val="45C65830"/>
    <w:rsid w:val="463C1AB7"/>
    <w:rsid w:val="46A33DBF"/>
    <w:rsid w:val="46C60120"/>
    <w:rsid w:val="47B627F9"/>
    <w:rsid w:val="482B33EC"/>
    <w:rsid w:val="497F197F"/>
    <w:rsid w:val="49975897"/>
    <w:rsid w:val="4C271F2F"/>
    <w:rsid w:val="4CB90772"/>
    <w:rsid w:val="4D15734B"/>
    <w:rsid w:val="4D2C295F"/>
    <w:rsid w:val="4DEF7664"/>
    <w:rsid w:val="4F4D50CB"/>
    <w:rsid w:val="4F6463E1"/>
    <w:rsid w:val="4F8C645A"/>
    <w:rsid w:val="4FB83457"/>
    <w:rsid w:val="50222E67"/>
    <w:rsid w:val="521378C4"/>
    <w:rsid w:val="52671082"/>
    <w:rsid w:val="539E57C5"/>
    <w:rsid w:val="53D376AA"/>
    <w:rsid w:val="55806C15"/>
    <w:rsid w:val="57B37BDF"/>
    <w:rsid w:val="57F0199F"/>
    <w:rsid w:val="58297591"/>
    <w:rsid w:val="5882091F"/>
    <w:rsid w:val="588C3B9D"/>
    <w:rsid w:val="5A405C9C"/>
    <w:rsid w:val="5AAE495E"/>
    <w:rsid w:val="5B5A3F0E"/>
    <w:rsid w:val="5BB157CA"/>
    <w:rsid w:val="5BB70A43"/>
    <w:rsid w:val="5C762E0F"/>
    <w:rsid w:val="5D242FEA"/>
    <w:rsid w:val="5D40082C"/>
    <w:rsid w:val="5D663C6C"/>
    <w:rsid w:val="5E1F4174"/>
    <w:rsid w:val="5E244762"/>
    <w:rsid w:val="5F49114F"/>
    <w:rsid w:val="5F4B1DFD"/>
    <w:rsid w:val="5FB46F10"/>
    <w:rsid w:val="60034173"/>
    <w:rsid w:val="60B74FEA"/>
    <w:rsid w:val="61081D97"/>
    <w:rsid w:val="62DE1F3B"/>
    <w:rsid w:val="6479698F"/>
    <w:rsid w:val="64960891"/>
    <w:rsid w:val="64964E36"/>
    <w:rsid w:val="64CA0F84"/>
    <w:rsid w:val="65685EB4"/>
    <w:rsid w:val="66FE6ADC"/>
    <w:rsid w:val="671A0730"/>
    <w:rsid w:val="696B2B97"/>
    <w:rsid w:val="697638C4"/>
    <w:rsid w:val="69ED75D0"/>
    <w:rsid w:val="6A5E5DDC"/>
    <w:rsid w:val="6A813E48"/>
    <w:rsid w:val="6A8B3238"/>
    <w:rsid w:val="6AE03108"/>
    <w:rsid w:val="6CD429A0"/>
    <w:rsid w:val="6D055E2C"/>
    <w:rsid w:val="6D9674D9"/>
    <w:rsid w:val="6DAD4F9F"/>
    <w:rsid w:val="6DDC43A3"/>
    <w:rsid w:val="6E1E1EAA"/>
    <w:rsid w:val="6F357A1D"/>
    <w:rsid w:val="6FA3345B"/>
    <w:rsid w:val="6FF75ECB"/>
    <w:rsid w:val="701200FF"/>
    <w:rsid w:val="705067E1"/>
    <w:rsid w:val="710B095A"/>
    <w:rsid w:val="71390DD8"/>
    <w:rsid w:val="71445BB4"/>
    <w:rsid w:val="71C6294E"/>
    <w:rsid w:val="7236374A"/>
    <w:rsid w:val="72367E5D"/>
    <w:rsid w:val="739E33B8"/>
    <w:rsid w:val="742355AA"/>
    <w:rsid w:val="74732A9E"/>
    <w:rsid w:val="76360227"/>
    <w:rsid w:val="767B089A"/>
    <w:rsid w:val="77722EA8"/>
    <w:rsid w:val="786313D0"/>
    <w:rsid w:val="78C465B6"/>
    <w:rsid w:val="7997286A"/>
    <w:rsid w:val="7D0A42A7"/>
    <w:rsid w:val="7E0E6C8E"/>
    <w:rsid w:val="7E3E649B"/>
    <w:rsid w:val="7EB10F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15"/>
    <w:uiPriority w:val="0"/>
    <w:pPr>
      <w:tabs>
        <w:tab w:val="center" w:pos="4153"/>
        <w:tab w:val="right" w:pos="8306"/>
      </w:tabs>
      <w:snapToGrid w:val="0"/>
      <w:jc w:val="left"/>
    </w:pPr>
    <w:rPr>
      <w:sz w:val="18"/>
      <w:szCs w:val="18"/>
    </w:rPr>
  </w:style>
  <w:style w:type="paragraph" w:styleId="4">
    <w:name w:val="header"/>
    <w:basedOn w:val="1"/>
    <w:link w:val="14"/>
    <w:qFormat/>
    <w:uiPriority w:val="0"/>
    <w:pPr>
      <w:tabs>
        <w:tab w:val="center" w:pos="4153"/>
        <w:tab w:val="right" w:pos="8306"/>
      </w:tabs>
      <w:snapToGrid w:val="0"/>
      <w:jc w:val="center"/>
    </w:pPr>
    <w:rPr>
      <w:sz w:val="18"/>
      <w:szCs w:val="18"/>
    </w:rPr>
  </w:style>
  <w:style w:type="paragraph" w:styleId="5">
    <w:name w:val="Normal (Web)"/>
    <w:basedOn w:val="1"/>
    <w:qFormat/>
    <w:uiPriority w:val="0"/>
    <w:rPr>
      <w:sz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 w:type="table" w:customStyle="1" w:styleId="10">
    <w:name w:val="网格型1"/>
    <w:basedOn w:val="6"/>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paragraph" w:customStyle="1" w:styleId="11">
    <w:name w:val="MDPI_2.2_heading2"/>
    <w:basedOn w:val="1"/>
    <w:qFormat/>
    <w:uiPriority w:val="0"/>
    <w:pPr>
      <w:kinsoku w:val="0"/>
      <w:overflowPunct w:val="0"/>
      <w:autoSpaceDE w:val="0"/>
      <w:autoSpaceDN w:val="0"/>
      <w:adjustRightInd w:val="0"/>
      <w:snapToGrid w:val="0"/>
      <w:spacing w:line="480" w:lineRule="auto"/>
      <w:outlineLvl w:val="1"/>
    </w:pPr>
    <w:rPr>
      <w:rFonts w:eastAsia="Times New Roman"/>
      <w:b/>
      <w:bCs/>
      <w:iCs/>
      <w:color w:val="000000"/>
      <w:kern w:val="0"/>
      <w:sz w:val="24"/>
      <w:szCs w:val="24"/>
    </w:rPr>
  </w:style>
  <w:style w:type="character" w:customStyle="1" w:styleId="12">
    <w:name w:val="MDPI_3.1_text 字符"/>
    <w:basedOn w:val="7"/>
    <w:link w:val="13"/>
    <w:uiPriority w:val="0"/>
    <w:rPr>
      <w:snapToGrid/>
      <w:color w:val="000000"/>
      <w:sz w:val="24"/>
      <w:szCs w:val="24"/>
      <w:lang w:eastAsia="de" w:bidi="en-US"/>
    </w:rPr>
  </w:style>
  <w:style w:type="paragraph" w:customStyle="1" w:styleId="13">
    <w:name w:val="MDPI_3.1_text"/>
    <w:basedOn w:val="1"/>
    <w:link w:val="12"/>
    <w:qFormat/>
    <w:uiPriority w:val="0"/>
    <w:pPr>
      <w:adjustRightInd w:val="0"/>
      <w:snapToGrid w:val="0"/>
      <w:spacing w:before="156" w:beforeLines="50" w:line="480" w:lineRule="auto"/>
      <w:ind w:firstLine="425"/>
    </w:pPr>
    <w:rPr>
      <w:color w:val="000000"/>
      <w:kern w:val="0"/>
      <w:sz w:val="24"/>
      <w:szCs w:val="24"/>
    </w:rPr>
  </w:style>
  <w:style w:type="character" w:customStyle="1" w:styleId="14">
    <w:name w:val="页眉 字符"/>
    <w:basedOn w:val="7"/>
    <w:link w:val="4"/>
    <w:uiPriority w:val="0"/>
    <w:rPr>
      <w:kern w:val="2"/>
      <w:sz w:val="18"/>
      <w:szCs w:val="18"/>
    </w:rPr>
  </w:style>
  <w:style w:type="character" w:customStyle="1" w:styleId="15">
    <w:name w:val="页脚 字符"/>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1828</Words>
  <Characters>9569</Characters>
  <Lines>81</Lines>
  <Paragraphs>22</Paragraphs>
  <TotalTime>1</TotalTime>
  <ScaleCrop>false</ScaleCrop>
  <LinksUpToDate>false</LinksUpToDate>
  <CharactersWithSpaces>11085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2024-10-12T03:06:00Z</dcterms:created>
  <dc:creator>Oración</dc:creator>
  <cp:lastModifiedBy>Oración</cp:lastModifiedBy>
  <dcterms:modified xsi:type="dcterms:W3CDTF">2024-12-09T03:12:16Z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6505D5445E1045DE937BAF026BE8EDF5_11</vt:lpwstr>
  </property>
</Properties>
</file>