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057C8" w14:textId="77777777" w:rsidR="00F73DDE" w:rsidRDefault="00F73DDE" w:rsidP="00F73DDE">
      <w:pPr>
        <w:autoSpaceDE w:val="0"/>
        <w:spacing w:line="480" w:lineRule="auto"/>
        <w:rPr>
          <w:rFonts w:ascii="Times New Roman" w:eastAsia="等线" w:hAnsi="Times New Roman" w:cs="Times New Roman"/>
          <w:sz w:val="24"/>
          <w:szCs w:val="24"/>
          <w:lang w:bidi="ar"/>
        </w:rPr>
      </w:pPr>
    </w:p>
    <w:p w14:paraId="787457EA" w14:textId="77777777" w:rsidR="00F73DDE" w:rsidRDefault="00F73DDE" w:rsidP="00F73DDE">
      <w:pPr>
        <w:autoSpaceDE w:val="0"/>
        <w:spacing w:line="480" w:lineRule="auto"/>
        <w:rPr>
          <w:rFonts w:ascii="Times New Roman" w:eastAsia="等线" w:hAnsi="Times New Roman" w:cs="Times New Roman"/>
          <w:sz w:val="24"/>
          <w:szCs w:val="24"/>
          <w:lang w:bidi="ar"/>
        </w:rPr>
      </w:pPr>
      <w:r>
        <w:rPr>
          <w:rFonts w:ascii="Times New Roman" w:eastAsia="等线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19A3FB0" wp14:editId="6589F630">
            <wp:extent cx="4798060" cy="4394200"/>
            <wp:effectExtent l="0" t="0" r="2540" b="6350"/>
            <wp:docPr id="208986039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60394" name="图片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980E" w14:textId="411A76F9" w:rsidR="00F73DDE" w:rsidRDefault="00F73DDE" w:rsidP="00F73DDE">
      <w:pPr>
        <w:autoSpaceDE w:val="0"/>
        <w:spacing w:line="480" w:lineRule="auto"/>
        <w:rPr>
          <w:rFonts w:ascii="Times New Roman" w:eastAsia="等线" w:hAnsi="Times New Roman" w:cs="Times New Roman"/>
          <w:sz w:val="24"/>
          <w:szCs w:val="24"/>
          <w:lang w:bidi="ar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Supplementary Fig</w:t>
      </w:r>
      <w:r w:rsidR="00FE324A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1 A-E. </w:t>
      </w:r>
      <w:r>
        <w:rPr>
          <w:rFonts w:ascii="Times New Roman" w:eastAsia="等线" w:hAnsi="Times New Roman" w:cs="Times New Roman"/>
          <w:sz w:val="24"/>
          <w:szCs w:val="24"/>
        </w:rPr>
        <w:t xml:space="preserve">The scatter plots showed correlation of subtype-specific module genes, of which modules’ correlation coefficient higher than 0.5, and Subtype 1 corresponding to red module, Subtype 2 to black, brown and green, as well as Subtype 3 to pink module.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F-G.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heatmaps illustrated subtype-specific module-trait genes expressing distribution across three subtypes.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H.</w:t>
      </w:r>
      <w:r>
        <w:rPr>
          <w:rFonts w:ascii="Times New Roman" w:eastAsia="等线" w:hAnsi="Times New Roman" w:cs="Times New Roman"/>
          <w:sz w:val="24"/>
          <w:szCs w:val="24"/>
        </w:rPr>
        <w:t xml:space="preserve"> Immune cell</w:t>
      </w:r>
      <w:r>
        <w:rPr>
          <w:rFonts w:ascii="Times New Roman" w:eastAsia="等线" w:hAnsi="Times New Roman" w:cs="Times New Roman" w:hint="eastAsia"/>
          <w:sz w:val="24"/>
          <w:szCs w:val="24"/>
        </w:rPr>
        <w:t>s</w:t>
      </w:r>
      <w:r>
        <w:rPr>
          <w:rFonts w:ascii="Times New Roman" w:eastAsia="等线" w:hAnsi="Times New Roman" w:cs="Times New Roman"/>
          <w:sz w:val="24"/>
          <w:szCs w:val="24"/>
        </w:rPr>
        <w:t xml:space="preserve"> infiltration across three subtypes in the form of boxplot.</w:t>
      </w:r>
    </w:p>
    <w:p w14:paraId="7B9F2839" w14:textId="5260FF28" w:rsidR="00F73DDE" w:rsidRDefault="00F73DDE" w:rsidP="00F73DDE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en-US"/>
        </w:rPr>
        <w:lastRenderedPageBreak/>
        <w:drawing>
          <wp:inline distT="0" distB="0" distL="0" distR="0" wp14:anchorId="78B67291" wp14:editId="0A560A6F">
            <wp:extent cx="5278120" cy="6533515"/>
            <wp:effectExtent l="0" t="0" r="0" b="635"/>
            <wp:docPr id="21046630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6301" name="图片 1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5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Supplementary Fig</w:t>
      </w:r>
      <w:r w:rsidR="00FE324A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2 A.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heatmap of immune infiltrative abundance of three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subtypes by other 7 algorithms, including TIMER, CIBERSORT, CIBERSORT_ABS, quanTIseq, MCPcounter, xCell, and EPIC.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B-D.</w:t>
      </w:r>
      <w:r>
        <w:rPr>
          <w:rFonts w:ascii="Times New Roman" w:eastAsia="等线" w:hAnsi="Times New Roman" w:cs="Times New Roman"/>
          <w:sz w:val="24"/>
          <w:szCs w:val="24"/>
        </w:rPr>
        <w:t xml:space="preserve"> PD-L1, LAG3, and MHC molecules distributed among three subtypes, plotted in the form of boxplots.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E-F</w:t>
      </w:r>
      <w:r>
        <w:rPr>
          <w:rFonts w:ascii="Times New Roman" w:eastAsia="等线" w:hAnsi="Times New Roman" w:cs="Times New Roman"/>
          <w:sz w:val="24"/>
          <w:szCs w:val="24"/>
        </w:rPr>
        <w:t xml:space="preserve">. The boxplots elaborated immune indices on three subtypes, inclusive of TCR.Shannon and BCR.Shannon signature score. </w:t>
      </w:r>
      <w:r w:rsidR="00314EB9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G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canonical </w:t>
      </w:r>
      <w:r>
        <w:rPr>
          <w:rFonts w:ascii="Times New Roman" w:eastAsia="等线" w:hAnsi="Times New Roman" w:cs="Times New Roman"/>
          <w:sz w:val="24"/>
          <w:szCs w:val="24"/>
        </w:rPr>
        <w:lastRenderedPageBreak/>
        <w:t>co-inhibitors were pictured across three subtypes.</w:t>
      </w:r>
    </w:p>
    <w:p w14:paraId="23D71C6D" w14:textId="77777777" w:rsidR="00F73DDE" w:rsidRDefault="00F73DDE" w:rsidP="00F73DDE">
      <w:pPr>
        <w:spacing w:line="480" w:lineRule="auto"/>
        <w:rPr>
          <w:rFonts w:ascii="Times New Roman" w:hAnsi="Times New Roman" w:cs="Times New Roman"/>
        </w:rPr>
      </w:pPr>
    </w:p>
    <w:p w14:paraId="0E6A560C" w14:textId="20C2140A" w:rsidR="00F73DDE" w:rsidRDefault="00F73DDE" w:rsidP="00F73DDE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21DAEB37" wp14:editId="667E5ADF">
            <wp:extent cx="5278120" cy="6520180"/>
            <wp:effectExtent l="0" t="0" r="0" b="0"/>
            <wp:docPr id="198418395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83954" name="图片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52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Supplementary Fig</w:t>
      </w:r>
      <w:r w:rsidR="00FE324A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A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-B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IC50 value of 5-fluorouracil in PRISM or GDSC across three subtypes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in GEO-Meta</w:t>
      </w:r>
      <w:r>
        <w:rPr>
          <w:rFonts w:ascii="Times New Roman" w:eastAsia="等线" w:hAnsi="Times New Roman" w:cs="Times New Roman"/>
          <w:sz w:val="24"/>
          <w:szCs w:val="24"/>
        </w:rPr>
        <w:t xml:space="preserve"> in the form of boxplot.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C-D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The IC50 value of 5-fluorouracil in PRISM or GDSC across three subtypes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in ICGC-Meta</w:t>
      </w:r>
      <w:r>
        <w:rPr>
          <w:rFonts w:ascii="Times New Roman" w:eastAsia="等线" w:hAnsi="Times New Roman" w:cs="Times New Roman"/>
          <w:sz w:val="24"/>
          <w:szCs w:val="24"/>
        </w:rPr>
        <w:t xml:space="preserve"> in the form of boxplot.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E-F.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scatter plot of </w:t>
      </w:r>
      <w:r>
        <w:rPr>
          <w:rFonts w:ascii="Times New Roman" w:eastAsia="等线" w:hAnsi="Times New Roman" w:cs="Times New Roman" w:hint="eastAsia"/>
          <w:sz w:val="24"/>
          <w:szCs w:val="24"/>
        </w:rPr>
        <w:lastRenderedPageBreak/>
        <w:t xml:space="preserve">correlation between ITGB6 expression and </w:t>
      </w:r>
      <w:r>
        <w:rPr>
          <w:rFonts w:ascii="Times New Roman" w:eastAsia="等线" w:hAnsi="Times New Roman" w:cs="Times New Roman"/>
          <w:sz w:val="24"/>
          <w:szCs w:val="24"/>
        </w:rPr>
        <w:t>IC50 value of 5-fluorouracil in PRISM or GDSC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G-Q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等线" w:hAnsi="Times New Roman" w:cs="Times New Roman"/>
          <w:sz w:val="24"/>
          <w:szCs w:val="24"/>
        </w:rPr>
        <w:t xml:space="preserve"> Kaplan-Meier (K-M) survival curves for ITGB6 inspected by log-rank test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in multiple PAAD datasets</w:t>
      </w:r>
      <w:r>
        <w:rPr>
          <w:rFonts w:ascii="Times New Roman" w:eastAsia="等线" w:hAnsi="Times New Roman" w:cs="Times New Roman"/>
          <w:sz w:val="24"/>
          <w:szCs w:val="24"/>
        </w:rPr>
        <w:t xml:space="preserve">.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R-S.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Cell viability at</w:t>
      </w:r>
      <w:r>
        <w:rPr>
          <w:rFonts w:ascii="Times New Roman" w:eastAsia="等线" w:hAnsi="Times New Roman" w:cs="Times New Roman"/>
          <w:sz w:val="24"/>
          <w:szCs w:val="24"/>
        </w:rPr>
        <w:t xml:space="preserve"> different concentrations of 5-fluorouracil</w:t>
      </w:r>
      <w:r>
        <w:rPr>
          <w:rFonts w:ascii="Times New Roman" w:eastAsia="等线" w:hAnsi="Times New Roman" w:cs="Times New Roman" w:hint="eastAsia"/>
          <w:sz w:val="24"/>
          <w:szCs w:val="24"/>
        </w:rPr>
        <w:t>.</w:t>
      </w:r>
    </w:p>
    <w:p w14:paraId="2073B2AC" w14:textId="77777777" w:rsidR="000F07FB" w:rsidRDefault="000F07FB"/>
    <w:sectPr w:rsidR="000F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3DDE"/>
    <w:rsid w:val="000F07FB"/>
    <w:rsid w:val="00314EB9"/>
    <w:rsid w:val="003D2777"/>
    <w:rsid w:val="00B335FD"/>
    <w:rsid w:val="00F73DDE"/>
    <w:rsid w:val="00FE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EC213"/>
  <w15:docId w15:val="{EC36F7D4-58ED-45B1-8C3F-87FC04F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DDE"/>
    <w:pPr>
      <w:widowControl w:val="0"/>
      <w:spacing w:after="0" w:line="240" w:lineRule="auto"/>
      <w:jc w:val="both"/>
    </w:pPr>
    <w:rPr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DDE"/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F73DDE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Karthik Selvaraj (Integra)</dc:creator>
  <cp:lastModifiedBy>xing xiao</cp:lastModifiedBy>
  <cp:revision>3</cp:revision>
  <dcterms:created xsi:type="dcterms:W3CDTF">2024-12-18T13:50:00Z</dcterms:created>
  <dcterms:modified xsi:type="dcterms:W3CDTF">2024-12-20T01:13:00Z</dcterms:modified>
</cp:coreProperties>
</file>