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CFA60" w14:textId="563BB3B8" w:rsidR="004323B9" w:rsidRDefault="004323B9" w:rsidP="00526FA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Information</w:t>
      </w:r>
    </w:p>
    <w:p w14:paraId="43F116AA" w14:textId="77777777" w:rsidR="004323B9" w:rsidRDefault="004323B9" w:rsidP="00526FA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BCA0712" w14:textId="122CBE66" w:rsidR="00526FA6" w:rsidRPr="001325D4" w:rsidRDefault="00B177DA" w:rsidP="00526F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25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Bacteriophage-derived endolysins restore antibiotic susceptibility in β-lactam- and macrolide-resistant </w:t>
      </w:r>
      <w:r w:rsidRPr="001325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Streptococcus pneumoniae</w:t>
      </w:r>
      <w:r w:rsidRPr="001325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infections</w:t>
      </w:r>
    </w:p>
    <w:p w14:paraId="2AB8D5C0" w14:textId="4F2D3FF5" w:rsidR="00526FA6" w:rsidRPr="001325D4" w:rsidRDefault="00BC1E6C" w:rsidP="00526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 w:rsidRPr="001325D4">
        <w:rPr>
          <w:rFonts w:ascii="Times New Roman" w:hAnsi="Times New Roman" w:cs="Times New Roman"/>
          <w:sz w:val="24"/>
          <w:szCs w:val="24"/>
          <w:lang w:val="en-US"/>
        </w:rPr>
        <w:t>Niels Vander Elst</w:t>
      </w:r>
      <w:r w:rsidRPr="001325D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325D4">
        <w:rPr>
          <w:rFonts w:ascii="Times New Roman" w:hAnsi="Times New Roman" w:cs="Times New Roman"/>
          <w:sz w:val="24"/>
          <w:szCs w:val="24"/>
          <w:lang w:val="en-US"/>
        </w:rPr>
        <w:t>, Kristine Farmen</w:t>
      </w:r>
      <w:r w:rsidRPr="001325D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325D4">
        <w:rPr>
          <w:rFonts w:ascii="Times New Roman" w:hAnsi="Times New Roman" w:cs="Times New Roman"/>
          <w:sz w:val="24"/>
          <w:szCs w:val="24"/>
          <w:lang w:val="en-US"/>
        </w:rPr>
        <w:t>, Lisa Knörr</w:t>
      </w:r>
      <w:r w:rsidRPr="001325D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325D4">
        <w:rPr>
          <w:rFonts w:ascii="Times New Roman" w:hAnsi="Times New Roman" w:cs="Times New Roman"/>
          <w:sz w:val="24"/>
          <w:szCs w:val="24"/>
          <w:lang w:val="en-US"/>
        </w:rPr>
        <w:t>, Lotte Merlijn</w:t>
      </w:r>
      <w:r w:rsidRPr="001325D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325D4">
        <w:rPr>
          <w:rFonts w:ascii="Times New Roman" w:hAnsi="Times New Roman" w:cs="Times New Roman"/>
          <w:sz w:val="24"/>
          <w:szCs w:val="24"/>
          <w:lang w:val="en-US"/>
        </w:rPr>
        <w:t xml:space="preserve"> and Federico Iovino</w:t>
      </w:r>
      <w:r w:rsidRPr="001325D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 *</w:t>
      </w:r>
    </w:p>
    <w:p w14:paraId="56AD46F6" w14:textId="7E38ADEB" w:rsidR="00526FA6" w:rsidRPr="004323B9" w:rsidRDefault="00526FA6" w:rsidP="00526F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325D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325D4">
        <w:rPr>
          <w:rFonts w:ascii="Times New Roman" w:hAnsi="Times New Roman" w:cs="Times New Roman"/>
          <w:sz w:val="24"/>
          <w:szCs w:val="24"/>
          <w:lang w:val="en-US"/>
        </w:rPr>
        <w:t>Department of Neuroscience, Karolinska Institute, Stockholm, Sweden.</w:t>
      </w:r>
    </w:p>
    <w:p w14:paraId="57AA1B6B" w14:textId="6AFCC877" w:rsidR="004323B9" w:rsidRPr="00526FA6" w:rsidRDefault="00526FA6" w:rsidP="00526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23B9">
        <w:rPr>
          <w:rFonts w:ascii="Times New Roman" w:hAnsi="Times New Roman" w:cs="Times New Roman"/>
          <w:sz w:val="24"/>
          <w:szCs w:val="24"/>
          <w:lang w:val="en-US"/>
        </w:rPr>
        <w:t xml:space="preserve">*Correspondence to: </w:t>
      </w:r>
      <w:hyperlink r:id="rId8" w:history="1">
        <w:r w:rsidRPr="004323B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federico.iovino@ki.se</w:t>
        </w:r>
      </w:hyperlink>
    </w:p>
    <w:p w14:paraId="2F1E7547" w14:textId="3A3BC3B5" w:rsidR="00863F75" w:rsidRDefault="00526FA6" w:rsidP="004357A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  <w:r w:rsidRPr="00863F75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="004323B9" w:rsidRPr="00863F75">
        <w:rPr>
          <w:rFonts w:ascii="Times New Roman" w:hAnsi="Times New Roman" w:cs="Times New Roman"/>
          <w:b/>
          <w:bCs/>
          <w:lang w:val="en-US"/>
        </w:rPr>
        <w:t>Figure S</w:t>
      </w:r>
      <w:r w:rsidRPr="00863F75">
        <w:rPr>
          <w:rFonts w:ascii="Times New Roman" w:hAnsi="Times New Roman" w:cs="Times New Roman"/>
          <w:b/>
          <w:bCs/>
          <w:lang w:val="en-US"/>
        </w:rPr>
        <w:t>1</w:t>
      </w:r>
      <w:r w:rsidR="00D04219" w:rsidRPr="00863F75">
        <w:rPr>
          <w:rFonts w:ascii="Times New Roman" w:hAnsi="Times New Roman" w:cs="Times New Roman"/>
          <w:b/>
          <w:bCs/>
          <w:lang w:val="en-US"/>
        </w:rPr>
        <w:t>.</w:t>
      </w:r>
      <w:r w:rsidR="001E3267" w:rsidRPr="00863F75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1E3267" w:rsidRPr="005B5BB2">
        <w:rPr>
          <w:rFonts w:ascii="Times New Roman" w:hAnsi="Times New Roman" w:cs="Times New Roman"/>
          <w:b/>
          <w:bCs/>
          <w:lang w:val="en-US"/>
        </w:rPr>
        <w:t>Comparative analysis of the lytic activity of the cpl-1 and cpl-7s endolysins against the pneumococcal clinical isolates of this study.</w:t>
      </w:r>
      <w:r w:rsidR="001E3267" w:rsidRPr="00863F75">
        <w:rPr>
          <w:rFonts w:ascii="Times New Roman" w:hAnsi="Times New Roman" w:cs="Times New Roman"/>
          <w:lang w:val="en-US"/>
        </w:rPr>
        <w:t> cpl-1 and cpl-7s endolysins at 2.5 µM concentration displayed a strong antimicrobial activity towards all pneumococcal isolate of this study in turbidity reduction assays. </w:t>
      </w:r>
      <w:r w:rsidR="001E3267" w:rsidRPr="00863F75">
        <w:rPr>
          <w:rFonts w:ascii="Times New Roman" w:hAnsi="Times New Roman" w:cs="Times New Roman"/>
          <w:i/>
          <w:iCs/>
          <w:lang w:val="en-US"/>
        </w:rPr>
        <w:t>S. pneumoniae</w:t>
      </w:r>
      <w:r w:rsidR="001E3267" w:rsidRPr="00863F75">
        <w:rPr>
          <w:rFonts w:ascii="Times New Roman" w:hAnsi="Times New Roman" w:cs="Times New Roman"/>
          <w:lang w:val="en-US"/>
        </w:rPr>
        <w:t> AH 16,031 was challenged at a lower OD</w:t>
      </w:r>
      <w:r w:rsidR="001E3267" w:rsidRPr="00863F75">
        <w:rPr>
          <w:rFonts w:ascii="Times New Roman" w:hAnsi="Times New Roman" w:cs="Times New Roman"/>
          <w:vertAlign w:val="subscript"/>
          <w:lang w:val="en-US"/>
        </w:rPr>
        <w:t xml:space="preserve">620nm </w:t>
      </w:r>
      <w:r w:rsidR="001E3267" w:rsidRPr="00863F75">
        <w:rPr>
          <w:rFonts w:ascii="Times New Roman" w:hAnsi="Times New Roman" w:cs="Times New Roman"/>
          <w:lang w:val="en-US"/>
        </w:rPr>
        <w:t>due to reduced gro</w:t>
      </w:r>
      <w:bookmarkStart w:id="0" w:name="_GoBack"/>
      <w:bookmarkEnd w:id="0"/>
      <w:r w:rsidR="001E3267" w:rsidRPr="00863F75">
        <w:rPr>
          <w:rFonts w:ascii="Times New Roman" w:hAnsi="Times New Roman" w:cs="Times New Roman"/>
          <w:lang w:val="en-US"/>
        </w:rPr>
        <w:t>wth </w:t>
      </w:r>
      <w:r w:rsidR="001E3267" w:rsidRPr="00863F75">
        <w:rPr>
          <w:rFonts w:ascii="Times New Roman" w:hAnsi="Times New Roman" w:cs="Times New Roman"/>
          <w:i/>
          <w:iCs/>
          <w:lang w:val="en-US"/>
        </w:rPr>
        <w:t>in vitro</w:t>
      </w:r>
      <w:r w:rsidR="001E3267" w:rsidRPr="00863F75">
        <w:rPr>
          <w:rFonts w:ascii="Times New Roman" w:hAnsi="Times New Roman" w:cs="Times New Roman"/>
          <w:lang w:val="en-US"/>
        </w:rPr>
        <w:t xml:space="preserve">. </w:t>
      </w:r>
      <w:r w:rsidR="00863F75" w:rsidRPr="00863F75">
        <w:rPr>
          <w:rFonts w:ascii="Times New Roman" w:hAnsi="Times New Roman" w:cs="Times New Roman"/>
          <w:lang w:val="en-US"/>
        </w:rPr>
        <w:t xml:space="preserve">Datapoints show the mean ± standard deviation </w:t>
      </w:r>
      <w:r w:rsidR="00863F75" w:rsidRPr="00ED5DF1">
        <w:rPr>
          <w:rFonts w:ascii="Times New Roman" w:hAnsi="Times New Roman" w:cs="Times New Roman"/>
          <w:lang w:val="en-US"/>
        </w:rPr>
        <w:t>of three biological replicates</w:t>
      </w:r>
      <w:r w:rsidR="00863F75" w:rsidRPr="00863F75">
        <w:rPr>
          <w:rFonts w:ascii="Times New Roman" w:hAnsi="Times New Roman" w:cs="Times New Roman"/>
          <w:lang w:val="en-US"/>
        </w:rPr>
        <w:t xml:space="preserve"> </w:t>
      </w:r>
      <w:r w:rsidR="006C2C61">
        <w:rPr>
          <w:rFonts w:ascii="Times New Roman" w:hAnsi="Times New Roman" w:cs="Times New Roman"/>
          <w:lang w:val="en-US"/>
        </w:rPr>
        <w:t xml:space="preserve">(n=3) </w:t>
      </w:r>
      <w:r w:rsidR="00863F75" w:rsidRPr="00863F75">
        <w:rPr>
          <w:rFonts w:ascii="Times New Roman" w:hAnsi="Times New Roman" w:cs="Times New Roman"/>
          <w:lang w:val="en-US"/>
        </w:rPr>
        <w:t>every 5 minutes.</w:t>
      </w:r>
    </w:p>
    <w:p w14:paraId="6606EA8C" w14:textId="29D01766" w:rsidR="004357A7" w:rsidRDefault="00D04219" w:rsidP="00CA1E1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PH" w:eastAsia="en-PH"/>
        </w:rPr>
        <w:drawing>
          <wp:inline distT="0" distB="0" distL="0" distR="0" wp14:anchorId="15FBFAD3" wp14:editId="59409149">
            <wp:extent cx="5360276" cy="7312769"/>
            <wp:effectExtent l="0" t="0" r="0" b="2540"/>
            <wp:docPr id="1929605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05525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r="1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783" cy="7313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57A7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06F478FD" w14:textId="3933B3BD" w:rsidR="00830F3C" w:rsidRPr="00830F3C" w:rsidRDefault="00830F3C" w:rsidP="00830F3C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325D4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Figure S2. Endolysin cpl-1 crosses the blood-brain barrier (BBB). </w:t>
      </w:r>
      <w:r w:rsidR="00B97180" w:rsidRPr="001325D4">
        <w:rPr>
          <w:rFonts w:ascii="Times New Roman" w:hAnsi="Times New Roman" w:cs="Times New Roman"/>
          <w:lang w:val="en-US"/>
        </w:rPr>
        <w:t>(</w:t>
      </w:r>
      <w:r w:rsidR="00B97180" w:rsidRPr="001325D4">
        <w:rPr>
          <w:rFonts w:ascii="Times New Roman" w:hAnsi="Times New Roman" w:cs="Times New Roman"/>
          <w:b/>
          <w:bCs/>
          <w:lang w:val="en-US"/>
        </w:rPr>
        <w:t>A</w:t>
      </w:r>
      <w:r w:rsidR="00B97180" w:rsidRPr="001325D4">
        <w:rPr>
          <w:rFonts w:ascii="Times New Roman" w:hAnsi="Times New Roman" w:cs="Times New Roman"/>
          <w:lang w:val="en-US"/>
        </w:rPr>
        <w:t xml:space="preserve">) </w:t>
      </w:r>
      <w:r w:rsidRPr="001325D4">
        <w:rPr>
          <w:rFonts w:ascii="Times New Roman" w:hAnsi="Times New Roman" w:cs="Times New Roman"/>
          <w:lang w:val="en-US"/>
        </w:rPr>
        <w:t xml:space="preserve">Western blot analysis of cpl-1 endolysin (detected using an anti-His tag antibody) in samples collected from the lower chamber of a </w:t>
      </w:r>
      <w:proofErr w:type="spellStart"/>
      <w:r w:rsidRPr="001325D4">
        <w:rPr>
          <w:rFonts w:ascii="Times New Roman" w:hAnsi="Times New Roman" w:cs="Times New Roman"/>
          <w:lang w:val="en-US"/>
        </w:rPr>
        <w:t>transwell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 system with a HUVEC monolayer at 30, 60, 90, 120, 240 and 360 min. The medium from the upper chamber (0 min) was used as a positive control. The arrow indicates the band corresponding to cpl-1 </w:t>
      </w:r>
      <w:proofErr w:type="spellStart"/>
      <w:r w:rsidRPr="001325D4">
        <w:rPr>
          <w:rFonts w:ascii="Times New Roman" w:hAnsi="Times New Roman" w:cs="Times New Roman"/>
          <w:lang w:val="en-US"/>
        </w:rPr>
        <w:t>endolysin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 (40.3 </w:t>
      </w:r>
      <w:proofErr w:type="spellStart"/>
      <w:r w:rsidRPr="001325D4">
        <w:rPr>
          <w:rFonts w:ascii="Times New Roman" w:hAnsi="Times New Roman" w:cs="Times New Roman"/>
          <w:lang w:val="en-US"/>
        </w:rPr>
        <w:t>kDa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). </w:t>
      </w:r>
      <w:r w:rsidR="00B97180" w:rsidRPr="001325D4">
        <w:rPr>
          <w:rFonts w:ascii="Times New Roman" w:hAnsi="Times New Roman" w:cs="Times New Roman"/>
          <w:lang w:val="en-US"/>
        </w:rPr>
        <w:t>(</w:t>
      </w:r>
      <w:r w:rsidR="00B97180" w:rsidRPr="001325D4">
        <w:rPr>
          <w:rFonts w:ascii="Times New Roman" w:hAnsi="Times New Roman" w:cs="Times New Roman"/>
          <w:b/>
          <w:bCs/>
          <w:lang w:val="en-US"/>
        </w:rPr>
        <w:t>B</w:t>
      </w:r>
      <w:r w:rsidR="00B97180" w:rsidRPr="001325D4">
        <w:rPr>
          <w:rFonts w:ascii="Times New Roman" w:hAnsi="Times New Roman" w:cs="Times New Roman"/>
          <w:lang w:val="en-US"/>
        </w:rPr>
        <w:t xml:space="preserve">) </w:t>
      </w:r>
      <w:r w:rsidRPr="001325D4">
        <w:rPr>
          <w:rFonts w:ascii="Times New Roman" w:hAnsi="Times New Roman" w:cs="Times New Roman"/>
          <w:lang w:val="en-US"/>
        </w:rPr>
        <w:t>Integrity of the HUVEC monolayer was assessed using FITC-Dextran permeability. Fluorescence in the upper chamber (0 min) was compared to the lower chamber at 30, 60, 90, and 120 min to evaluate barrier function.</w:t>
      </w:r>
      <w:r w:rsidR="00861D82" w:rsidRPr="001325D4">
        <w:rPr>
          <w:lang w:val="en-US"/>
        </w:rPr>
        <w:t xml:space="preserve"> </w:t>
      </w:r>
      <w:r w:rsidR="00187FBA" w:rsidRPr="001325D4">
        <w:rPr>
          <w:rFonts w:ascii="Times New Roman" w:hAnsi="Times New Roman" w:cs="Times New Roman"/>
          <w:lang w:val="en-US"/>
        </w:rPr>
        <w:t xml:space="preserve">Bars represent the mean of three biological replicates (n=3, shown as white circles), with error bars depicting the standard deviation. </w:t>
      </w:r>
      <w:r w:rsidR="00B97180" w:rsidRPr="001325D4">
        <w:rPr>
          <w:rFonts w:ascii="Times New Roman" w:hAnsi="Times New Roman" w:cs="Times New Roman"/>
          <w:lang w:val="en-US"/>
        </w:rPr>
        <w:t>(</w:t>
      </w:r>
      <w:r w:rsidR="00B97180" w:rsidRPr="001325D4">
        <w:rPr>
          <w:rFonts w:ascii="Times New Roman" w:hAnsi="Times New Roman" w:cs="Times New Roman"/>
          <w:b/>
          <w:bCs/>
          <w:lang w:val="en-US"/>
        </w:rPr>
        <w:t>C</w:t>
      </w:r>
      <w:r w:rsidR="00B97180" w:rsidRPr="001325D4">
        <w:rPr>
          <w:rFonts w:ascii="Times New Roman" w:hAnsi="Times New Roman" w:cs="Times New Roman"/>
          <w:lang w:val="en-US"/>
        </w:rPr>
        <w:t xml:space="preserve">) </w:t>
      </w:r>
      <w:r w:rsidRPr="001325D4">
        <w:rPr>
          <w:rFonts w:ascii="Times New Roman" w:hAnsi="Times New Roman" w:cs="Times New Roman"/>
          <w:lang w:val="en-US"/>
        </w:rPr>
        <w:t>HUVECs were treated with either phosphate-buffered saline (PBS) or the cpl-1 endolysin, fixed 1 h post-treatment, and</w:t>
      </w:r>
      <w:r w:rsidR="006B17B8" w:rsidRPr="001325D4">
        <w:rPr>
          <w:rFonts w:ascii="Times New Roman" w:hAnsi="Times New Roman" w:cs="Times New Roman"/>
          <w:lang w:val="en-US"/>
        </w:rPr>
        <w:t xml:space="preserve"> </w:t>
      </w:r>
      <w:r w:rsidRPr="001325D4">
        <w:rPr>
          <w:rFonts w:ascii="Times New Roman" w:hAnsi="Times New Roman" w:cs="Times New Roman"/>
          <w:lang w:val="en-US"/>
        </w:rPr>
        <w:t xml:space="preserve">stained for lectin (green, </w:t>
      </w:r>
      <w:proofErr w:type="spellStart"/>
      <w:r w:rsidRPr="001325D4">
        <w:rPr>
          <w:rFonts w:ascii="Times New Roman" w:hAnsi="Times New Roman" w:cs="Times New Roman"/>
          <w:lang w:val="en-US"/>
        </w:rPr>
        <w:t>AlexaFluor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 488) and </w:t>
      </w:r>
      <w:r w:rsidR="006B17B8" w:rsidRPr="001325D4">
        <w:rPr>
          <w:rFonts w:ascii="Times New Roman" w:hAnsi="Times New Roman" w:cs="Times New Roman"/>
          <w:lang w:val="en-US"/>
        </w:rPr>
        <w:t>the intracellular c</w:t>
      </w:r>
      <w:r w:rsidRPr="001325D4">
        <w:rPr>
          <w:rFonts w:ascii="Times New Roman" w:hAnsi="Times New Roman" w:cs="Times New Roman"/>
          <w:lang w:val="en-US"/>
        </w:rPr>
        <w:t xml:space="preserve">pl-1 </w:t>
      </w:r>
      <w:proofErr w:type="spellStart"/>
      <w:r w:rsidRPr="001325D4">
        <w:rPr>
          <w:rFonts w:ascii="Times New Roman" w:hAnsi="Times New Roman" w:cs="Times New Roman"/>
          <w:lang w:val="en-US"/>
        </w:rPr>
        <w:t>endolysin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 (red, </w:t>
      </w:r>
      <w:proofErr w:type="spellStart"/>
      <w:r w:rsidRPr="001325D4">
        <w:rPr>
          <w:rFonts w:ascii="Times New Roman" w:hAnsi="Times New Roman" w:cs="Times New Roman"/>
          <w:lang w:val="en-US"/>
        </w:rPr>
        <w:t>AlexaFluor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 647). Scale bars</w:t>
      </w:r>
      <w:r w:rsidR="006B17B8" w:rsidRPr="001325D4">
        <w:rPr>
          <w:rFonts w:ascii="Times New Roman" w:hAnsi="Times New Roman" w:cs="Times New Roman"/>
          <w:lang w:val="en-US"/>
        </w:rPr>
        <w:t xml:space="preserve"> represent</w:t>
      </w:r>
      <w:r w:rsidRPr="001325D4">
        <w:rPr>
          <w:rFonts w:ascii="Times New Roman" w:hAnsi="Times New Roman" w:cs="Times New Roman"/>
          <w:lang w:val="en-US"/>
        </w:rPr>
        <w:t xml:space="preserve"> 30.0 µm</w:t>
      </w:r>
      <w:r w:rsidR="00C544BE" w:rsidRPr="001325D4">
        <w:rPr>
          <w:rFonts w:ascii="Times New Roman" w:hAnsi="Times New Roman" w:cs="Times New Roman"/>
          <w:lang w:val="en-US"/>
        </w:rPr>
        <w:t>; *** indicates p &lt; 0.001.</w:t>
      </w:r>
      <w:r w:rsidR="00187FBA">
        <w:rPr>
          <w:rFonts w:ascii="Times New Roman" w:hAnsi="Times New Roman" w:cs="Times New Roman"/>
          <w:lang w:val="en-US"/>
        </w:rPr>
        <w:t xml:space="preserve"> </w:t>
      </w:r>
    </w:p>
    <w:p w14:paraId="54683A70" w14:textId="7707F2A4" w:rsidR="00574EBB" w:rsidRPr="00830F3C" w:rsidRDefault="0039348C" w:rsidP="00830F3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PH" w:eastAsia="en-PH"/>
        </w:rPr>
        <w:drawing>
          <wp:inline distT="0" distB="0" distL="0" distR="0" wp14:anchorId="7FFF90BF" wp14:editId="1FEBC7E1">
            <wp:extent cx="5760720" cy="5121771"/>
            <wp:effectExtent l="0" t="0" r="0" b="3175"/>
            <wp:docPr id="21011806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80618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21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4EBB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FDDE7BE" w14:textId="6397E5C3" w:rsidR="004967A0" w:rsidRPr="00EE7D11" w:rsidRDefault="004967A0" w:rsidP="004967A0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325D4">
        <w:rPr>
          <w:rFonts w:ascii="Times New Roman" w:hAnsi="Times New Roman" w:cs="Times New Roman"/>
          <w:b/>
          <w:bCs/>
          <w:lang w:val="en-US"/>
        </w:rPr>
        <w:lastRenderedPageBreak/>
        <w:t>Supplementary Figure S</w:t>
      </w:r>
      <w:r w:rsidR="00D101FF" w:rsidRPr="001325D4">
        <w:rPr>
          <w:rFonts w:ascii="Times New Roman" w:hAnsi="Times New Roman" w:cs="Times New Roman"/>
          <w:b/>
          <w:bCs/>
          <w:lang w:val="en-US"/>
        </w:rPr>
        <w:t>3</w:t>
      </w:r>
      <w:r w:rsidRPr="001325D4">
        <w:rPr>
          <w:rFonts w:ascii="Times New Roman" w:hAnsi="Times New Roman" w:cs="Times New Roman"/>
          <w:b/>
          <w:bCs/>
          <w:lang w:val="en-US"/>
        </w:rPr>
        <w:t xml:space="preserve">. Endolysin cpl-1 </w:t>
      </w:r>
      <w:r w:rsidR="00DB129A" w:rsidRPr="001325D4">
        <w:rPr>
          <w:rFonts w:ascii="Times New Roman" w:hAnsi="Times New Roman" w:cs="Times New Roman"/>
          <w:b/>
          <w:bCs/>
          <w:lang w:val="en-US"/>
        </w:rPr>
        <w:t xml:space="preserve">efficiently </w:t>
      </w:r>
      <w:r w:rsidRPr="001325D4">
        <w:rPr>
          <w:rFonts w:ascii="Times New Roman" w:hAnsi="Times New Roman" w:cs="Times New Roman"/>
          <w:b/>
          <w:bCs/>
          <w:lang w:val="en-US"/>
        </w:rPr>
        <w:t xml:space="preserve">crosses the blood-brain barrier. </w:t>
      </w:r>
      <w:r w:rsidRPr="001325D4">
        <w:rPr>
          <w:rFonts w:ascii="Times New Roman" w:hAnsi="Times New Roman" w:cs="Times New Roman"/>
          <w:lang w:val="en-US"/>
        </w:rPr>
        <w:t xml:space="preserve">Confocal images display representative merged z-stacks (20 images, 20.0 µm thickness) of brain tissue sections from mice intravenously administered with PBS (n = 2) or 0.75 mg of the cpl-1 endolysin (n = 2). Tissues were immunofluorescent stained for the brain microvasculature (lectin, Alexa Fluor 488, </w:t>
      </w:r>
      <w:r w:rsidR="00BE0BC2" w:rsidRPr="001325D4">
        <w:rPr>
          <w:rFonts w:ascii="Times New Roman" w:hAnsi="Times New Roman" w:cs="Times New Roman"/>
          <w:lang w:val="en-US"/>
        </w:rPr>
        <w:t>green signal</w:t>
      </w:r>
      <w:r w:rsidRPr="001325D4">
        <w:rPr>
          <w:rFonts w:ascii="Times New Roman" w:hAnsi="Times New Roman" w:cs="Times New Roman"/>
          <w:lang w:val="en-US"/>
        </w:rPr>
        <w:t xml:space="preserve">) and the cpl-1 </w:t>
      </w:r>
      <w:proofErr w:type="spellStart"/>
      <w:r w:rsidRPr="001325D4">
        <w:rPr>
          <w:rFonts w:ascii="Times New Roman" w:hAnsi="Times New Roman" w:cs="Times New Roman"/>
          <w:lang w:val="en-US"/>
        </w:rPr>
        <w:t>endolysin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1325D4">
        <w:rPr>
          <w:rFonts w:ascii="Times New Roman" w:hAnsi="Times New Roman" w:cs="Times New Roman"/>
          <w:lang w:val="en-US"/>
        </w:rPr>
        <w:t>hexahistidine</w:t>
      </w:r>
      <w:proofErr w:type="spellEnd"/>
      <w:r w:rsidRPr="001325D4">
        <w:rPr>
          <w:rFonts w:ascii="Times New Roman" w:hAnsi="Times New Roman" w:cs="Times New Roman"/>
          <w:lang w:val="en-US"/>
        </w:rPr>
        <w:t xml:space="preserve">-tag, Alexa Fluor 647, </w:t>
      </w:r>
      <w:r w:rsidR="00BE0BC2" w:rsidRPr="001325D4">
        <w:rPr>
          <w:rFonts w:ascii="Times New Roman" w:hAnsi="Times New Roman" w:cs="Times New Roman"/>
          <w:lang w:val="en-US"/>
        </w:rPr>
        <w:t>red signal</w:t>
      </w:r>
      <w:r w:rsidRPr="001325D4">
        <w:rPr>
          <w:rFonts w:ascii="Times New Roman" w:hAnsi="Times New Roman" w:cs="Times New Roman"/>
          <w:lang w:val="en-US"/>
        </w:rPr>
        <w:t>). The lower row depicts merged images that combine the staining for the microvasculature with the cpl-1 endolysin</w:t>
      </w:r>
      <w:r w:rsidR="00DB129A" w:rsidRPr="001325D4">
        <w:rPr>
          <w:rFonts w:ascii="Times New Roman" w:hAnsi="Times New Roman" w:cs="Times New Roman"/>
          <w:lang w:val="en-US"/>
        </w:rPr>
        <w:t xml:space="preserve"> showing no cpl-1 signal for the PBS-treated group, as expected, and diffusion of the red signal from the vasculature into the brain parenchyma for the cpl-1-treated group</w:t>
      </w:r>
      <w:r w:rsidRPr="001325D4">
        <w:rPr>
          <w:rFonts w:ascii="Times New Roman" w:hAnsi="Times New Roman" w:cs="Times New Roman"/>
          <w:lang w:val="en-US"/>
        </w:rPr>
        <w:t xml:space="preserve">. </w:t>
      </w:r>
      <w:r w:rsidR="00DB129A" w:rsidRPr="001325D4">
        <w:rPr>
          <w:rFonts w:ascii="Times New Roman" w:hAnsi="Times New Roman" w:cs="Times New Roman"/>
          <w:lang w:val="en-US"/>
        </w:rPr>
        <w:t xml:space="preserve">Scale </w:t>
      </w:r>
      <w:r w:rsidRPr="001325D4">
        <w:rPr>
          <w:rFonts w:ascii="Times New Roman" w:hAnsi="Times New Roman" w:cs="Times New Roman"/>
          <w:lang w:val="en-US"/>
        </w:rPr>
        <w:t>bar</w:t>
      </w:r>
      <w:r w:rsidR="00DB129A" w:rsidRPr="001325D4">
        <w:rPr>
          <w:rFonts w:ascii="Times New Roman" w:hAnsi="Times New Roman" w:cs="Times New Roman"/>
          <w:lang w:val="en-US"/>
        </w:rPr>
        <w:t>s represent</w:t>
      </w:r>
      <w:r w:rsidRPr="001325D4">
        <w:rPr>
          <w:rFonts w:ascii="Times New Roman" w:hAnsi="Times New Roman" w:cs="Times New Roman"/>
          <w:lang w:val="en-US"/>
        </w:rPr>
        <w:t xml:space="preserve"> 50 µm.</w:t>
      </w:r>
    </w:p>
    <w:p w14:paraId="3F65CD8F" w14:textId="1EA35042" w:rsidR="007442A0" w:rsidRDefault="004967A0" w:rsidP="00DB129A">
      <w:pPr>
        <w:spacing w:line="360" w:lineRule="auto"/>
        <w:ind w:left="-18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967A0">
        <w:rPr>
          <w:rFonts w:ascii="Times New Roman" w:hAnsi="Times New Roman" w:cs="Times New Roman"/>
          <w:b/>
          <w:bCs/>
          <w:noProof/>
          <w:sz w:val="24"/>
          <w:szCs w:val="24"/>
          <w:lang w:val="en-PH" w:eastAsia="en-PH"/>
        </w:rPr>
        <w:drawing>
          <wp:inline distT="0" distB="0" distL="0" distR="0" wp14:anchorId="1E845909" wp14:editId="05F18FA8">
            <wp:extent cx="5905200" cy="3800475"/>
            <wp:effectExtent l="0" t="0" r="635" b="0"/>
            <wp:docPr id="24" name="Picture 23" descr="A collage of images of cell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DA64B3-9E77-C04C-5813-EE53C99C78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A collage of images of cells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2DA64B3-9E77-C04C-5813-EE53C99C78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1157" r="959" b="2889"/>
                    <a:stretch/>
                  </pic:blipFill>
                  <pic:spPr bwMode="auto">
                    <a:xfrm>
                      <a:off x="0" y="0"/>
                      <a:ext cx="5910402" cy="380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4AB922" w14:textId="77777777" w:rsidR="007442A0" w:rsidRDefault="007442A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314FCFC" w14:textId="30866E84" w:rsidR="007442A0" w:rsidRPr="00863F75" w:rsidRDefault="007442A0" w:rsidP="5CEE3AA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5CEE3AA5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Figure S4. </w:t>
      </w:r>
      <w:r w:rsidRPr="5CEE3AA5">
        <w:rPr>
          <w:rFonts w:ascii="Times New Roman" w:hAnsi="Times New Roman" w:cs="Times New Roman"/>
          <w:b/>
          <w:bCs/>
          <w:i/>
          <w:iCs/>
          <w:lang w:val="en-US"/>
        </w:rPr>
        <w:t>In vivo</w:t>
      </w:r>
      <w:r w:rsidRPr="5CEE3AA5">
        <w:rPr>
          <w:rFonts w:ascii="Times New Roman" w:hAnsi="Times New Roman" w:cs="Times New Roman"/>
          <w:b/>
          <w:bCs/>
          <w:lang w:val="en-US"/>
        </w:rPr>
        <w:t xml:space="preserve"> validation of a combination therapy with endolysin cpl-1 and penicillin, compared to stand-alone treatments and placebo (PBS) in a penicillin-resistant bacteremia-derived meningitis mouse model. </w:t>
      </w:r>
      <w:r w:rsidR="00BE4BF7" w:rsidRPr="5CEE3AA5">
        <w:rPr>
          <w:rFonts w:ascii="Times New Roman" w:hAnsi="Times New Roman" w:cs="Times New Roman"/>
          <w:lang w:val="en-US"/>
        </w:rPr>
        <w:t>(</w:t>
      </w:r>
      <w:r w:rsidR="00BE4BF7" w:rsidRPr="5CEE3AA5">
        <w:rPr>
          <w:rFonts w:ascii="Times New Roman" w:hAnsi="Times New Roman" w:cs="Times New Roman"/>
          <w:b/>
          <w:bCs/>
          <w:lang w:val="en-US"/>
        </w:rPr>
        <w:t>A</w:t>
      </w:r>
      <w:r w:rsidR="00BE4BF7" w:rsidRPr="5CEE3AA5">
        <w:rPr>
          <w:rFonts w:ascii="Times New Roman" w:hAnsi="Times New Roman" w:cs="Times New Roman"/>
          <w:lang w:val="en-US"/>
        </w:rPr>
        <w:t xml:space="preserve">) </w:t>
      </w:r>
      <w:r w:rsidRPr="5CEE3AA5">
        <w:rPr>
          <w:rFonts w:ascii="Times New Roman" w:hAnsi="Times New Roman" w:cs="Times New Roman"/>
          <w:lang w:val="en-US"/>
        </w:rPr>
        <w:t xml:space="preserve">Bacterial load in the spleen. Levels of TNF-α in the </w:t>
      </w:r>
      <w:r w:rsidR="00BE4BF7" w:rsidRPr="5CEE3AA5">
        <w:rPr>
          <w:rFonts w:ascii="Times New Roman" w:hAnsi="Times New Roman" w:cs="Times New Roman"/>
          <w:lang w:val="en-US"/>
        </w:rPr>
        <w:t>(</w:t>
      </w:r>
      <w:r w:rsidR="00BE4BF7" w:rsidRPr="5CEE3AA5">
        <w:rPr>
          <w:rFonts w:ascii="Times New Roman" w:hAnsi="Times New Roman" w:cs="Times New Roman"/>
          <w:b/>
          <w:bCs/>
          <w:lang w:val="en-US"/>
        </w:rPr>
        <w:t>B</w:t>
      </w:r>
      <w:r w:rsidR="00BE4BF7" w:rsidRPr="5CEE3AA5">
        <w:rPr>
          <w:rFonts w:ascii="Times New Roman" w:hAnsi="Times New Roman" w:cs="Times New Roman"/>
          <w:lang w:val="en-US"/>
        </w:rPr>
        <w:t xml:space="preserve">) </w:t>
      </w:r>
      <w:r w:rsidRPr="5CEE3AA5">
        <w:rPr>
          <w:rFonts w:ascii="Times New Roman" w:hAnsi="Times New Roman" w:cs="Times New Roman"/>
          <w:lang w:val="en-US"/>
        </w:rPr>
        <w:t xml:space="preserve">heart, </w:t>
      </w:r>
      <w:r w:rsidR="00BE4BF7" w:rsidRPr="5CEE3AA5">
        <w:rPr>
          <w:rFonts w:ascii="Times New Roman" w:hAnsi="Times New Roman" w:cs="Times New Roman"/>
          <w:lang w:val="en-US"/>
        </w:rPr>
        <w:t>(</w:t>
      </w:r>
      <w:r w:rsidR="00BE4BF7" w:rsidRPr="5CEE3AA5">
        <w:rPr>
          <w:rFonts w:ascii="Times New Roman" w:hAnsi="Times New Roman" w:cs="Times New Roman"/>
          <w:b/>
          <w:bCs/>
          <w:lang w:val="en-US"/>
        </w:rPr>
        <w:t>C</w:t>
      </w:r>
      <w:r w:rsidR="00BE4BF7" w:rsidRPr="5CEE3AA5">
        <w:rPr>
          <w:rFonts w:ascii="Times New Roman" w:hAnsi="Times New Roman" w:cs="Times New Roman"/>
          <w:lang w:val="en-US"/>
        </w:rPr>
        <w:t xml:space="preserve">) </w:t>
      </w:r>
      <w:r w:rsidRPr="5CEE3AA5">
        <w:rPr>
          <w:rFonts w:ascii="Times New Roman" w:hAnsi="Times New Roman" w:cs="Times New Roman"/>
          <w:lang w:val="en-US"/>
        </w:rPr>
        <w:t>spleen and</w:t>
      </w:r>
      <w:r w:rsidR="00BE4BF7" w:rsidRPr="5CEE3AA5">
        <w:rPr>
          <w:rFonts w:ascii="Times New Roman" w:hAnsi="Times New Roman" w:cs="Times New Roman"/>
          <w:lang w:val="en-US"/>
        </w:rPr>
        <w:t xml:space="preserve"> (</w:t>
      </w:r>
      <w:r w:rsidR="00BE4BF7" w:rsidRPr="5CEE3AA5">
        <w:rPr>
          <w:rFonts w:ascii="Times New Roman" w:hAnsi="Times New Roman" w:cs="Times New Roman"/>
          <w:b/>
          <w:bCs/>
          <w:lang w:val="en-US"/>
        </w:rPr>
        <w:t>D</w:t>
      </w:r>
      <w:r w:rsidR="00BE4BF7" w:rsidRPr="5CEE3AA5">
        <w:rPr>
          <w:rFonts w:ascii="Times New Roman" w:hAnsi="Times New Roman" w:cs="Times New Roman"/>
          <w:lang w:val="en-US"/>
        </w:rPr>
        <w:t>)</w:t>
      </w:r>
      <w:r w:rsidRPr="5CEE3AA5">
        <w:rPr>
          <w:rFonts w:ascii="Times New Roman" w:hAnsi="Times New Roman" w:cs="Times New Roman"/>
          <w:lang w:val="en-US"/>
        </w:rPr>
        <w:t xml:space="preserve"> brain, with one mouse from the PBS group excluded due to consistent outlier values. Data were analyzed using one-way ANOVA with Bonferroni post-hoc tests after outlier removal via the ROUT method (Q = 5%); Bars represent the mean ± standard deviation of biological replicates (</w:t>
      </w:r>
      <w:r w:rsidR="00DE52A4" w:rsidRPr="5CEE3AA5">
        <w:rPr>
          <w:rFonts w:ascii="Times New Roman" w:hAnsi="Times New Roman" w:cs="Times New Roman"/>
          <w:lang w:val="en-US"/>
        </w:rPr>
        <w:t>n=6, 6, 9 and 7 for placebo, endolysin mono-, antibiotic mono- and combination therapy, respectively; with each dot representing one mouse</w:t>
      </w:r>
      <w:r w:rsidRPr="5CEE3AA5">
        <w:rPr>
          <w:rFonts w:ascii="Times New Roman" w:hAnsi="Times New Roman" w:cs="Times New Roman"/>
          <w:lang w:val="en-US"/>
        </w:rPr>
        <w:t>); LOD indicates the limit of detection (200 CFU/mL); *** indicates p &lt; 0.001.</w:t>
      </w:r>
    </w:p>
    <w:p w14:paraId="38D275C4" w14:textId="325DE5E6" w:rsidR="007442A0" w:rsidRPr="00863F75" w:rsidRDefault="1E765909" w:rsidP="5CEE3AA5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53B6183B" wp14:editId="20C29B38">
            <wp:extent cx="5911806" cy="1571625"/>
            <wp:effectExtent l="0" t="0" r="0" b="0"/>
            <wp:docPr id="1119314090" name="Picture 1" descr="A graph of different types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0" t="5794" r="3922" b="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06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8462F" w14:textId="77777777" w:rsidR="00F32F09" w:rsidRDefault="00F32F09" w:rsidP="5CEE3AA5">
      <w:pPr>
        <w:spacing w:line="360" w:lineRule="auto"/>
        <w:jc w:val="both"/>
        <w:rPr>
          <w:rFonts w:ascii="Times New Roman" w:hAnsi="Times New Roman" w:cs="Times New Roman"/>
          <w:b/>
          <w:bCs/>
          <w:highlight w:val="yellow"/>
          <w:lang w:val="en-US"/>
        </w:rPr>
      </w:pPr>
      <w:r>
        <w:rPr>
          <w:rFonts w:ascii="Times New Roman" w:hAnsi="Times New Roman" w:cs="Times New Roman"/>
          <w:b/>
          <w:bCs/>
          <w:highlight w:val="yellow"/>
          <w:lang w:val="en-US"/>
        </w:rPr>
        <w:br w:type="page"/>
      </w:r>
    </w:p>
    <w:p w14:paraId="5860AFA9" w14:textId="79561AB7" w:rsidR="004967A0" w:rsidRDefault="1E765909" w:rsidP="5CEE3AA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325D4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Figure S5. </w:t>
      </w:r>
      <w:r w:rsidR="00C4345E" w:rsidRPr="001325D4">
        <w:rPr>
          <w:rFonts w:ascii="Times New Roman" w:hAnsi="Times New Roman" w:cs="Times New Roman"/>
          <w:b/>
          <w:bCs/>
          <w:lang w:val="en-US"/>
        </w:rPr>
        <w:t>M</w:t>
      </w:r>
      <w:r w:rsidR="60123BE1" w:rsidRPr="001325D4">
        <w:rPr>
          <w:rFonts w:ascii="Times New Roman" w:hAnsi="Times New Roman" w:cs="Times New Roman"/>
          <w:b/>
          <w:bCs/>
          <w:lang w:val="en-US"/>
        </w:rPr>
        <w:t>icroglial activation and neuronal damage</w:t>
      </w:r>
      <w:r w:rsidR="57A6840B" w:rsidRPr="001325D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4345E" w:rsidRPr="001325D4">
        <w:rPr>
          <w:rFonts w:ascii="Times New Roman" w:hAnsi="Times New Roman" w:cs="Times New Roman"/>
          <w:b/>
          <w:bCs/>
          <w:lang w:val="en-US"/>
        </w:rPr>
        <w:t>of</w:t>
      </w:r>
      <w:r w:rsidR="005709E9" w:rsidRPr="001325D4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4C3C7F" w:rsidRPr="001325D4">
        <w:rPr>
          <w:rFonts w:ascii="Times New Roman" w:hAnsi="Times New Roman" w:cs="Times New Roman"/>
          <w:b/>
          <w:bCs/>
          <w:lang w:val="en-US"/>
        </w:rPr>
        <w:t xml:space="preserve">a </w:t>
      </w:r>
      <w:r w:rsidR="005709E9" w:rsidRPr="001325D4">
        <w:rPr>
          <w:rFonts w:ascii="Times New Roman" w:hAnsi="Times New Roman" w:cs="Times New Roman"/>
          <w:b/>
          <w:bCs/>
          <w:lang w:val="en-US"/>
        </w:rPr>
        <w:t>combination</w:t>
      </w:r>
      <w:r w:rsidR="60123BE1" w:rsidRPr="001325D4">
        <w:rPr>
          <w:rFonts w:ascii="Times New Roman" w:hAnsi="Times New Roman" w:cs="Times New Roman"/>
          <w:b/>
          <w:bCs/>
          <w:lang w:val="en-US"/>
        </w:rPr>
        <w:t xml:space="preserve"> therapy with endolysin cpl-1 and penicillin, compared to stand-alone treatments and placebo (PBS) in a penicillin-resistant bacteremia-derived meningitis mouse model.</w:t>
      </w:r>
      <w:r w:rsidR="60123BE1" w:rsidRPr="001325D4">
        <w:rPr>
          <w:rFonts w:ascii="Times New Roman" w:hAnsi="Times New Roman" w:cs="Times New Roman"/>
          <w:lang w:val="en-US"/>
        </w:rPr>
        <w:t xml:space="preserve"> </w:t>
      </w:r>
      <w:r w:rsidRPr="001325D4">
        <w:rPr>
          <w:rFonts w:ascii="Times New Roman" w:hAnsi="Times New Roman" w:cs="Times New Roman"/>
          <w:lang w:val="en-US"/>
        </w:rPr>
        <w:t>(</w:t>
      </w:r>
      <w:r w:rsidRPr="001325D4">
        <w:rPr>
          <w:rFonts w:ascii="Times New Roman" w:hAnsi="Times New Roman" w:cs="Times New Roman"/>
          <w:b/>
          <w:bCs/>
          <w:lang w:val="en-US"/>
        </w:rPr>
        <w:t>A</w:t>
      </w:r>
      <w:r w:rsidRPr="001325D4">
        <w:rPr>
          <w:rFonts w:ascii="Times New Roman" w:hAnsi="Times New Roman" w:cs="Times New Roman"/>
          <w:lang w:val="en-US"/>
        </w:rPr>
        <w:t xml:space="preserve">) </w:t>
      </w:r>
      <w:r w:rsidR="3BEAADD6" w:rsidRPr="001325D4">
        <w:rPr>
          <w:rFonts w:ascii="Times New Roman" w:hAnsi="Times New Roman" w:cs="Times New Roman"/>
          <w:lang w:val="en-US"/>
        </w:rPr>
        <w:t xml:space="preserve">Representative images from each treatment group showing microglial cells (Iba1), </w:t>
      </w:r>
      <w:r w:rsidR="004D6475" w:rsidRPr="001325D4">
        <w:rPr>
          <w:rFonts w:ascii="Times New Roman" w:hAnsi="Times New Roman" w:cs="Times New Roman"/>
          <w:lang w:val="en-US"/>
        </w:rPr>
        <w:t>and (</w:t>
      </w:r>
      <w:r w:rsidR="004D6475" w:rsidRPr="001325D4">
        <w:rPr>
          <w:rFonts w:ascii="Times New Roman" w:hAnsi="Times New Roman" w:cs="Times New Roman"/>
          <w:b/>
          <w:bCs/>
          <w:lang w:val="en-US"/>
        </w:rPr>
        <w:t>B</w:t>
      </w:r>
      <w:r w:rsidR="004D6475" w:rsidRPr="001325D4">
        <w:rPr>
          <w:rFonts w:ascii="Times New Roman" w:hAnsi="Times New Roman" w:cs="Times New Roman"/>
          <w:lang w:val="en-US"/>
        </w:rPr>
        <w:t xml:space="preserve">) </w:t>
      </w:r>
      <w:r w:rsidR="00C4345E" w:rsidRPr="001325D4">
        <w:rPr>
          <w:rFonts w:ascii="Times New Roman" w:hAnsi="Times New Roman" w:cs="Times New Roman"/>
          <w:lang w:val="en-US"/>
        </w:rPr>
        <w:t>c</w:t>
      </w:r>
      <w:r w:rsidR="3BEAADD6" w:rsidRPr="001325D4">
        <w:rPr>
          <w:rFonts w:ascii="Times New Roman" w:hAnsi="Times New Roman" w:cs="Times New Roman"/>
          <w:lang w:val="en-US"/>
        </w:rPr>
        <w:t>pl-1 treatment increased Iba1 mean i</w:t>
      </w:r>
      <w:r w:rsidR="3E15F632" w:rsidRPr="001325D4">
        <w:rPr>
          <w:rFonts w:ascii="Times New Roman" w:hAnsi="Times New Roman" w:cs="Times New Roman"/>
          <w:lang w:val="en-US"/>
        </w:rPr>
        <w:t>ntensity</w:t>
      </w:r>
      <w:r w:rsidRPr="001325D4">
        <w:rPr>
          <w:rFonts w:ascii="Times New Roman" w:hAnsi="Times New Roman" w:cs="Times New Roman"/>
          <w:lang w:val="en-US"/>
        </w:rPr>
        <w:t xml:space="preserve"> </w:t>
      </w:r>
      <w:r w:rsidR="3080CACA" w:rsidRPr="001325D4">
        <w:rPr>
          <w:rFonts w:ascii="Times New Roman" w:hAnsi="Times New Roman" w:cs="Times New Roman"/>
          <w:lang w:val="en-US"/>
        </w:rPr>
        <w:t>compared</w:t>
      </w:r>
      <w:r w:rsidR="2C4F7DF8" w:rsidRPr="001325D4">
        <w:rPr>
          <w:rFonts w:ascii="Times New Roman" w:hAnsi="Times New Roman" w:cs="Times New Roman"/>
          <w:lang w:val="en-US"/>
        </w:rPr>
        <w:t xml:space="preserve"> to </w:t>
      </w:r>
      <w:r w:rsidR="3080CACA" w:rsidRPr="001325D4">
        <w:rPr>
          <w:rFonts w:ascii="Times New Roman" w:hAnsi="Times New Roman" w:cs="Times New Roman"/>
          <w:lang w:val="en-US"/>
        </w:rPr>
        <w:t>placebo treatment.</w:t>
      </w:r>
      <w:r w:rsidRPr="001325D4">
        <w:rPr>
          <w:rFonts w:ascii="Times New Roman" w:hAnsi="Times New Roman" w:cs="Times New Roman"/>
          <w:lang w:val="en-US"/>
        </w:rPr>
        <w:t xml:space="preserve"> (</w:t>
      </w:r>
      <w:r w:rsidRPr="001325D4">
        <w:rPr>
          <w:rFonts w:ascii="Times New Roman" w:hAnsi="Times New Roman" w:cs="Times New Roman"/>
          <w:b/>
          <w:bCs/>
          <w:lang w:val="en-US"/>
        </w:rPr>
        <w:t>C</w:t>
      </w:r>
      <w:r w:rsidRPr="001325D4">
        <w:rPr>
          <w:rFonts w:ascii="Times New Roman" w:hAnsi="Times New Roman" w:cs="Times New Roman"/>
          <w:lang w:val="en-US"/>
        </w:rPr>
        <w:t xml:space="preserve">) </w:t>
      </w:r>
      <w:r w:rsidR="10FC873F" w:rsidRPr="001325D4">
        <w:rPr>
          <w:rFonts w:ascii="Times New Roman" w:hAnsi="Times New Roman" w:cs="Times New Roman"/>
          <w:lang w:val="en-US"/>
        </w:rPr>
        <w:t xml:space="preserve">Representative images of </w:t>
      </w:r>
      <w:r w:rsidR="613A2043" w:rsidRPr="001325D4">
        <w:rPr>
          <w:rFonts w:ascii="Times New Roman" w:hAnsi="Times New Roman" w:cs="Times New Roman"/>
          <w:lang w:val="en-US"/>
        </w:rPr>
        <w:t xml:space="preserve">cortical tissue staining for </w:t>
      </w:r>
      <w:r w:rsidR="10FC873F" w:rsidRPr="001325D4">
        <w:rPr>
          <w:rFonts w:ascii="Times New Roman" w:hAnsi="Times New Roman" w:cs="Times New Roman"/>
          <w:lang w:val="en-US"/>
        </w:rPr>
        <w:t xml:space="preserve">NeuN (green) and </w:t>
      </w:r>
      <w:r w:rsidR="00C23331" w:rsidRPr="001325D4">
        <w:rPr>
          <w:rFonts w:ascii="Times New Roman" w:hAnsi="Times New Roman" w:cs="Times New Roman"/>
          <w:lang w:val="en-US"/>
        </w:rPr>
        <w:t>c</w:t>
      </w:r>
      <w:r w:rsidR="10FC873F" w:rsidRPr="001325D4">
        <w:rPr>
          <w:rFonts w:ascii="Times New Roman" w:hAnsi="Times New Roman" w:cs="Times New Roman"/>
          <w:lang w:val="en-US"/>
        </w:rPr>
        <w:t>aspase-3 (red)</w:t>
      </w:r>
      <w:r w:rsidRPr="001325D4">
        <w:rPr>
          <w:rFonts w:ascii="Times New Roman" w:hAnsi="Times New Roman" w:cs="Times New Roman"/>
          <w:lang w:val="en-US"/>
        </w:rPr>
        <w:t xml:space="preserve"> </w:t>
      </w:r>
      <w:r w:rsidR="02F8FB82" w:rsidRPr="001325D4">
        <w:rPr>
          <w:rFonts w:ascii="Times New Roman" w:hAnsi="Times New Roman" w:cs="Times New Roman"/>
          <w:lang w:val="en-US"/>
        </w:rPr>
        <w:t xml:space="preserve">from </w:t>
      </w:r>
      <w:r w:rsidR="4D2B5A8E" w:rsidRPr="001325D4">
        <w:rPr>
          <w:rFonts w:ascii="Times New Roman" w:hAnsi="Times New Roman" w:cs="Times New Roman"/>
          <w:lang w:val="en-US"/>
        </w:rPr>
        <w:t xml:space="preserve">each </w:t>
      </w:r>
      <w:r w:rsidR="02F8FB82" w:rsidRPr="001325D4">
        <w:rPr>
          <w:rFonts w:ascii="Times New Roman" w:hAnsi="Times New Roman" w:cs="Times New Roman"/>
          <w:lang w:val="en-US"/>
        </w:rPr>
        <w:t xml:space="preserve">treatment group, arrowheads indicate neurons with upregulation of </w:t>
      </w:r>
      <w:r w:rsidR="00C23331" w:rsidRPr="001325D4">
        <w:rPr>
          <w:rFonts w:ascii="Times New Roman" w:hAnsi="Times New Roman" w:cs="Times New Roman"/>
          <w:lang w:val="en-US"/>
        </w:rPr>
        <w:t>c</w:t>
      </w:r>
      <w:r w:rsidR="18DD92BD" w:rsidRPr="001325D4">
        <w:rPr>
          <w:rFonts w:ascii="Times New Roman" w:hAnsi="Times New Roman" w:cs="Times New Roman"/>
          <w:lang w:val="en-US"/>
        </w:rPr>
        <w:t xml:space="preserve">aspase-3 staining. </w:t>
      </w:r>
      <w:r w:rsidR="00C25C1E" w:rsidRPr="001325D4">
        <w:rPr>
          <w:rFonts w:ascii="Times New Roman" w:hAnsi="Times New Roman" w:cs="Times New Roman"/>
          <w:lang w:val="en-US"/>
        </w:rPr>
        <w:t>(</w:t>
      </w:r>
      <w:r w:rsidR="00C25C1E" w:rsidRPr="001325D4">
        <w:rPr>
          <w:rFonts w:ascii="Times New Roman" w:hAnsi="Times New Roman" w:cs="Times New Roman"/>
          <w:b/>
          <w:bCs/>
          <w:lang w:val="en-US"/>
        </w:rPr>
        <w:t>D</w:t>
      </w:r>
      <w:r w:rsidR="00C25C1E" w:rsidRPr="001325D4">
        <w:rPr>
          <w:rFonts w:ascii="Times New Roman" w:hAnsi="Times New Roman" w:cs="Times New Roman"/>
          <w:lang w:val="en-US"/>
        </w:rPr>
        <w:t xml:space="preserve">) </w:t>
      </w:r>
      <w:r w:rsidR="00B76FD8" w:rsidRPr="001325D4">
        <w:rPr>
          <w:rFonts w:ascii="Times New Roman" w:hAnsi="Times New Roman" w:cs="Times New Roman"/>
          <w:lang w:val="en-US"/>
        </w:rPr>
        <w:t>Quantification of caspase-3 bright (D) and NeuN positive (E) cells; n</w:t>
      </w:r>
      <w:r w:rsidR="73E40B8E" w:rsidRPr="001325D4">
        <w:rPr>
          <w:rFonts w:ascii="Times New Roman" w:hAnsi="Times New Roman" w:cs="Times New Roman"/>
          <w:lang w:val="en-US"/>
        </w:rPr>
        <w:t xml:space="preserve">o </w:t>
      </w:r>
      <w:r w:rsidR="5AEA044E" w:rsidRPr="001325D4">
        <w:rPr>
          <w:rFonts w:ascii="Times New Roman" w:hAnsi="Times New Roman" w:cs="Times New Roman"/>
          <w:lang w:val="en-US"/>
        </w:rPr>
        <w:t>significant</w:t>
      </w:r>
      <w:r w:rsidR="73E40B8E" w:rsidRPr="001325D4">
        <w:rPr>
          <w:rFonts w:ascii="Times New Roman" w:hAnsi="Times New Roman" w:cs="Times New Roman"/>
          <w:lang w:val="en-US"/>
        </w:rPr>
        <w:t xml:space="preserve"> differences were observed between treatment groups for </w:t>
      </w:r>
      <w:r w:rsidRPr="001325D4">
        <w:rPr>
          <w:rFonts w:ascii="Times New Roman" w:hAnsi="Times New Roman" w:cs="Times New Roman"/>
          <w:lang w:val="en-US"/>
        </w:rPr>
        <w:t xml:space="preserve">Data were analyzed using one-way ANOVA with </w:t>
      </w:r>
      <w:r w:rsidR="00C23331" w:rsidRPr="001325D4">
        <w:rPr>
          <w:rFonts w:ascii="Times New Roman" w:hAnsi="Times New Roman" w:cs="Times New Roman"/>
          <w:lang w:val="en-US"/>
        </w:rPr>
        <w:t xml:space="preserve">a </w:t>
      </w:r>
      <w:r w:rsidRPr="001325D4">
        <w:rPr>
          <w:rFonts w:ascii="Times New Roman" w:hAnsi="Times New Roman" w:cs="Times New Roman"/>
          <w:lang w:val="en-US"/>
        </w:rPr>
        <w:t>Bonferroni post-hoc</w:t>
      </w:r>
      <w:r w:rsidR="00D76AD4" w:rsidRPr="001325D4">
        <w:rPr>
          <w:rFonts w:ascii="Times New Roman" w:hAnsi="Times New Roman" w:cs="Times New Roman"/>
          <w:lang w:val="en-US"/>
        </w:rPr>
        <w:t xml:space="preserve"> test</w:t>
      </w:r>
      <w:r w:rsidR="1A49A3A8" w:rsidRPr="001325D4">
        <w:rPr>
          <w:rFonts w:ascii="Times New Roman" w:hAnsi="Times New Roman" w:cs="Times New Roman"/>
          <w:lang w:val="en-US"/>
        </w:rPr>
        <w:t xml:space="preserve">. </w:t>
      </w:r>
      <w:r w:rsidRPr="001325D4">
        <w:rPr>
          <w:rFonts w:ascii="Times New Roman" w:hAnsi="Times New Roman" w:cs="Times New Roman"/>
          <w:lang w:val="en-US"/>
        </w:rPr>
        <w:t>Bars represent the mean ± standard deviation of biological replicates (n=</w:t>
      </w:r>
      <w:r w:rsidR="570EEC43" w:rsidRPr="001325D4">
        <w:rPr>
          <w:rFonts w:ascii="Times New Roman" w:hAnsi="Times New Roman" w:cs="Times New Roman"/>
          <w:lang w:val="en-US"/>
        </w:rPr>
        <w:t>3</w:t>
      </w:r>
      <w:r w:rsidRPr="001325D4">
        <w:rPr>
          <w:rFonts w:ascii="Times New Roman" w:hAnsi="Times New Roman" w:cs="Times New Roman"/>
          <w:lang w:val="en-US"/>
        </w:rPr>
        <w:t xml:space="preserve">, </w:t>
      </w:r>
      <w:r w:rsidR="644D935B" w:rsidRPr="001325D4">
        <w:rPr>
          <w:rFonts w:ascii="Times New Roman" w:hAnsi="Times New Roman" w:cs="Times New Roman"/>
          <w:lang w:val="en-US"/>
        </w:rPr>
        <w:t>3</w:t>
      </w:r>
      <w:r w:rsidRPr="001325D4">
        <w:rPr>
          <w:rFonts w:ascii="Times New Roman" w:hAnsi="Times New Roman" w:cs="Times New Roman"/>
          <w:lang w:val="en-US"/>
        </w:rPr>
        <w:t xml:space="preserve">, </w:t>
      </w:r>
      <w:r w:rsidR="7A33ADA5" w:rsidRPr="001325D4">
        <w:rPr>
          <w:rFonts w:ascii="Times New Roman" w:hAnsi="Times New Roman" w:cs="Times New Roman"/>
          <w:lang w:val="en-US"/>
        </w:rPr>
        <w:t>6</w:t>
      </w:r>
      <w:r w:rsidRPr="001325D4">
        <w:rPr>
          <w:rFonts w:ascii="Times New Roman" w:hAnsi="Times New Roman" w:cs="Times New Roman"/>
          <w:lang w:val="en-US"/>
        </w:rPr>
        <w:t xml:space="preserve"> and </w:t>
      </w:r>
      <w:r w:rsidR="26AE0352" w:rsidRPr="001325D4">
        <w:rPr>
          <w:rFonts w:ascii="Times New Roman" w:hAnsi="Times New Roman" w:cs="Times New Roman"/>
          <w:lang w:val="en-US"/>
        </w:rPr>
        <w:t>6</w:t>
      </w:r>
      <w:r w:rsidRPr="001325D4">
        <w:rPr>
          <w:rFonts w:ascii="Times New Roman" w:hAnsi="Times New Roman" w:cs="Times New Roman"/>
          <w:lang w:val="en-US"/>
        </w:rPr>
        <w:t xml:space="preserve"> for placebo, endolysin mono-, antibiotic mono- and combination therapy, respectively</w:t>
      </w:r>
      <w:r w:rsidR="4F6E489A" w:rsidRPr="001325D4">
        <w:rPr>
          <w:rFonts w:ascii="Times New Roman" w:hAnsi="Times New Roman" w:cs="Times New Roman"/>
          <w:lang w:val="en-US"/>
        </w:rPr>
        <w:t>. Scale</w:t>
      </w:r>
      <w:r w:rsidR="00CD7321" w:rsidRPr="001325D4">
        <w:rPr>
          <w:rFonts w:ascii="Times New Roman" w:hAnsi="Times New Roman" w:cs="Times New Roman"/>
          <w:lang w:val="en-US"/>
        </w:rPr>
        <w:t xml:space="preserve"> </w:t>
      </w:r>
      <w:r w:rsidR="4F6E489A" w:rsidRPr="001325D4">
        <w:rPr>
          <w:rFonts w:ascii="Times New Roman" w:hAnsi="Times New Roman" w:cs="Times New Roman"/>
          <w:lang w:val="en-US"/>
        </w:rPr>
        <w:t>bar</w:t>
      </w:r>
      <w:r w:rsidR="00CD7321" w:rsidRPr="001325D4">
        <w:rPr>
          <w:rFonts w:ascii="Times New Roman" w:hAnsi="Times New Roman" w:cs="Times New Roman"/>
          <w:lang w:val="en-US"/>
        </w:rPr>
        <w:t>s</w:t>
      </w:r>
      <w:r w:rsidR="4F6E489A" w:rsidRPr="001325D4">
        <w:rPr>
          <w:rFonts w:ascii="Times New Roman" w:hAnsi="Times New Roman" w:cs="Times New Roman"/>
          <w:lang w:val="en-US"/>
        </w:rPr>
        <w:t xml:space="preserve"> indicate 20</w:t>
      </w:r>
      <w:r w:rsidR="00CD7321" w:rsidRPr="001325D4">
        <w:rPr>
          <w:rFonts w:ascii="Times New Roman" w:hAnsi="Times New Roman" w:cs="Times New Roman"/>
          <w:lang w:val="en-US"/>
        </w:rPr>
        <w:t xml:space="preserve">.0 </w:t>
      </w:r>
      <w:r w:rsidR="4F6E489A" w:rsidRPr="001325D4">
        <w:rPr>
          <w:rFonts w:ascii="Times New Roman" w:hAnsi="Times New Roman" w:cs="Times New Roman"/>
          <w:lang w:val="en-US"/>
        </w:rPr>
        <w:t>µ</w:t>
      </w:r>
      <w:r w:rsidR="00CD7321" w:rsidRPr="001325D4">
        <w:rPr>
          <w:rFonts w:ascii="Times New Roman" w:hAnsi="Times New Roman" w:cs="Times New Roman"/>
          <w:lang w:val="en-US"/>
        </w:rPr>
        <w:t>m</w:t>
      </w:r>
      <w:r w:rsidR="4F6E489A" w:rsidRPr="001325D4">
        <w:rPr>
          <w:rFonts w:ascii="Times New Roman" w:hAnsi="Times New Roman" w:cs="Times New Roman"/>
          <w:lang w:val="en-US"/>
        </w:rPr>
        <w:t>.</w:t>
      </w:r>
    </w:p>
    <w:p w14:paraId="769F24E5" w14:textId="5633135E" w:rsidR="004C3C7F" w:rsidRPr="004C3C7F" w:rsidRDefault="004C3C7F" w:rsidP="5CEE3AA5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PH" w:eastAsia="en-PH"/>
        </w:rPr>
        <w:lastRenderedPageBreak/>
        <w:drawing>
          <wp:inline distT="0" distB="0" distL="0" distR="0" wp14:anchorId="007ACE73" wp14:editId="417AD92A">
            <wp:extent cx="5760720" cy="7196455"/>
            <wp:effectExtent l="0" t="0" r="0" b="4445"/>
            <wp:docPr id="706390563" name="Picture 2" descr="A collage of images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90563" name="Picture 2" descr="A collage of images of different colored square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88782" w14:textId="2765F475" w:rsidR="004967A0" w:rsidRPr="005D3FEA" w:rsidRDefault="004967A0" w:rsidP="5CEE3AA5">
      <w:pPr>
        <w:spacing w:line="360" w:lineRule="auto"/>
        <w:ind w:left="-180"/>
        <w:jc w:val="both"/>
      </w:pPr>
    </w:p>
    <w:sectPr w:rsidR="004967A0" w:rsidRPr="005D3FEA" w:rsidSect="00E0258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F22CF" w14:textId="77777777" w:rsidR="00A400FA" w:rsidRDefault="00A400FA" w:rsidP="004323B9">
      <w:pPr>
        <w:spacing w:after="0" w:line="240" w:lineRule="auto"/>
      </w:pPr>
      <w:r>
        <w:separator/>
      </w:r>
    </w:p>
  </w:endnote>
  <w:endnote w:type="continuationSeparator" w:id="0">
    <w:p w14:paraId="0A28F8CD" w14:textId="77777777" w:rsidR="00A400FA" w:rsidRDefault="00A400FA" w:rsidP="0043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1641321"/>
      <w:docPartObj>
        <w:docPartGallery w:val="Page Numbers (Bottom of Page)"/>
        <w:docPartUnique/>
      </w:docPartObj>
    </w:sdtPr>
    <w:sdtEndPr/>
    <w:sdtContent>
      <w:p w14:paraId="15DAB25A" w14:textId="41B168D9" w:rsidR="004323B9" w:rsidRDefault="004323B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87">
          <w:rPr>
            <w:noProof/>
          </w:rPr>
          <w:t>2</w:t>
        </w:r>
        <w:r>
          <w:fldChar w:fldCharType="end"/>
        </w:r>
      </w:p>
    </w:sdtContent>
  </w:sdt>
  <w:p w14:paraId="4CE11D69" w14:textId="77777777" w:rsidR="004323B9" w:rsidRDefault="004323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48A75" w14:textId="77777777" w:rsidR="00A400FA" w:rsidRDefault="00A400FA" w:rsidP="004323B9">
      <w:pPr>
        <w:spacing w:after="0" w:line="240" w:lineRule="auto"/>
      </w:pPr>
      <w:r>
        <w:separator/>
      </w:r>
    </w:p>
  </w:footnote>
  <w:footnote w:type="continuationSeparator" w:id="0">
    <w:p w14:paraId="6989D381" w14:textId="77777777" w:rsidR="00A400FA" w:rsidRDefault="00A400FA" w:rsidP="00432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FA6"/>
    <w:rsid w:val="000315DA"/>
    <w:rsid w:val="0007019A"/>
    <w:rsid w:val="000903B5"/>
    <w:rsid w:val="000973CA"/>
    <w:rsid w:val="000F0748"/>
    <w:rsid w:val="001325D4"/>
    <w:rsid w:val="00151536"/>
    <w:rsid w:val="00187FBA"/>
    <w:rsid w:val="001B6C6E"/>
    <w:rsid w:val="001C6BE8"/>
    <w:rsid w:val="001D4639"/>
    <w:rsid w:val="001E3267"/>
    <w:rsid w:val="002733D5"/>
    <w:rsid w:val="002B2B65"/>
    <w:rsid w:val="002D5AB0"/>
    <w:rsid w:val="002F1337"/>
    <w:rsid w:val="003011A2"/>
    <w:rsid w:val="00345C59"/>
    <w:rsid w:val="00355E0A"/>
    <w:rsid w:val="0039348C"/>
    <w:rsid w:val="003B1C59"/>
    <w:rsid w:val="003C777B"/>
    <w:rsid w:val="003D768A"/>
    <w:rsid w:val="003E375E"/>
    <w:rsid w:val="003F2E5F"/>
    <w:rsid w:val="003F7B86"/>
    <w:rsid w:val="00413DCE"/>
    <w:rsid w:val="004275E0"/>
    <w:rsid w:val="004323B9"/>
    <w:rsid w:val="004357A7"/>
    <w:rsid w:val="004967A0"/>
    <w:rsid w:val="004A6FF3"/>
    <w:rsid w:val="004C3C7F"/>
    <w:rsid w:val="004C5374"/>
    <w:rsid w:val="004D6475"/>
    <w:rsid w:val="0050252F"/>
    <w:rsid w:val="00526FA6"/>
    <w:rsid w:val="0055718F"/>
    <w:rsid w:val="0056267C"/>
    <w:rsid w:val="00563159"/>
    <w:rsid w:val="005669F1"/>
    <w:rsid w:val="005709E9"/>
    <w:rsid w:val="00574EBB"/>
    <w:rsid w:val="005A3244"/>
    <w:rsid w:val="005B0AB2"/>
    <w:rsid w:val="005B1DD7"/>
    <w:rsid w:val="005B5BB2"/>
    <w:rsid w:val="005C22EE"/>
    <w:rsid w:val="005D3FEA"/>
    <w:rsid w:val="00606668"/>
    <w:rsid w:val="00647D4D"/>
    <w:rsid w:val="006846D1"/>
    <w:rsid w:val="006A66A0"/>
    <w:rsid w:val="006B17B8"/>
    <w:rsid w:val="006C2C61"/>
    <w:rsid w:val="006E7F38"/>
    <w:rsid w:val="007442A0"/>
    <w:rsid w:val="007B15DE"/>
    <w:rsid w:val="00804CBE"/>
    <w:rsid w:val="00830F3C"/>
    <w:rsid w:val="00861D82"/>
    <w:rsid w:val="00863F75"/>
    <w:rsid w:val="00897121"/>
    <w:rsid w:val="008978F5"/>
    <w:rsid w:val="008A2C55"/>
    <w:rsid w:val="008A433D"/>
    <w:rsid w:val="008C074F"/>
    <w:rsid w:val="00920862"/>
    <w:rsid w:val="0098069D"/>
    <w:rsid w:val="00981D8B"/>
    <w:rsid w:val="009831FF"/>
    <w:rsid w:val="00A12CCB"/>
    <w:rsid w:val="00A15DC1"/>
    <w:rsid w:val="00A400FA"/>
    <w:rsid w:val="00A53AD7"/>
    <w:rsid w:val="00A63987"/>
    <w:rsid w:val="00A759BC"/>
    <w:rsid w:val="00A96C13"/>
    <w:rsid w:val="00AA2A7E"/>
    <w:rsid w:val="00AA6498"/>
    <w:rsid w:val="00AB1B22"/>
    <w:rsid w:val="00AC28DE"/>
    <w:rsid w:val="00AC3701"/>
    <w:rsid w:val="00AD53C9"/>
    <w:rsid w:val="00B14E31"/>
    <w:rsid w:val="00B177DA"/>
    <w:rsid w:val="00B52720"/>
    <w:rsid w:val="00B55FC1"/>
    <w:rsid w:val="00B568BD"/>
    <w:rsid w:val="00B76FD8"/>
    <w:rsid w:val="00B9488F"/>
    <w:rsid w:val="00B953E3"/>
    <w:rsid w:val="00B97180"/>
    <w:rsid w:val="00BA4760"/>
    <w:rsid w:val="00BC1E6C"/>
    <w:rsid w:val="00BC7D96"/>
    <w:rsid w:val="00BE0BC2"/>
    <w:rsid w:val="00BE4BF7"/>
    <w:rsid w:val="00BF4641"/>
    <w:rsid w:val="00C145BB"/>
    <w:rsid w:val="00C23331"/>
    <w:rsid w:val="00C25C1E"/>
    <w:rsid w:val="00C4345E"/>
    <w:rsid w:val="00C544BE"/>
    <w:rsid w:val="00CA1E1D"/>
    <w:rsid w:val="00CD1392"/>
    <w:rsid w:val="00CD7321"/>
    <w:rsid w:val="00CE7553"/>
    <w:rsid w:val="00CE793C"/>
    <w:rsid w:val="00D04219"/>
    <w:rsid w:val="00D101FF"/>
    <w:rsid w:val="00D24425"/>
    <w:rsid w:val="00D60134"/>
    <w:rsid w:val="00D637FC"/>
    <w:rsid w:val="00D76AD4"/>
    <w:rsid w:val="00D9077C"/>
    <w:rsid w:val="00DB129A"/>
    <w:rsid w:val="00DE52A4"/>
    <w:rsid w:val="00DF4CC6"/>
    <w:rsid w:val="00E02587"/>
    <w:rsid w:val="00E02A75"/>
    <w:rsid w:val="00E06F34"/>
    <w:rsid w:val="00E279E1"/>
    <w:rsid w:val="00EB0D19"/>
    <w:rsid w:val="00EC0309"/>
    <w:rsid w:val="00ED2413"/>
    <w:rsid w:val="00ED5DF1"/>
    <w:rsid w:val="00EE7D11"/>
    <w:rsid w:val="00EF6079"/>
    <w:rsid w:val="00F1342E"/>
    <w:rsid w:val="00F32F09"/>
    <w:rsid w:val="00F402D0"/>
    <w:rsid w:val="00F51FBD"/>
    <w:rsid w:val="00F55439"/>
    <w:rsid w:val="00FE021D"/>
    <w:rsid w:val="02F8FB82"/>
    <w:rsid w:val="065FC80C"/>
    <w:rsid w:val="097E6C63"/>
    <w:rsid w:val="0E16ACB8"/>
    <w:rsid w:val="0EC765DC"/>
    <w:rsid w:val="0F745405"/>
    <w:rsid w:val="10DD4587"/>
    <w:rsid w:val="10FC873F"/>
    <w:rsid w:val="136120D3"/>
    <w:rsid w:val="18DD92BD"/>
    <w:rsid w:val="1A49A3A8"/>
    <w:rsid w:val="1E765909"/>
    <w:rsid w:val="1F9F9D9C"/>
    <w:rsid w:val="200CC479"/>
    <w:rsid w:val="2616DFD0"/>
    <w:rsid w:val="26AE0352"/>
    <w:rsid w:val="28CC1206"/>
    <w:rsid w:val="2AF74CB4"/>
    <w:rsid w:val="2B309218"/>
    <w:rsid w:val="2C4F7DF8"/>
    <w:rsid w:val="3080CACA"/>
    <w:rsid w:val="324761D1"/>
    <w:rsid w:val="325F0333"/>
    <w:rsid w:val="3296815C"/>
    <w:rsid w:val="36502EB3"/>
    <w:rsid w:val="3A8B1152"/>
    <w:rsid w:val="3BEAADD6"/>
    <w:rsid w:val="3E15F632"/>
    <w:rsid w:val="433912E1"/>
    <w:rsid w:val="49DAEAD0"/>
    <w:rsid w:val="4D2B5A8E"/>
    <w:rsid w:val="4F6E489A"/>
    <w:rsid w:val="4F7DBFB5"/>
    <w:rsid w:val="52250E32"/>
    <w:rsid w:val="569998B0"/>
    <w:rsid w:val="570EEC43"/>
    <w:rsid w:val="57A6840B"/>
    <w:rsid w:val="5A6EA067"/>
    <w:rsid w:val="5AEA044E"/>
    <w:rsid w:val="5CEE3AA5"/>
    <w:rsid w:val="60123BE1"/>
    <w:rsid w:val="613A2043"/>
    <w:rsid w:val="640573D5"/>
    <w:rsid w:val="644D935B"/>
    <w:rsid w:val="658F8100"/>
    <w:rsid w:val="663F8A75"/>
    <w:rsid w:val="67382186"/>
    <w:rsid w:val="69319B0C"/>
    <w:rsid w:val="716FDE13"/>
    <w:rsid w:val="73E40B8E"/>
    <w:rsid w:val="7745003C"/>
    <w:rsid w:val="7A33ADA5"/>
    <w:rsid w:val="7E01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47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F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F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F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F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F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F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F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F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F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F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F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6FA6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26FA6"/>
  </w:style>
  <w:style w:type="paragraph" w:styleId="Revision">
    <w:name w:val="Revision"/>
    <w:hidden/>
    <w:uiPriority w:val="99"/>
    <w:semiHidden/>
    <w:rsid w:val="004323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3B9"/>
  </w:style>
  <w:style w:type="paragraph" w:styleId="Footer">
    <w:name w:val="footer"/>
    <w:basedOn w:val="Normal"/>
    <w:link w:val="FooterChar"/>
    <w:uiPriority w:val="99"/>
    <w:unhideWhenUsed/>
    <w:rsid w:val="0043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3B9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6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F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F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F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F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F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F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F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F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F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F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F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6FA6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26FA6"/>
  </w:style>
  <w:style w:type="paragraph" w:styleId="Revision">
    <w:name w:val="Revision"/>
    <w:hidden/>
    <w:uiPriority w:val="99"/>
    <w:semiHidden/>
    <w:rsid w:val="004323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3B9"/>
  </w:style>
  <w:style w:type="paragraph" w:styleId="Footer">
    <w:name w:val="footer"/>
    <w:basedOn w:val="Normal"/>
    <w:link w:val="FooterChar"/>
    <w:uiPriority w:val="99"/>
    <w:unhideWhenUsed/>
    <w:rsid w:val="0043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3B9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ico.iovino@ki.se" TargetMode="External"/><Relationship Id="rId13" Type="http://schemas.openxmlformats.org/officeDocument/2006/relationships/image" Target="media/image4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2047B1D-84A7-4F4B-BBD2-70ABB713E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 Vander Elst</dc:creator>
  <cp:lastModifiedBy>Mary Rose Caro</cp:lastModifiedBy>
  <cp:revision>2</cp:revision>
  <cp:lastPrinted>2025-03-31T11:58:00Z</cp:lastPrinted>
  <dcterms:created xsi:type="dcterms:W3CDTF">2025-11-07T23:46:00Z</dcterms:created>
  <dcterms:modified xsi:type="dcterms:W3CDTF">2025-11-07T23:46:00Z</dcterms:modified>
</cp:coreProperties>
</file>