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42FFF" w14:textId="77777777" w:rsidR="00B965C1" w:rsidRDefault="00B965C1" w:rsidP="007E18E1">
      <w:pPr>
        <w:spacing w:line="480" w:lineRule="auto"/>
        <w:jc w:val="both"/>
        <w:rPr>
          <w:b/>
          <w:noProof/>
          <w:lang w:val="en-US"/>
        </w:rPr>
      </w:pPr>
      <w:bookmarkStart w:id="0" w:name="_GoBack"/>
      <w:bookmarkEnd w:id="0"/>
      <w:r>
        <w:rPr>
          <w:b/>
          <w:noProof/>
          <w:lang w:val="en-US"/>
        </w:rPr>
        <w:t>Supplementary Figure S</w:t>
      </w:r>
      <w:r w:rsidR="00115BC7">
        <w:rPr>
          <w:rFonts w:hint="eastAsia"/>
          <w:b/>
          <w:noProof/>
          <w:lang w:val="en-US"/>
        </w:rPr>
        <w:t>1</w:t>
      </w:r>
    </w:p>
    <w:p w14:paraId="4D420E32" w14:textId="77777777" w:rsidR="00B965C1" w:rsidRDefault="00B965C1" w:rsidP="007E18E1">
      <w:pPr>
        <w:spacing w:line="480" w:lineRule="auto"/>
        <w:jc w:val="both"/>
        <w:rPr>
          <w:b/>
          <w:noProof/>
          <w:lang w:val="en-US"/>
        </w:rPr>
      </w:pPr>
      <w:r>
        <w:rPr>
          <w:b/>
          <w:noProof/>
          <w:lang w:val="en-US"/>
        </w:rPr>
        <w:drawing>
          <wp:inline distT="0" distB="0" distL="0" distR="0" wp14:anchorId="7B7210A1" wp14:editId="61F4FCFA">
            <wp:extent cx="5062632" cy="1815197"/>
            <wp:effectExtent l="0" t="0" r="508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66375" cy="1816539"/>
                    </a:xfrm>
                    <a:prstGeom prst="rect">
                      <a:avLst/>
                    </a:prstGeom>
                    <a:noFill/>
                  </pic:spPr>
                </pic:pic>
              </a:graphicData>
            </a:graphic>
          </wp:inline>
        </w:drawing>
      </w:r>
    </w:p>
    <w:p w14:paraId="7A2775B8" w14:textId="77777777" w:rsidR="004D4B1C" w:rsidRPr="00646F8A" w:rsidRDefault="00B965C1" w:rsidP="007E18E1">
      <w:pPr>
        <w:spacing w:line="480" w:lineRule="auto"/>
        <w:jc w:val="both"/>
        <w:rPr>
          <w:noProof/>
          <w:lang w:val="en-US"/>
        </w:rPr>
      </w:pPr>
      <w:r w:rsidRPr="00B965C1">
        <w:rPr>
          <w:b/>
          <w:noProof/>
          <w:lang w:val="en-US"/>
        </w:rPr>
        <w:t>YULINK expressio</w:t>
      </w:r>
      <w:r>
        <w:rPr>
          <w:b/>
          <w:noProof/>
          <w:lang w:val="en-US"/>
        </w:rPr>
        <w:t>n in patients with liver cancer</w:t>
      </w:r>
      <w:r>
        <w:rPr>
          <w:rFonts w:hint="eastAsia"/>
          <w:b/>
          <w:noProof/>
          <w:lang w:val="en-US"/>
        </w:rPr>
        <w:t>.</w:t>
      </w:r>
      <w:r w:rsidRPr="00B965C1">
        <w:rPr>
          <w:b/>
          <w:noProof/>
          <w:lang w:val="en-US"/>
        </w:rPr>
        <w:t xml:space="preserve"> </w:t>
      </w:r>
      <w:r w:rsidRPr="00B965C1">
        <w:rPr>
          <w:noProof/>
          <w:lang w:val="en-US"/>
        </w:rPr>
        <w:t xml:space="preserve">A) The expression of YULINK was statistically analyzed in patients with hepatocellular carcinoma (HCC). The association between YULINK expression level and survival was also analyzed in </w:t>
      </w:r>
      <w:r w:rsidRPr="00B965C1">
        <w:rPr>
          <w:rFonts w:hint="eastAsia"/>
          <w:noProof/>
          <w:lang w:val="en-US"/>
        </w:rPr>
        <w:t>B</w:t>
      </w:r>
      <w:r w:rsidRPr="00B965C1">
        <w:rPr>
          <w:noProof/>
          <w:lang w:val="en-US"/>
        </w:rPr>
        <w:t>) Asian patients with HCC and high YULINK expression (mean survival: 4.108, 95% CI: 3.333–4.882 years) and low YULINK expression (mean survival: 5.776, 95% CI: 5.101–6.451 months). The raw data were obtained from the Human Protein Atlas (website: www.proteinatlas.org) and The Cancer Genome Atlas (TCGA) database. (website: https://cancergenome.nih.gov)</w:t>
      </w:r>
    </w:p>
    <w:p w14:paraId="56DC00B7" w14:textId="77777777" w:rsidR="00646F8A" w:rsidRDefault="00646F8A">
      <w:pPr>
        <w:widowControl/>
        <w:rPr>
          <w:b/>
        </w:rPr>
      </w:pPr>
      <w:r>
        <w:rPr>
          <w:b/>
        </w:rPr>
        <w:br w:type="page"/>
      </w:r>
    </w:p>
    <w:p w14:paraId="51144379" w14:textId="77777777" w:rsidR="00A30E13" w:rsidRDefault="00A30E13" w:rsidP="008274DD">
      <w:pPr>
        <w:spacing w:line="480" w:lineRule="auto"/>
        <w:rPr>
          <w:b/>
        </w:rPr>
      </w:pPr>
      <w:r>
        <w:rPr>
          <w:rFonts w:hint="eastAsia"/>
          <w:b/>
        </w:rPr>
        <w:lastRenderedPageBreak/>
        <w:t>Supplementary Figure S</w:t>
      </w:r>
      <w:r w:rsidR="00646F8A">
        <w:rPr>
          <w:rFonts w:hint="eastAsia"/>
          <w:b/>
        </w:rPr>
        <w:t>2</w:t>
      </w:r>
    </w:p>
    <w:p w14:paraId="116D4E61" w14:textId="77777777" w:rsidR="00A30E13" w:rsidRDefault="00A30E13" w:rsidP="008274DD">
      <w:pPr>
        <w:spacing w:line="480" w:lineRule="auto"/>
        <w:rPr>
          <w:b/>
        </w:rPr>
      </w:pPr>
      <w:r>
        <w:rPr>
          <w:b/>
          <w:noProof/>
          <w:lang w:val="en-US"/>
        </w:rPr>
        <w:drawing>
          <wp:inline distT="0" distB="0" distL="0" distR="0" wp14:anchorId="0E99F2D7" wp14:editId="4305EAC9">
            <wp:extent cx="5493858" cy="2148064"/>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5609" cy="2148749"/>
                    </a:xfrm>
                    <a:prstGeom prst="rect">
                      <a:avLst/>
                    </a:prstGeom>
                    <a:noFill/>
                  </pic:spPr>
                </pic:pic>
              </a:graphicData>
            </a:graphic>
          </wp:inline>
        </w:drawing>
      </w:r>
    </w:p>
    <w:p w14:paraId="2964956A" w14:textId="604E5D3B" w:rsidR="00A30E13" w:rsidRDefault="00A30E13" w:rsidP="00A30E13">
      <w:pPr>
        <w:spacing w:line="480" w:lineRule="auto"/>
        <w:jc w:val="both"/>
      </w:pPr>
      <w:r w:rsidRPr="00A30E13">
        <w:rPr>
          <w:b/>
        </w:rPr>
        <w:t xml:space="preserve">YULINK </w:t>
      </w:r>
      <w:r>
        <w:rPr>
          <w:rFonts w:hint="eastAsia"/>
          <w:b/>
        </w:rPr>
        <w:t xml:space="preserve">suppression </w:t>
      </w:r>
      <w:r w:rsidRPr="00A30E13">
        <w:rPr>
          <w:b/>
        </w:rPr>
        <w:t xml:space="preserve">enhanced glucose restriction-triggered cell death in </w:t>
      </w:r>
      <w:r>
        <w:rPr>
          <w:rFonts w:hint="eastAsia"/>
          <w:b/>
        </w:rPr>
        <w:t>HA22T</w:t>
      </w:r>
      <w:r w:rsidRPr="00A30E13">
        <w:rPr>
          <w:b/>
        </w:rPr>
        <w:t xml:space="preserve"> cells. </w:t>
      </w:r>
      <w:r w:rsidR="00B16742" w:rsidRPr="00B16742">
        <w:rPr>
          <w:rFonts w:cstheme="minorHAnsi"/>
        </w:rPr>
        <w:t>HA22T cells were cultured in Minimum Essential Medium (MEM) supplemented with 10% fetal bovine serum (FBS), 2 mM L-glutamine, 100 U/mL penicillin, and 100 μg/mL streptomycin. Cells were maintained in a humidified incubator at 37 °C and 5% CO₂.</w:t>
      </w:r>
      <w:r w:rsidR="00B16742">
        <w:rPr>
          <w:rFonts w:ascii="Times New Roman" w:hAnsi="Times New Roman" w:cs="Times New Roman"/>
        </w:rPr>
        <w:t xml:space="preserve"> </w:t>
      </w:r>
      <w:r w:rsidRPr="00A30E13">
        <w:rPr>
          <w:rFonts w:hint="eastAsia"/>
        </w:rPr>
        <w:t>HA22T</w:t>
      </w:r>
      <w:r w:rsidRPr="00A30E13">
        <w:t xml:space="preserve"> cells with or without YULINK knockdown were maintained under high glucose (25 mM) or glucose restriction (1 mM) conditions for </w:t>
      </w:r>
      <w:r w:rsidRPr="00A30E13">
        <w:rPr>
          <w:rFonts w:hint="eastAsia"/>
        </w:rPr>
        <w:t xml:space="preserve">12 </w:t>
      </w:r>
      <w:r w:rsidRPr="00A30E13">
        <w:t xml:space="preserve">h before harvesting. The cell cycle distribution was analyzed by flow cytometry. In each panel, cell cycle profiles are presented together with bar graphs, indicating the cell distribution in each phase of the cell cycle. Values in the bar graphs represent the mean of three independent experiments ± S.D. </w:t>
      </w:r>
      <w:r w:rsidR="001452AA" w:rsidRPr="001452AA">
        <w:t xml:space="preserve">*P&lt;0.05 indicates significant differences between glucose 25 mM and 1 mM within the Scramble and YULINK </w:t>
      </w:r>
      <w:r w:rsidR="001452AA">
        <w:rPr>
          <w:rFonts w:hint="eastAsia"/>
        </w:rPr>
        <w:t>KD</w:t>
      </w:r>
      <w:r w:rsidR="001452AA">
        <w:t xml:space="preserve"> group.</w:t>
      </w:r>
    </w:p>
    <w:p w14:paraId="12C4C380" w14:textId="77777777" w:rsidR="00646F8A" w:rsidRDefault="00646F8A">
      <w:pPr>
        <w:widowControl/>
        <w:rPr>
          <w:b/>
        </w:rPr>
      </w:pPr>
      <w:r>
        <w:rPr>
          <w:b/>
        </w:rPr>
        <w:br w:type="page"/>
      </w:r>
    </w:p>
    <w:p w14:paraId="218CBDA0" w14:textId="77777777" w:rsidR="00B371CB" w:rsidRDefault="00B371CB" w:rsidP="007E18E1">
      <w:pPr>
        <w:spacing w:line="480" w:lineRule="auto"/>
        <w:jc w:val="both"/>
        <w:rPr>
          <w:b/>
        </w:rPr>
      </w:pPr>
      <w:r w:rsidRPr="008274DD">
        <w:rPr>
          <w:rFonts w:hint="eastAsia"/>
          <w:b/>
        </w:rPr>
        <w:lastRenderedPageBreak/>
        <w:t xml:space="preserve">Supplementary Figure </w:t>
      </w:r>
      <w:r>
        <w:rPr>
          <w:rFonts w:hint="eastAsia"/>
          <w:b/>
        </w:rPr>
        <w:t>S3</w:t>
      </w:r>
    </w:p>
    <w:p w14:paraId="2F53587A" w14:textId="77777777" w:rsidR="00B371CB" w:rsidRPr="0013320A" w:rsidRDefault="0013320A" w:rsidP="007E18E1">
      <w:pPr>
        <w:spacing w:line="480" w:lineRule="auto"/>
        <w:jc w:val="both"/>
        <w:rPr>
          <w:b/>
        </w:rPr>
      </w:pPr>
      <w:r>
        <w:rPr>
          <w:b/>
          <w:noProof/>
          <w:lang w:val="en-US"/>
        </w:rPr>
        <w:drawing>
          <wp:inline distT="0" distB="0" distL="0" distR="0" wp14:anchorId="550D0233" wp14:editId="6F1A4EEB">
            <wp:extent cx="5204460" cy="3156892"/>
            <wp:effectExtent l="0" t="0" r="0"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9653" cy="3153976"/>
                    </a:xfrm>
                    <a:prstGeom prst="rect">
                      <a:avLst/>
                    </a:prstGeom>
                    <a:noFill/>
                  </pic:spPr>
                </pic:pic>
              </a:graphicData>
            </a:graphic>
          </wp:inline>
        </w:drawing>
      </w:r>
    </w:p>
    <w:p w14:paraId="2B760063" w14:textId="77777777" w:rsidR="00B371CB" w:rsidRDefault="00B371CB" w:rsidP="007E18E1">
      <w:pPr>
        <w:spacing w:line="480" w:lineRule="auto"/>
        <w:jc w:val="both"/>
        <w:rPr>
          <w:b/>
        </w:rPr>
      </w:pPr>
      <w:r>
        <w:rPr>
          <w:rFonts w:hint="eastAsia"/>
          <w:b/>
        </w:rPr>
        <w:t>Overexpression</w:t>
      </w:r>
      <w:r w:rsidRPr="00B371CB">
        <w:rPr>
          <w:rFonts w:hint="eastAsia"/>
          <w:b/>
        </w:rPr>
        <w:t xml:space="preserve"> of YULINK </w:t>
      </w:r>
      <w:r>
        <w:rPr>
          <w:rFonts w:hint="eastAsia"/>
          <w:b/>
        </w:rPr>
        <w:t>reduced</w:t>
      </w:r>
      <w:r w:rsidRPr="00B371CB">
        <w:rPr>
          <w:rFonts w:hint="eastAsia"/>
          <w:b/>
        </w:rPr>
        <w:t xml:space="preserve"> </w:t>
      </w:r>
      <w:r w:rsidRPr="00B371CB">
        <w:rPr>
          <w:rFonts w:ascii="Symbol" w:hAnsi="Symbol"/>
          <w:b/>
        </w:rPr>
        <w:t></w:t>
      </w:r>
      <w:r w:rsidRPr="00B371CB">
        <w:rPr>
          <w:rFonts w:hint="eastAsia"/>
          <w:b/>
        </w:rPr>
        <w:t xml:space="preserve">-H2AX expression in Huh7 cells under glucose restriction. </w:t>
      </w:r>
      <w:r w:rsidRPr="00B371CB">
        <w:rPr>
          <w:rFonts w:hint="eastAsia"/>
        </w:rPr>
        <w:t xml:space="preserve">Huh7 cells with or without YULINK </w:t>
      </w:r>
      <w:r>
        <w:rPr>
          <w:rFonts w:hint="eastAsia"/>
        </w:rPr>
        <w:t>overexpression</w:t>
      </w:r>
      <w:r w:rsidRPr="00B371CB">
        <w:rPr>
          <w:rFonts w:hint="eastAsia"/>
        </w:rPr>
        <w:t xml:space="preserve"> were maintained under 25 mM glucose or glucose restriction </w:t>
      </w:r>
      <w:r>
        <w:rPr>
          <w:rFonts w:hint="eastAsia"/>
        </w:rPr>
        <w:t xml:space="preserve">(1 </w:t>
      </w:r>
      <w:r>
        <w:t>m</w:t>
      </w:r>
      <w:r>
        <w:rPr>
          <w:rFonts w:hint="eastAsia"/>
        </w:rPr>
        <w:t xml:space="preserve">M) </w:t>
      </w:r>
      <w:r w:rsidRPr="00B371CB">
        <w:rPr>
          <w:rFonts w:hint="eastAsia"/>
        </w:rPr>
        <w:t xml:space="preserve">for 24 h before fixing and staining for </w:t>
      </w:r>
      <w:r>
        <w:rPr>
          <w:rFonts w:hint="eastAsia"/>
        </w:rPr>
        <w:t xml:space="preserve">DAPI (blue signal) and </w:t>
      </w:r>
      <w:r w:rsidRPr="00B371CB">
        <w:rPr>
          <w:rFonts w:hint="eastAsia"/>
        </w:rPr>
        <w:t>phosphorylated pSer139 H2AX (</w:t>
      </w:r>
      <w:r w:rsidRPr="00B371CB">
        <w:rPr>
          <w:rFonts w:ascii="Symbol" w:hAnsi="Symbol"/>
        </w:rPr>
        <w:t></w:t>
      </w:r>
      <w:r w:rsidRPr="00B371CB">
        <w:rPr>
          <w:rFonts w:hint="eastAsia"/>
        </w:rPr>
        <w:t>-H2AX</w:t>
      </w:r>
      <w:r>
        <w:rPr>
          <w:rFonts w:hint="eastAsia"/>
        </w:rPr>
        <w:t>, green signal</w:t>
      </w:r>
      <w:r w:rsidRPr="00B371CB">
        <w:rPr>
          <w:rFonts w:hint="eastAsia"/>
        </w:rPr>
        <w:t>).</w:t>
      </w:r>
    </w:p>
    <w:p w14:paraId="68F9950D" w14:textId="77777777" w:rsidR="00B371CB" w:rsidRDefault="00B371CB">
      <w:pPr>
        <w:widowControl/>
        <w:rPr>
          <w:b/>
        </w:rPr>
      </w:pPr>
      <w:r>
        <w:rPr>
          <w:b/>
        </w:rPr>
        <w:br w:type="page"/>
      </w:r>
    </w:p>
    <w:p w14:paraId="49D811AD" w14:textId="77777777" w:rsidR="007E18E1" w:rsidRPr="008274DD" w:rsidRDefault="007E18E1" w:rsidP="007E18E1">
      <w:pPr>
        <w:spacing w:line="480" w:lineRule="auto"/>
        <w:jc w:val="both"/>
        <w:rPr>
          <w:b/>
        </w:rPr>
      </w:pPr>
      <w:r w:rsidRPr="008274DD">
        <w:rPr>
          <w:rFonts w:hint="eastAsia"/>
          <w:b/>
        </w:rPr>
        <w:lastRenderedPageBreak/>
        <w:t xml:space="preserve">Supplementary Figure </w:t>
      </w:r>
      <w:r w:rsidR="00646F8A">
        <w:rPr>
          <w:rFonts w:hint="eastAsia"/>
          <w:b/>
        </w:rPr>
        <w:t>S4A</w:t>
      </w:r>
    </w:p>
    <w:p w14:paraId="012B00A7" w14:textId="77777777" w:rsidR="007E18E1" w:rsidRDefault="007E18E1" w:rsidP="007E18E1">
      <w:pPr>
        <w:spacing w:line="480" w:lineRule="auto"/>
        <w:jc w:val="both"/>
        <w:rPr>
          <w:b/>
        </w:rPr>
      </w:pPr>
      <w:r>
        <w:rPr>
          <w:b/>
          <w:noProof/>
          <w:lang w:val="en-US"/>
        </w:rPr>
        <w:drawing>
          <wp:inline distT="0" distB="0" distL="0" distR="0" wp14:anchorId="5F5278E4" wp14:editId="79F4B5D7">
            <wp:extent cx="5276381" cy="1378527"/>
            <wp:effectExtent l="0" t="0" r="63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1576" cy="1379884"/>
                    </a:xfrm>
                    <a:prstGeom prst="rect">
                      <a:avLst/>
                    </a:prstGeom>
                    <a:noFill/>
                  </pic:spPr>
                </pic:pic>
              </a:graphicData>
            </a:graphic>
          </wp:inline>
        </w:drawing>
      </w:r>
    </w:p>
    <w:p w14:paraId="69C4C23C" w14:textId="77777777" w:rsidR="007E18E1" w:rsidRDefault="007E18E1" w:rsidP="007E18E1">
      <w:pPr>
        <w:spacing w:line="480" w:lineRule="auto"/>
        <w:jc w:val="both"/>
      </w:pPr>
      <w:r w:rsidRPr="008274DD">
        <w:rPr>
          <w:rFonts w:hint="eastAsia"/>
          <w:b/>
        </w:rPr>
        <w:t>YULINK suppression disturbed glucose uptake in HA22T hepatocellular carcinomas.</w:t>
      </w:r>
      <w:r>
        <w:rPr>
          <w:rFonts w:hint="eastAsia"/>
          <w:b/>
        </w:rPr>
        <w:t xml:space="preserve"> </w:t>
      </w:r>
      <w:r w:rsidRPr="008274DD">
        <w:rPr>
          <w:rFonts w:hint="eastAsia"/>
        </w:rPr>
        <w:t xml:space="preserve">HA22T </w:t>
      </w:r>
      <w:r w:rsidRPr="008274DD">
        <w:t xml:space="preserve">cells with or without YULINK knockdown were treated with 2-NBDG for </w:t>
      </w:r>
      <w:r w:rsidRPr="008274DD">
        <w:rPr>
          <w:rFonts w:hint="eastAsia"/>
        </w:rPr>
        <w:t>60</w:t>
      </w:r>
      <w:r w:rsidRPr="008274DD">
        <w:t xml:space="preserve"> min and subjected to flow cytometric analysis.</w:t>
      </w:r>
    </w:p>
    <w:p w14:paraId="3C5C6126" w14:textId="77777777" w:rsidR="00646F8A" w:rsidRDefault="00646F8A" w:rsidP="00646F8A">
      <w:pPr>
        <w:widowControl/>
        <w:rPr>
          <w:b/>
        </w:rPr>
      </w:pPr>
    </w:p>
    <w:p w14:paraId="3F07BC95" w14:textId="77777777" w:rsidR="007E18E1" w:rsidRPr="00A30E13" w:rsidRDefault="007E18E1" w:rsidP="00646F8A">
      <w:pPr>
        <w:widowControl/>
        <w:rPr>
          <w:b/>
        </w:rPr>
      </w:pPr>
      <w:r w:rsidRPr="008274DD">
        <w:rPr>
          <w:rFonts w:hint="eastAsia"/>
          <w:b/>
        </w:rPr>
        <w:t xml:space="preserve">Supplementary Figure </w:t>
      </w:r>
      <w:r w:rsidR="00646F8A">
        <w:rPr>
          <w:rFonts w:hint="eastAsia"/>
          <w:b/>
        </w:rPr>
        <w:t>S4B</w:t>
      </w:r>
    </w:p>
    <w:p w14:paraId="26DA6870" w14:textId="77777777" w:rsidR="007E18E1" w:rsidRDefault="007E18E1" w:rsidP="007E18E1">
      <w:pPr>
        <w:spacing w:line="480" w:lineRule="auto"/>
        <w:jc w:val="both"/>
      </w:pPr>
      <w:r>
        <w:rPr>
          <w:noProof/>
          <w:lang w:val="en-US"/>
        </w:rPr>
        <w:drawing>
          <wp:inline distT="0" distB="0" distL="0" distR="0" wp14:anchorId="3BF0F257" wp14:editId="258DC98D">
            <wp:extent cx="3237230" cy="1957070"/>
            <wp:effectExtent l="0" t="0" r="1270" b="508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7230" cy="1957070"/>
                    </a:xfrm>
                    <a:prstGeom prst="rect">
                      <a:avLst/>
                    </a:prstGeom>
                    <a:noFill/>
                  </pic:spPr>
                </pic:pic>
              </a:graphicData>
            </a:graphic>
          </wp:inline>
        </w:drawing>
      </w:r>
    </w:p>
    <w:p w14:paraId="23E54F08" w14:textId="77777777" w:rsidR="007E18E1" w:rsidRPr="008274DD" w:rsidRDefault="007E18E1" w:rsidP="007E18E1">
      <w:pPr>
        <w:spacing w:line="480" w:lineRule="auto"/>
        <w:jc w:val="both"/>
        <w:rPr>
          <w:b/>
        </w:rPr>
      </w:pPr>
      <w:r w:rsidRPr="008274DD">
        <w:rPr>
          <w:rFonts w:hint="eastAsia"/>
          <w:b/>
        </w:rPr>
        <w:t xml:space="preserve">YULINK suppression disturbed </w:t>
      </w:r>
      <w:r>
        <w:rPr>
          <w:rFonts w:hint="eastAsia"/>
          <w:b/>
        </w:rPr>
        <w:t>functional glycolysis</w:t>
      </w:r>
      <w:r w:rsidRPr="008274DD">
        <w:rPr>
          <w:rFonts w:hint="eastAsia"/>
          <w:b/>
        </w:rPr>
        <w:t xml:space="preserve"> in HA22T hepatocellular carcinomas.</w:t>
      </w:r>
      <w:r>
        <w:rPr>
          <w:rFonts w:hint="eastAsia"/>
          <w:b/>
        </w:rPr>
        <w:t xml:space="preserve"> </w:t>
      </w:r>
      <w:r w:rsidRPr="008274DD">
        <w:t xml:space="preserve">Extracellular acidification rate of </w:t>
      </w:r>
      <w:r w:rsidRPr="008274DD">
        <w:rPr>
          <w:rFonts w:hint="eastAsia"/>
        </w:rPr>
        <w:t>HA22T</w:t>
      </w:r>
      <w:r w:rsidRPr="008274DD">
        <w:t xml:space="preserve"> cells with or without YULINK knockdown</w:t>
      </w:r>
      <w:r>
        <w:rPr>
          <w:rFonts w:hint="eastAsia"/>
        </w:rPr>
        <w:t xml:space="preserve"> was examined using </w:t>
      </w:r>
      <w:r w:rsidRPr="008274DD">
        <w:t>a Seahorse Bioscience X</w:t>
      </w:r>
      <w:r>
        <w:t>F24 Extracellular Flux Analyzer</w:t>
      </w:r>
      <w:r w:rsidRPr="008274DD">
        <w:t xml:space="preserve"> and a Seahorse XF Glycolysis Stress Test Kit</w:t>
      </w:r>
      <w:r>
        <w:t>.</w:t>
      </w:r>
    </w:p>
    <w:p w14:paraId="2F159E2E" w14:textId="77777777" w:rsidR="00646F8A" w:rsidRDefault="00646F8A">
      <w:pPr>
        <w:widowControl/>
        <w:rPr>
          <w:b/>
          <w:noProof/>
          <w:lang w:val="en-US"/>
        </w:rPr>
      </w:pPr>
      <w:r>
        <w:rPr>
          <w:b/>
          <w:noProof/>
          <w:lang w:val="en-US"/>
        </w:rPr>
        <w:br w:type="page"/>
      </w:r>
    </w:p>
    <w:p w14:paraId="6B620DFF" w14:textId="77777777" w:rsidR="00C4356D" w:rsidRDefault="00C4356D" w:rsidP="00A30E13">
      <w:pPr>
        <w:spacing w:line="480" w:lineRule="auto"/>
        <w:jc w:val="both"/>
        <w:rPr>
          <w:b/>
          <w:noProof/>
          <w:lang w:val="en-US"/>
        </w:rPr>
      </w:pPr>
      <w:r>
        <w:rPr>
          <w:b/>
          <w:noProof/>
          <w:lang w:val="en-US"/>
        </w:rPr>
        <w:lastRenderedPageBreak/>
        <w:t>Supplementary Figure S</w:t>
      </w:r>
      <w:r w:rsidR="00646F8A">
        <w:rPr>
          <w:rFonts w:hint="eastAsia"/>
          <w:b/>
          <w:noProof/>
          <w:lang w:val="en-US"/>
        </w:rPr>
        <w:t>5</w:t>
      </w:r>
    </w:p>
    <w:p w14:paraId="2BBFCDD3" w14:textId="77777777" w:rsidR="004D4B1C" w:rsidRDefault="004D4B1C" w:rsidP="004D4B1C">
      <w:pPr>
        <w:spacing w:line="480" w:lineRule="auto"/>
        <w:jc w:val="both"/>
      </w:pPr>
      <w:r>
        <w:rPr>
          <w:noProof/>
          <w:lang w:val="en-US"/>
        </w:rPr>
        <w:drawing>
          <wp:inline distT="0" distB="0" distL="0" distR="0" wp14:anchorId="4B79E6CF" wp14:editId="1E988312">
            <wp:extent cx="2126673" cy="1589467"/>
            <wp:effectExtent l="0" t="0" r="698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6657" t="9138" r="5181" b="6195"/>
                    <a:stretch/>
                  </pic:blipFill>
                  <pic:spPr bwMode="auto">
                    <a:xfrm>
                      <a:off x="0" y="0"/>
                      <a:ext cx="2131319" cy="1592939"/>
                    </a:xfrm>
                    <a:prstGeom prst="rect">
                      <a:avLst/>
                    </a:prstGeom>
                    <a:noFill/>
                    <a:ln>
                      <a:noFill/>
                    </a:ln>
                    <a:extLst>
                      <a:ext uri="{53640926-AAD7-44D8-BBD7-CCE9431645EC}">
                        <a14:shadowObscured xmlns:a14="http://schemas.microsoft.com/office/drawing/2010/main"/>
                      </a:ext>
                    </a:extLst>
                  </pic:spPr>
                </pic:pic>
              </a:graphicData>
            </a:graphic>
          </wp:inline>
        </w:drawing>
      </w:r>
    </w:p>
    <w:p w14:paraId="7847D790" w14:textId="77777777" w:rsidR="004D4B1C" w:rsidRPr="00C4356D" w:rsidRDefault="004D4B1C" w:rsidP="004D4B1C">
      <w:pPr>
        <w:spacing w:line="480" w:lineRule="auto"/>
        <w:jc w:val="both"/>
      </w:pPr>
      <w:r w:rsidRPr="0039703A">
        <w:rPr>
          <w:b/>
        </w:rPr>
        <w:t>Y</w:t>
      </w:r>
      <w:r w:rsidRPr="0039703A">
        <w:rPr>
          <w:rFonts w:hint="eastAsia"/>
          <w:b/>
        </w:rPr>
        <w:t>ULINK</w:t>
      </w:r>
      <w:r w:rsidRPr="0039703A">
        <w:rPr>
          <w:b/>
        </w:rPr>
        <w:t xml:space="preserve"> expression in different iHCC type.</w:t>
      </w:r>
      <w:r w:rsidRPr="0039703A">
        <w:t xml:space="preserve"> One-w</w:t>
      </w:r>
      <w:r>
        <w:t>ay ANOVA analysis showing Y</w:t>
      </w:r>
      <w:r>
        <w:rPr>
          <w:rFonts w:hint="eastAsia"/>
        </w:rPr>
        <w:t>ULINK</w:t>
      </w:r>
      <w:r w:rsidRPr="0039703A">
        <w:t xml:space="preserve"> expression level (FPKM value) with r</w:t>
      </w:r>
      <w:r>
        <w:t>espect to TCGA LIHC data. Y</w:t>
      </w:r>
      <w:r>
        <w:rPr>
          <w:rFonts w:hint="eastAsia"/>
        </w:rPr>
        <w:t>ULINK</w:t>
      </w:r>
      <w:r w:rsidRPr="0039703A">
        <w:t xml:space="preserve"> expression level of 179 HCC patients w</w:t>
      </w:r>
      <w:r>
        <w:rPr>
          <w:rFonts w:hint="eastAsia"/>
        </w:rPr>
        <w:t>as</w:t>
      </w:r>
      <w:r w:rsidRPr="0039703A">
        <w:t xml:space="preserve"> categorized as iHCC (iHCC 1, iHCC2 and iHCC3) subtypes</w:t>
      </w:r>
      <w:r>
        <w:rPr>
          <w:rFonts w:hint="eastAsia"/>
        </w:rPr>
        <w:t xml:space="preserve"> [36]</w:t>
      </w:r>
      <w:r w:rsidRPr="0039703A">
        <w:t>. Data were statistically analyzed by ANOVA , *: P&lt;0.05, **: P&lt;0.01.</w:t>
      </w:r>
    </w:p>
    <w:p w14:paraId="7725AD30" w14:textId="77777777" w:rsidR="00C4356D" w:rsidRDefault="00C4356D">
      <w:pPr>
        <w:spacing w:line="480" w:lineRule="auto"/>
        <w:jc w:val="both"/>
      </w:pPr>
    </w:p>
    <w:sectPr w:rsidR="00C4356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FFA5A" w14:textId="77777777" w:rsidR="00AF14D1" w:rsidRDefault="00AF14D1" w:rsidP="00C4356D">
      <w:r>
        <w:separator/>
      </w:r>
    </w:p>
  </w:endnote>
  <w:endnote w:type="continuationSeparator" w:id="0">
    <w:p w14:paraId="1502A238" w14:textId="77777777" w:rsidR="00AF14D1" w:rsidRDefault="00AF14D1" w:rsidP="00C4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B5ADA" w14:textId="77777777" w:rsidR="00AF14D1" w:rsidRDefault="00AF14D1" w:rsidP="00C4356D">
      <w:r>
        <w:separator/>
      </w:r>
    </w:p>
  </w:footnote>
  <w:footnote w:type="continuationSeparator" w:id="0">
    <w:p w14:paraId="37D88C7B" w14:textId="77777777" w:rsidR="00AF14D1" w:rsidRDefault="00AF14D1" w:rsidP="00C435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4DD"/>
    <w:rsid w:val="00081020"/>
    <w:rsid w:val="00115BC7"/>
    <w:rsid w:val="0012500B"/>
    <w:rsid w:val="0013320A"/>
    <w:rsid w:val="001452AA"/>
    <w:rsid w:val="002148D8"/>
    <w:rsid w:val="002C111B"/>
    <w:rsid w:val="00326333"/>
    <w:rsid w:val="00346A61"/>
    <w:rsid w:val="0039703A"/>
    <w:rsid w:val="004D0C3C"/>
    <w:rsid w:val="004D1439"/>
    <w:rsid w:val="004D4B1C"/>
    <w:rsid w:val="005B72C7"/>
    <w:rsid w:val="005B7C4A"/>
    <w:rsid w:val="00646F8A"/>
    <w:rsid w:val="007C22D2"/>
    <w:rsid w:val="007D1A0B"/>
    <w:rsid w:val="007E18E1"/>
    <w:rsid w:val="007E4A21"/>
    <w:rsid w:val="00807BAF"/>
    <w:rsid w:val="008274DD"/>
    <w:rsid w:val="008612B6"/>
    <w:rsid w:val="00A30E13"/>
    <w:rsid w:val="00A922C0"/>
    <w:rsid w:val="00AF12CD"/>
    <w:rsid w:val="00AF14D1"/>
    <w:rsid w:val="00B16742"/>
    <w:rsid w:val="00B371CB"/>
    <w:rsid w:val="00B43F09"/>
    <w:rsid w:val="00B965C1"/>
    <w:rsid w:val="00C4356D"/>
    <w:rsid w:val="00CD63D9"/>
    <w:rsid w:val="00CE3CD3"/>
    <w:rsid w:val="00DC74F1"/>
    <w:rsid w:val="00E137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47AEE"/>
  <w15:docId w15:val="{E3078CE1-E1F4-432E-9C9B-A89355B34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0E13"/>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30E13"/>
    <w:rPr>
      <w:rFonts w:asciiTheme="majorHAnsi" w:eastAsiaTheme="majorEastAsia" w:hAnsiTheme="majorHAnsi" w:cstheme="majorBidi"/>
      <w:sz w:val="18"/>
      <w:szCs w:val="18"/>
      <w:lang w:val="en-GB"/>
    </w:rPr>
  </w:style>
  <w:style w:type="paragraph" w:styleId="a5">
    <w:name w:val="header"/>
    <w:basedOn w:val="a"/>
    <w:link w:val="a6"/>
    <w:uiPriority w:val="99"/>
    <w:unhideWhenUsed/>
    <w:rsid w:val="00C4356D"/>
    <w:pPr>
      <w:tabs>
        <w:tab w:val="center" w:pos="4153"/>
        <w:tab w:val="right" w:pos="8306"/>
      </w:tabs>
      <w:snapToGrid w:val="0"/>
    </w:pPr>
    <w:rPr>
      <w:sz w:val="20"/>
      <w:szCs w:val="20"/>
    </w:rPr>
  </w:style>
  <w:style w:type="character" w:customStyle="1" w:styleId="a6">
    <w:name w:val="頁首 字元"/>
    <w:basedOn w:val="a0"/>
    <w:link w:val="a5"/>
    <w:uiPriority w:val="99"/>
    <w:rsid w:val="00C4356D"/>
    <w:rPr>
      <w:sz w:val="20"/>
      <w:szCs w:val="20"/>
      <w:lang w:val="en-GB"/>
    </w:rPr>
  </w:style>
  <w:style w:type="paragraph" w:styleId="a7">
    <w:name w:val="footer"/>
    <w:basedOn w:val="a"/>
    <w:link w:val="a8"/>
    <w:uiPriority w:val="99"/>
    <w:unhideWhenUsed/>
    <w:rsid w:val="00C4356D"/>
    <w:pPr>
      <w:tabs>
        <w:tab w:val="center" w:pos="4153"/>
        <w:tab w:val="right" w:pos="8306"/>
      </w:tabs>
      <w:snapToGrid w:val="0"/>
    </w:pPr>
    <w:rPr>
      <w:sz w:val="20"/>
      <w:szCs w:val="20"/>
    </w:rPr>
  </w:style>
  <w:style w:type="character" w:customStyle="1" w:styleId="a8">
    <w:name w:val="頁尾 字元"/>
    <w:basedOn w:val="a0"/>
    <w:link w:val="a7"/>
    <w:uiPriority w:val="99"/>
    <w:rsid w:val="00C4356D"/>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HTH</cp:lastModifiedBy>
  <cp:revision>2</cp:revision>
  <dcterms:created xsi:type="dcterms:W3CDTF">2025-05-20T05:38:00Z</dcterms:created>
  <dcterms:modified xsi:type="dcterms:W3CDTF">2025-05-20T05:38:00Z</dcterms:modified>
</cp:coreProperties>
</file>