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4F7A7" w14:textId="023F34AA" w:rsidR="008100C2" w:rsidRPr="00E2467B" w:rsidRDefault="00546E60">
      <w:pPr>
        <w:rPr>
          <w:rFonts w:ascii="Times New Roman" w:hAnsi="Times New Roman" w:cs="Times New Roman"/>
        </w:rPr>
      </w:pPr>
      <w:r w:rsidRPr="00E2467B">
        <w:rPr>
          <w:rFonts w:ascii="Times New Roman" w:hAnsi="Times New Roman" w:cs="Times New Roman"/>
        </w:rPr>
        <w:t>Supplemental Figure 1:</w:t>
      </w:r>
    </w:p>
    <w:p w14:paraId="7BBF5E9D" w14:textId="779D981B" w:rsidR="00546E60" w:rsidRDefault="00546E60">
      <w:r w:rsidRPr="00BB3232">
        <w:rPr>
          <w:noProof/>
          <w:color w:val="000000" w:themeColor="text1"/>
          <w:spacing w:val="2"/>
        </w:rPr>
        <w:drawing>
          <wp:inline distT="0" distB="0" distL="0" distR="0" wp14:anchorId="73E13360" wp14:editId="07CABCCA">
            <wp:extent cx="5943600" cy="5471160"/>
            <wp:effectExtent l="0" t="0" r="0" b="2540"/>
            <wp:docPr id="1426570603"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570603" name="Picture 1" descr="A screenshot of a graph&#10;&#10;AI-generated content may be incorrect."/>
                    <pic:cNvPicPr/>
                  </pic:nvPicPr>
                  <pic:blipFill>
                    <a:blip r:embed="rId4"/>
                    <a:stretch>
                      <a:fillRect/>
                    </a:stretch>
                  </pic:blipFill>
                  <pic:spPr>
                    <a:xfrm>
                      <a:off x="0" y="0"/>
                      <a:ext cx="5943600" cy="5471160"/>
                    </a:xfrm>
                    <a:prstGeom prst="rect">
                      <a:avLst/>
                    </a:prstGeom>
                  </pic:spPr>
                </pic:pic>
              </a:graphicData>
            </a:graphic>
          </wp:inline>
        </w:drawing>
      </w:r>
    </w:p>
    <w:p w14:paraId="522703FC" w14:textId="22803F7A" w:rsidR="001F35ED" w:rsidRPr="001F35ED" w:rsidRDefault="001F35ED" w:rsidP="001F35ED">
      <w:pPr>
        <w:spacing w:after="0" w:line="240" w:lineRule="auto"/>
        <w:jc w:val="both"/>
        <w:outlineLvl w:val="2"/>
        <w:rPr>
          <w:rFonts w:ascii="Times New Roman" w:eastAsia="Times New Roman" w:hAnsi="Times New Roman" w:cs="Times New Roman"/>
          <w:b/>
          <w:bCs/>
          <w:kern w:val="0"/>
          <w14:ligatures w14:val="none"/>
        </w:rPr>
      </w:pPr>
      <w:r w:rsidRPr="001F35ED">
        <w:rPr>
          <w:rFonts w:ascii="Times New Roman" w:eastAsia="Times New Roman" w:hAnsi="Times New Roman" w:cs="Times New Roman"/>
          <w:b/>
          <w:bCs/>
          <w:kern w:val="0"/>
          <w14:ligatures w14:val="none"/>
        </w:rPr>
        <w:t xml:space="preserve">Supplemental Figure 1. Principal component analysis of the sepsis proteome stratified by clinical </w:t>
      </w:r>
      <w:r w:rsidR="004B5087">
        <w:rPr>
          <w:rFonts w:ascii="Times New Roman" w:eastAsia="Times New Roman" w:hAnsi="Times New Roman" w:cs="Times New Roman"/>
          <w:b/>
          <w:bCs/>
          <w:kern w:val="0"/>
          <w14:ligatures w14:val="none"/>
        </w:rPr>
        <w:t>variables</w:t>
      </w:r>
      <w:r w:rsidRPr="001F35ED">
        <w:rPr>
          <w:rFonts w:ascii="Times New Roman" w:eastAsia="Times New Roman" w:hAnsi="Times New Roman" w:cs="Times New Roman"/>
          <w:b/>
          <w:bCs/>
          <w:kern w:val="0"/>
          <w14:ligatures w14:val="none"/>
        </w:rPr>
        <w:t>.</w:t>
      </w:r>
      <w:r>
        <w:rPr>
          <w:rFonts w:ascii="Times New Roman" w:eastAsia="Times New Roman" w:hAnsi="Times New Roman" w:cs="Times New Roman"/>
          <w:b/>
          <w:bCs/>
          <w:kern w:val="0"/>
          <w14:ligatures w14:val="none"/>
        </w:rPr>
        <w:t xml:space="preserve"> </w:t>
      </w:r>
      <w:r w:rsidRPr="001F35ED">
        <w:rPr>
          <w:rFonts w:ascii="Times New Roman" w:eastAsia="Times New Roman" w:hAnsi="Times New Roman" w:cs="Times New Roman"/>
          <w:kern w:val="0"/>
          <w14:ligatures w14:val="none"/>
        </w:rPr>
        <w:t xml:space="preserve">Principal component analysis (PCA) of normalized plasma proteomic data demonstrating the distribution of sepsis samples according to clinical characteristics. Panels display the same PCA embedding as shown in the primary analysis but with samples annotated by (A) microbiologically confirmed versus suspected sepsis, (B) </w:t>
      </w:r>
      <w:r w:rsidR="00E8655C">
        <w:rPr>
          <w:rFonts w:ascii="Times New Roman" w:eastAsia="Times New Roman" w:hAnsi="Times New Roman" w:cs="Times New Roman"/>
          <w:kern w:val="0"/>
          <w14:ligatures w14:val="none"/>
        </w:rPr>
        <w:t>sex</w:t>
      </w:r>
      <w:r w:rsidRPr="001F35ED">
        <w:rPr>
          <w:rFonts w:ascii="Times New Roman" w:eastAsia="Times New Roman" w:hAnsi="Times New Roman" w:cs="Times New Roman"/>
          <w:kern w:val="0"/>
          <w14:ligatures w14:val="none"/>
        </w:rPr>
        <w:t xml:space="preserve">, (C) </w:t>
      </w:r>
      <w:r w:rsidR="00E8655C">
        <w:rPr>
          <w:rFonts w:ascii="Times New Roman" w:eastAsia="Times New Roman" w:hAnsi="Times New Roman" w:cs="Times New Roman"/>
          <w:kern w:val="0"/>
          <w14:ligatures w14:val="none"/>
        </w:rPr>
        <w:t>corticosteroid use</w:t>
      </w:r>
      <w:r w:rsidRPr="001F35ED">
        <w:rPr>
          <w:rFonts w:ascii="Times New Roman" w:eastAsia="Times New Roman" w:hAnsi="Times New Roman" w:cs="Times New Roman"/>
          <w:kern w:val="0"/>
          <w14:ligatures w14:val="none"/>
        </w:rPr>
        <w:t xml:space="preserve">, (D) vasopressor use, (E) </w:t>
      </w:r>
      <w:r w:rsidR="00E8655C">
        <w:rPr>
          <w:rFonts w:ascii="Times New Roman" w:eastAsia="Times New Roman" w:hAnsi="Times New Roman" w:cs="Times New Roman"/>
          <w:kern w:val="0"/>
          <w14:ligatures w14:val="none"/>
        </w:rPr>
        <w:t>mortality</w:t>
      </w:r>
      <w:r w:rsidRPr="001F35ED">
        <w:rPr>
          <w:rFonts w:ascii="Times New Roman" w:eastAsia="Times New Roman" w:hAnsi="Times New Roman" w:cs="Times New Roman"/>
          <w:kern w:val="0"/>
          <w14:ligatures w14:val="none"/>
        </w:rPr>
        <w:t xml:space="preserve">, (F) </w:t>
      </w:r>
      <w:r w:rsidR="00E8655C">
        <w:rPr>
          <w:rFonts w:ascii="Times New Roman" w:eastAsia="Times New Roman" w:hAnsi="Times New Roman" w:cs="Times New Roman"/>
          <w:kern w:val="0"/>
          <w14:ligatures w14:val="none"/>
        </w:rPr>
        <w:t>lactate, (G</w:t>
      </w:r>
      <w:r w:rsidR="00835303">
        <w:rPr>
          <w:rFonts w:ascii="Times New Roman" w:eastAsia="Times New Roman" w:hAnsi="Times New Roman" w:cs="Times New Roman"/>
          <w:kern w:val="0"/>
          <w14:ligatures w14:val="none"/>
        </w:rPr>
        <w:t>-H)</w:t>
      </w:r>
      <w:r w:rsidR="00E8655C">
        <w:rPr>
          <w:rFonts w:ascii="Times New Roman" w:eastAsia="Times New Roman" w:hAnsi="Times New Roman" w:cs="Times New Roman"/>
          <w:kern w:val="0"/>
          <w14:ligatures w14:val="none"/>
        </w:rPr>
        <w:t xml:space="preserve"> </w:t>
      </w:r>
      <w:r w:rsidRPr="001F35ED">
        <w:rPr>
          <w:rFonts w:ascii="Times New Roman" w:eastAsia="Times New Roman" w:hAnsi="Times New Roman" w:cs="Times New Roman"/>
          <w:kern w:val="0"/>
          <w14:ligatures w14:val="none"/>
        </w:rPr>
        <w:t>illness severity scores</w:t>
      </w:r>
      <w:r w:rsidR="00835303">
        <w:rPr>
          <w:rFonts w:ascii="Times New Roman" w:eastAsia="Times New Roman" w:hAnsi="Times New Roman" w:cs="Times New Roman"/>
          <w:kern w:val="0"/>
          <w14:ligatures w14:val="none"/>
        </w:rPr>
        <w:t xml:space="preserve">, and (I) age. </w:t>
      </w:r>
      <w:r w:rsidRPr="001F35ED">
        <w:rPr>
          <w:rFonts w:ascii="Times New Roman" w:eastAsia="Times New Roman" w:hAnsi="Times New Roman" w:cs="Times New Roman"/>
          <w:kern w:val="0"/>
          <w14:ligatures w14:val="none"/>
        </w:rPr>
        <w:t>These analyses demonstrate that the apparent clustering observed in the PCA plot is not driven by microbiological confirmation status or by major demographic or treatment-related variables. Samples are shown for healthy controls, sepsis ICU Day 1, and sepsis ICU Day 3.</w:t>
      </w:r>
    </w:p>
    <w:p w14:paraId="02AD643C" w14:textId="77777777" w:rsidR="00546E60" w:rsidRDefault="00546E60"/>
    <w:p w14:paraId="60A0FDD9" w14:textId="34776FA1" w:rsidR="00546E60" w:rsidRDefault="00546E60"/>
    <w:p w14:paraId="31216FBD" w14:textId="1CB1CBAB" w:rsidR="00546E60" w:rsidRDefault="00546E60">
      <w:pPr>
        <w:rPr>
          <w:rFonts w:ascii="Times New Roman" w:hAnsi="Times New Roman" w:cs="Times New Roman"/>
        </w:rPr>
      </w:pPr>
      <w:r>
        <w:rPr>
          <w:rFonts w:ascii="Times New Roman" w:hAnsi="Times New Roman" w:cs="Times New Roman"/>
        </w:rPr>
        <w:lastRenderedPageBreak/>
        <w:t>Supplemental Figure 2:</w:t>
      </w:r>
    </w:p>
    <w:p w14:paraId="2EE683D9" w14:textId="77777777" w:rsidR="005309C5" w:rsidRDefault="005309C5">
      <w:pPr>
        <w:rPr>
          <w:rFonts w:ascii="Times New Roman" w:hAnsi="Times New Roman" w:cs="Times New Roman"/>
        </w:rPr>
      </w:pPr>
    </w:p>
    <w:p w14:paraId="67A8DBF3" w14:textId="7AF8ECA3" w:rsidR="003A1C04" w:rsidRDefault="005309C5" w:rsidP="005309C5">
      <w:pPr>
        <w:jc w:val="center"/>
        <w:rPr>
          <w:rFonts w:ascii="Times New Roman" w:hAnsi="Times New Roman" w:cs="Times New Roman"/>
        </w:rPr>
      </w:pPr>
      <w:r w:rsidRPr="005309C5">
        <w:rPr>
          <w:rFonts w:ascii="Times New Roman" w:hAnsi="Times New Roman" w:cs="Times New Roman"/>
          <w:noProof/>
        </w:rPr>
        <w:drawing>
          <wp:inline distT="0" distB="0" distL="0" distR="0" wp14:anchorId="3A9B25A2" wp14:editId="1AC1342E">
            <wp:extent cx="4791456" cy="4402960"/>
            <wp:effectExtent l="0" t="0" r="0" b="0"/>
            <wp:docPr id="11434991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99172" name="Picture 1" descr="A screenshot of a computer&#10;&#10;AI-generated content may be incorrect."/>
                    <pic:cNvPicPr/>
                  </pic:nvPicPr>
                  <pic:blipFill>
                    <a:blip r:embed="rId5"/>
                    <a:stretch>
                      <a:fillRect/>
                    </a:stretch>
                  </pic:blipFill>
                  <pic:spPr>
                    <a:xfrm>
                      <a:off x="0" y="0"/>
                      <a:ext cx="4800914" cy="4411651"/>
                    </a:xfrm>
                    <a:prstGeom prst="rect">
                      <a:avLst/>
                    </a:prstGeom>
                  </pic:spPr>
                </pic:pic>
              </a:graphicData>
            </a:graphic>
          </wp:inline>
        </w:drawing>
      </w:r>
    </w:p>
    <w:p w14:paraId="279DBAFD" w14:textId="07AED51A" w:rsidR="00BC1F60" w:rsidRPr="00BC1F60" w:rsidRDefault="00BC1F60" w:rsidP="00BC1F60">
      <w:pPr>
        <w:spacing w:after="0" w:line="240" w:lineRule="auto"/>
        <w:jc w:val="both"/>
        <w:outlineLvl w:val="2"/>
        <w:rPr>
          <w:rFonts w:ascii="Times New Roman" w:eastAsia="Times New Roman" w:hAnsi="Times New Roman" w:cs="Times New Roman"/>
          <w:b/>
          <w:bCs/>
          <w:kern w:val="0"/>
          <w14:ligatures w14:val="none"/>
        </w:rPr>
      </w:pPr>
      <w:r w:rsidRPr="00BC1F60">
        <w:rPr>
          <w:rFonts w:ascii="Times New Roman" w:eastAsia="Times New Roman" w:hAnsi="Times New Roman" w:cs="Times New Roman"/>
          <w:b/>
          <w:bCs/>
          <w:kern w:val="0"/>
          <w14:ligatures w14:val="none"/>
        </w:rPr>
        <w:t xml:space="preserve">Supplemental Figure 2. Correlation of temporally dynamic proteins with clinical outcomes in sepsis patients. </w:t>
      </w:r>
      <w:r w:rsidRPr="00BC1F60">
        <w:rPr>
          <w:rFonts w:ascii="Times New Roman" w:eastAsia="Times New Roman" w:hAnsi="Times New Roman" w:cs="Times New Roman"/>
          <w:kern w:val="0"/>
          <w14:ligatures w14:val="none"/>
        </w:rPr>
        <w:t xml:space="preserve">Correlation analyses examining relationships between the five proteins </w:t>
      </w:r>
      <w:r w:rsidR="00346B67">
        <w:rPr>
          <w:rFonts w:ascii="Times New Roman" w:eastAsia="Times New Roman" w:hAnsi="Times New Roman" w:cs="Times New Roman"/>
          <w:kern w:val="0"/>
          <w14:ligatures w14:val="none"/>
        </w:rPr>
        <w:t xml:space="preserve">(y-axis) </w:t>
      </w:r>
      <w:r w:rsidRPr="00BC1F60">
        <w:rPr>
          <w:rFonts w:ascii="Times New Roman" w:eastAsia="Times New Roman" w:hAnsi="Times New Roman" w:cs="Times New Roman"/>
          <w:kern w:val="0"/>
          <w14:ligatures w14:val="none"/>
        </w:rPr>
        <w:t>demonstrating significant temporal changes between ICU Day 1 and Day 3 (ALDH3A1, CR2, CD200R1, IL1RL2, and SAA4) and clinical parameters</w:t>
      </w:r>
      <w:r w:rsidR="00346B67">
        <w:rPr>
          <w:rFonts w:ascii="Times New Roman" w:eastAsia="Times New Roman" w:hAnsi="Times New Roman" w:cs="Times New Roman"/>
          <w:kern w:val="0"/>
          <w14:ligatures w14:val="none"/>
        </w:rPr>
        <w:t xml:space="preserve"> (x-axis)</w:t>
      </w:r>
      <w:r w:rsidRPr="00BC1F60">
        <w:rPr>
          <w:rFonts w:ascii="Times New Roman" w:eastAsia="Times New Roman" w:hAnsi="Times New Roman" w:cs="Times New Roman"/>
          <w:kern w:val="0"/>
          <w14:ligatures w14:val="none"/>
        </w:rPr>
        <w:t xml:space="preserve">. Associations were evaluated using </w:t>
      </w:r>
      <w:r>
        <w:rPr>
          <w:rFonts w:ascii="Times New Roman" w:eastAsia="Times New Roman" w:hAnsi="Times New Roman" w:cs="Times New Roman"/>
          <w:kern w:val="0"/>
          <w14:ligatures w14:val="none"/>
        </w:rPr>
        <w:t>Pearson</w:t>
      </w:r>
      <w:r w:rsidRPr="00BC1F60">
        <w:rPr>
          <w:rFonts w:ascii="Times New Roman" w:eastAsia="Times New Roman" w:hAnsi="Times New Roman" w:cs="Times New Roman"/>
          <w:kern w:val="0"/>
          <w14:ligatures w14:val="none"/>
        </w:rPr>
        <w:t xml:space="preserve"> correlation with clinical variables including SOFA score, MODS score, vasopressor use, and other markers of organ dysfunction. SAA4 demonstrated a significant inverse correlation with vasoactive medication use, while IL1RL2 was significantly correlated with SOFA scores on ICU Day 3. The remaining proteins did not demonstrate significant associations with the evaluated clinical parameters. </w:t>
      </w:r>
    </w:p>
    <w:p w14:paraId="436FD59B" w14:textId="77777777" w:rsidR="00BC1F60" w:rsidRPr="00546E60" w:rsidRDefault="00BC1F60" w:rsidP="00BC1F60">
      <w:pPr>
        <w:rPr>
          <w:rFonts w:ascii="Times New Roman" w:hAnsi="Times New Roman" w:cs="Times New Roman"/>
        </w:rPr>
      </w:pPr>
    </w:p>
    <w:sectPr w:rsidR="00BC1F60" w:rsidRPr="00546E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60"/>
    <w:rsid w:val="00073516"/>
    <w:rsid w:val="000A3F51"/>
    <w:rsid w:val="000B4AC1"/>
    <w:rsid w:val="000F1245"/>
    <w:rsid w:val="00114000"/>
    <w:rsid w:val="00114DC3"/>
    <w:rsid w:val="00145FE0"/>
    <w:rsid w:val="00156C7D"/>
    <w:rsid w:val="00165DDC"/>
    <w:rsid w:val="001B7472"/>
    <w:rsid w:val="001D3635"/>
    <w:rsid w:val="001F27D1"/>
    <w:rsid w:val="001F319D"/>
    <w:rsid w:val="001F35ED"/>
    <w:rsid w:val="00200E92"/>
    <w:rsid w:val="00205AE3"/>
    <w:rsid w:val="00206CDA"/>
    <w:rsid w:val="00224BEC"/>
    <w:rsid w:val="0024071A"/>
    <w:rsid w:val="002413E2"/>
    <w:rsid w:val="002544A2"/>
    <w:rsid w:val="0025632F"/>
    <w:rsid w:val="00261296"/>
    <w:rsid w:val="00262D88"/>
    <w:rsid w:val="002727BF"/>
    <w:rsid w:val="00277F44"/>
    <w:rsid w:val="00280BC8"/>
    <w:rsid w:val="00285754"/>
    <w:rsid w:val="002908DD"/>
    <w:rsid w:val="002A030F"/>
    <w:rsid w:val="002B1FF4"/>
    <w:rsid w:val="002C0C84"/>
    <w:rsid w:val="002D0F18"/>
    <w:rsid w:val="002F3F46"/>
    <w:rsid w:val="002F6301"/>
    <w:rsid w:val="00303D08"/>
    <w:rsid w:val="00311E30"/>
    <w:rsid w:val="00322C67"/>
    <w:rsid w:val="00324917"/>
    <w:rsid w:val="00346B67"/>
    <w:rsid w:val="00361ECE"/>
    <w:rsid w:val="003A1C04"/>
    <w:rsid w:val="003A4FF9"/>
    <w:rsid w:val="003D36B1"/>
    <w:rsid w:val="003E3D5F"/>
    <w:rsid w:val="003E417B"/>
    <w:rsid w:val="003F67EE"/>
    <w:rsid w:val="00431913"/>
    <w:rsid w:val="00447E2A"/>
    <w:rsid w:val="00463153"/>
    <w:rsid w:val="004768CD"/>
    <w:rsid w:val="004838D9"/>
    <w:rsid w:val="00492C74"/>
    <w:rsid w:val="004B13A7"/>
    <w:rsid w:val="004B2C35"/>
    <w:rsid w:val="004B4351"/>
    <w:rsid w:val="004B5087"/>
    <w:rsid w:val="004B78FE"/>
    <w:rsid w:val="004D67B1"/>
    <w:rsid w:val="004E15E3"/>
    <w:rsid w:val="004F636B"/>
    <w:rsid w:val="00500999"/>
    <w:rsid w:val="005116BC"/>
    <w:rsid w:val="0051320F"/>
    <w:rsid w:val="005309C5"/>
    <w:rsid w:val="005316D8"/>
    <w:rsid w:val="00534202"/>
    <w:rsid w:val="00546E60"/>
    <w:rsid w:val="005474FB"/>
    <w:rsid w:val="00552BCA"/>
    <w:rsid w:val="00556B1A"/>
    <w:rsid w:val="00571F42"/>
    <w:rsid w:val="00580139"/>
    <w:rsid w:val="00580529"/>
    <w:rsid w:val="0058553A"/>
    <w:rsid w:val="005C12B4"/>
    <w:rsid w:val="005C4D54"/>
    <w:rsid w:val="005E56EA"/>
    <w:rsid w:val="005F6F04"/>
    <w:rsid w:val="005F79CC"/>
    <w:rsid w:val="00613EA5"/>
    <w:rsid w:val="006157F2"/>
    <w:rsid w:val="00626BF9"/>
    <w:rsid w:val="006770A4"/>
    <w:rsid w:val="006862C9"/>
    <w:rsid w:val="006A39D6"/>
    <w:rsid w:val="006C2315"/>
    <w:rsid w:val="006C2EA7"/>
    <w:rsid w:val="006C5E7E"/>
    <w:rsid w:val="006D660F"/>
    <w:rsid w:val="006F75B0"/>
    <w:rsid w:val="0072260C"/>
    <w:rsid w:val="00733299"/>
    <w:rsid w:val="00775566"/>
    <w:rsid w:val="00797488"/>
    <w:rsid w:val="007C4847"/>
    <w:rsid w:val="007F0DDF"/>
    <w:rsid w:val="008100C2"/>
    <w:rsid w:val="00835303"/>
    <w:rsid w:val="00841B24"/>
    <w:rsid w:val="00862609"/>
    <w:rsid w:val="008A197C"/>
    <w:rsid w:val="008B2C98"/>
    <w:rsid w:val="008E3821"/>
    <w:rsid w:val="00922CD6"/>
    <w:rsid w:val="00924A10"/>
    <w:rsid w:val="0094551F"/>
    <w:rsid w:val="009F1DB7"/>
    <w:rsid w:val="00A3025E"/>
    <w:rsid w:val="00A5424F"/>
    <w:rsid w:val="00A73D3D"/>
    <w:rsid w:val="00A74D32"/>
    <w:rsid w:val="00AD0BF4"/>
    <w:rsid w:val="00AE0CEE"/>
    <w:rsid w:val="00B07972"/>
    <w:rsid w:val="00B16373"/>
    <w:rsid w:val="00B35B57"/>
    <w:rsid w:val="00B81CA6"/>
    <w:rsid w:val="00BA5585"/>
    <w:rsid w:val="00BB77C4"/>
    <w:rsid w:val="00BC0E84"/>
    <w:rsid w:val="00BC1F60"/>
    <w:rsid w:val="00BF3023"/>
    <w:rsid w:val="00C11A0C"/>
    <w:rsid w:val="00C12911"/>
    <w:rsid w:val="00C3090E"/>
    <w:rsid w:val="00C42482"/>
    <w:rsid w:val="00C627CD"/>
    <w:rsid w:val="00C8622C"/>
    <w:rsid w:val="00C87474"/>
    <w:rsid w:val="00CA255D"/>
    <w:rsid w:val="00CA6846"/>
    <w:rsid w:val="00CD5D8F"/>
    <w:rsid w:val="00CD676B"/>
    <w:rsid w:val="00CE5D7D"/>
    <w:rsid w:val="00D15057"/>
    <w:rsid w:val="00D41395"/>
    <w:rsid w:val="00D6560E"/>
    <w:rsid w:val="00D96C6B"/>
    <w:rsid w:val="00DA544F"/>
    <w:rsid w:val="00DA6445"/>
    <w:rsid w:val="00DB54E7"/>
    <w:rsid w:val="00DF73CB"/>
    <w:rsid w:val="00E2190C"/>
    <w:rsid w:val="00E2467B"/>
    <w:rsid w:val="00E57C3D"/>
    <w:rsid w:val="00E8655C"/>
    <w:rsid w:val="00EA3C27"/>
    <w:rsid w:val="00EA6683"/>
    <w:rsid w:val="00EE3FF3"/>
    <w:rsid w:val="00EF5E0F"/>
    <w:rsid w:val="00EF75AC"/>
    <w:rsid w:val="00F04E09"/>
    <w:rsid w:val="00F50D7D"/>
    <w:rsid w:val="00F57B2A"/>
    <w:rsid w:val="00F60A6F"/>
    <w:rsid w:val="00F673F9"/>
    <w:rsid w:val="00FA60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67B5FBD"/>
  <w15:chartTrackingRefBased/>
  <w15:docId w15:val="{0BA01167-24F7-2946-8204-634542D3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E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6E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46E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6E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6E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6E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E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E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E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E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6E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46E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6E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6E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6E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E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E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E60"/>
    <w:rPr>
      <w:rFonts w:eastAsiaTheme="majorEastAsia" w:cstheme="majorBidi"/>
      <w:color w:val="272727" w:themeColor="text1" w:themeTint="D8"/>
    </w:rPr>
  </w:style>
  <w:style w:type="paragraph" w:styleId="Title">
    <w:name w:val="Title"/>
    <w:basedOn w:val="Normal"/>
    <w:next w:val="Normal"/>
    <w:link w:val="TitleChar"/>
    <w:uiPriority w:val="10"/>
    <w:qFormat/>
    <w:rsid w:val="00546E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E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E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E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E60"/>
    <w:pPr>
      <w:spacing w:before="160"/>
      <w:jc w:val="center"/>
    </w:pPr>
    <w:rPr>
      <w:i/>
      <w:iCs/>
      <w:color w:val="404040" w:themeColor="text1" w:themeTint="BF"/>
    </w:rPr>
  </w:style>
  <w:style w:type="character" w:customStyle="1" w:styleId="QuoteChar">
    <w:name w:val="Quote Char"/>
    <w:basedOn w:val="DefaultParagraphFont"/>
    <w:link w:val="Quote"/>
    <w:uiPriority w:val="29"/>
    <w:rsid w:val="00546E60"/>
    <w:rPr>
      <w:i/>
      <w:iCs/>
      <w:color w:val="404040" w:themeColor="text1" w:themeTint="BF"/>
    </w:rPr>
  </w:style>
  <w:style w:type="paragraph" w:styleId="ListParagraph">
    <w:name w:val="List Paragraph"/>
    <w:basedOn w:val="Normal"/>
    <w:uiPriority w:val="34"/>
    <w:qFormat/>
    <w:rsid w:val="00546E60"/>
    <w:pPr>
      <w:ind w:left="720"/>
      <w:contextualSpacing/>
    </w:pPr>
  </w:style>
  <w:style w:type="character" w:styleId="IntenseEmphasis">
    <w:name w:val="Intense Emphasis"/>
    <w:basedOn w:val="DefaultParagraphFont"/>
    <w:uiPriority w:val="21"/>
    <w:qFormat/>
    <w:rsid w:val="00546E60"/>
    <w:rPr>
      <w:i/>
      <w:iCs/>
      <w:color w:val="2F5496" w:themeColor="accent1" w:themeShade="BF"/>
    </w:rPr>
  </w:style>
  <w:style w:type="paragraph" w:styleId="IntenseQuote">
    <w:name w:val="Intense Quote"/>
    <w:basedOn w:val="Normal"/>
    <w:next w:val="Normal"/>
    <w:link w:val="IntenseQuoteChar"/>
    <w:uiPriority w:val="30"/>
    <w:qFormat/>
    <w:rsid w:val="00546E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6E60"/>
    <w:rPr>
      <w:i/>
      <w:iCs/>
      <w:color w:val="2F5496" w:themeColor="accent1" w:themeShade="BF"/>
    </w:rPr>
  </w:style>
  <w:style w:type="character" w:styleId="IntenseReference">
    <w:name w:val="Intense Reference"/>
    <w:basedOn w:val="DefaultParagraphFont"/>
    <w:uiPriority w:val="32"/>
    <w:qFormat/>
    <w:rsid w:val="00546E60"/>
    <w:rPr>
      <w:b/>
      <w:bCs/>
      <w:smallCaps/>
      <w:color w:val="2F5496" w:themeColor="accent1" w:themeShade="BF"/>
      <w:spacing w:val="5"/>
    </w:rPr>
  </w:style>
  <w:style w:type="paragraph" w:styleId="NormalWeb">
    <w:name w:val="Normal (Web)"/>
    <w:basedOn w:val="Normal"/>
    <w:uiPriority w:val="99"/>
    <w:semiHidden/>
    <w:unhideWhenUsed/>
    <w:rsid w:val="001F35E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Van Nynatten</dc:creator>
  <cp:keywords/>
  <dc:description/>
  <cp:lastModifiedBy>Logan Van Nynatten</cp:lastModifiedBy>
  <cp:revision>3</cp:revision>
  <dcterms:created xsi:type="dcterms:W3CDTF">2026-03-12T12:09:00Z</dcterms:created>
  <dcterms:modified xsi:type="dcterms:W3CDTF">2026-03-12T23:15:00Z</dcterms:modified>
</cp:coreProperties>
</file>