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A4D" w:rsidRDefault="000E2A4D">
      <w:bookmarkStart w:id="0" w:name="_GoBack"/>
      <w:bookmarkEnd w:id="0"/>
    </w:p>
    <w:p w:rsidR="00A52C14" w:rsidRDefault="00A52C14" w:rsidP="00A52C14">
      <w:pPr>
        <w:spacing w:line="360" w:lineRule="auto"/>
        <w:jc w:val="both"/>
        <w:rPr>
          <w:rFonts w:ascii="Times New Roman" w:hAnsi="Times New Roman" w:cs="Times New Roman"/>
          <w:b/>
          <w:bCs/>
        </w:rPr>
      </w:pP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b/>
          <w:bCs/>
        </w:rPr>
        <w:t>Supplementary Table 1:</w:t>
      </w:r>
      <w:r w:rsidRPr="009347C6">
        <w:rPr>
          <w:rFonts w:ascii="Times New Roman" w:hAnsi="Times New Roman" w:cs="Times New Roman"/>
        </w:rPr>
        <w:t xml:space="preserve"> Detailed information about cases which showed discordance between primary pathology reports and central pathology re-review reports (see also </w:t>
      </w:r>
      <w:r w:rsidRPr="009347C6">
        <w:rPr>
          <w:rFonts w:ascii="Times New Roman" w:hAnsi="Times New Roman" w:cs="Times New Roman"/>
          <w:i/>
          <w:iCs/>
        </w:rPr>
        <w:t>Supplementary Figure 1</w:t>
      </w:r>
      <w:r w:rsidRPr="009347C6">
        <w:rPr>
          <w:rFonts w:ascii="Times New Roman" w:hAnsi="Times New Roman" w:cs="Times New Roman"/>
        </w:rPr>
        <w:t>).</w:t>
      </w:r>
    </w:p>
    <w:tbl>
      <w:tblPr>
        <w:tblStyle w:val="GridTable4-Accent11"/>
        <w:tblW w:w="0" w:type="auto"/>
        <w:tblLook w:val="04A0" w:firstRow="1" w:lastRow="0" w:firstColumn="1" w:lastColumn="0" w:noHBand="0" w:noVBand="1"/>
      </w:tblPr>
      <w:tblGrid>
        <w:gridCol w:w="1838"/>
        <w:gridCol w:w="2835"/>
        <w:gridCol w:w="1134"/>
        <w:gridCol w:w="1134"/>
      </w:tblGrid>
      <w:tr w:rsidR="00A52C14" w:rsidRPr="009347C6" w:rsidTr="00E35D9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A52C14" w:rsidRPr="009347C6" w:rsidRDefault="00A52C14" w:rsidP="00E35D97">
            <w:pPr>
              <w:jc w:val="center"/>
              <w:rPr>
                <w:rFonts w:ascii="Times New Roman" w:hAnsi="Times New Roman" w:cs="Times New Roman"/>
                <w:color w:val="auto"/>
              </w:rPr>
            </w:pPr>
            <w:r w:rsidRPr="009347C6">
              <w:rPr>
                <w:rFonts w:ascii="Times New Roman" w:hAnsi="Times New Roman" w:cs="Times New Roman"/>
                <w:color w:val="auto"/>
              </w:rPr>
              <w:t>Primary diagnosis</w:t>
            </w:r>
          </w:p>
        </w:tc>
        <w:tc>
          <w:tcPr>
            <w:tcW w:w="2835"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347C6">
              <w:rPr>
                <w:rFonts w:ascii="Times New Roman" w:hAnsi="Times New Roman" w:cs="Times New Roman"/>
                <w:color w:val="auto"/>
                <w:sz w:val="20"/>
                <w:szCs w:val="20"/>
              </w:rPr>
              <w:t>Diagnosis after central pathology re-review</w:t>
            </w:r>
          </w:p>
        </w:tc>
        <w:tc>
          <w:tcPr>
            <w:tcW w:w="1134"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347C6">
              <w:rPr>
                <w:rFonts w:ascii="Times New Roman" w:hAnsi="Times New Roman" w:cs="Times New Roman"/>
                <w:i/>
                <w:iCs/>
                <w:color w:val="auto"/>
                <w:sz w:val="20"/>
                <w:szCs w:val="20"/>
              </w:rPr>
              <w:t>n</w:t>
            </w:r>
            <w:r w:rsidRPr="009347C6">
              <w:rPr>
                <w:rFonts w:ascii="Times New Roman" w:hAnsi="Times New Roman" w:cs="Times New Roman"/>
                <w:color w:val="auto"/>
                <w:sz w:val="20"/>
                <w:szCs w:val="20"/>
              </w:rPr>
              <w:t xml:space="preserve"> (%)</w:t>
            </w:r>
          </w:p>
        </w:tc>
        <w:tc>
          <w:tcPr>
            <w:tcW w:w="1134"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347C6">
              <w:rPr>
                <w:rFonts w:ascii="Times New Roman" w:hAnsi="Times New Roman" w:cs="Times New Roman"/>
                <w:color w:val="auto"/>
                <w:sz w:val="20"/>
                <w:szCs w:val="20"/>
              </w:rPr>
              <w:t>Total</w:t>
            </w: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A52C14" w:rsidRPr="009347C6" w:rsidRDefault="00A52C14" w:rsidP="00E35D97">
            <w:pPr>
              <w:jc w:val="center"/>
              <w:rPr>
                <w:rFonts w:ascii="Times New Roman" w:hAnsi="Times New Roman" w:cs="Times New Roman"/>
                <w:b w:val="0"/>
                <w:bCs w:val="0"/>
                <w:sz w:val="20"/>
                <w:szCs w:val="20"/>
              </w:rPr>
            </w:pPr>
            <w:r w:rsidRPr="009347C6">
              <w:rPr>
                <w:rFonts w:ascii="Times New Roman" w:hAnsi="Times New Roman" w:cs="Times New Roman"/>
                <w:sz w:val="20"/>
                <w:szCs w:val="20"/>
              </w:rPr>
              <w:t xml:space="preserve">TaLG </w:t>
            </w:r>
            <w:r w:rsidRPr="009347C6">
              <w:rPr>
                <w:rFonts w:ascii="Times New Roman" w:hAnsi="Times New Roman" w:cs="Times New Roman"/>
                <w:b w:val="0"/>
                <w:bCs w:val="0"/>
                <w:sz w:val="20"/>
                <w:szCs w:val="20"/>
              </w:rPr>
              <w:t>(</w:t>
            </w:r>
            <w:r w:rsidRPr="009347C6">
              <w:rPr>
                <w:rFonts w:ascii="Times New Roman" w:hAnsi="Times New Roman" w:cs="Times New Roman"/>
                <w:b w:val="0"/>
                <w:bCs w:val="0"/>
                <w:i/>
                <w:iCs/>
                <w:sz w:val="20"/>
                <w:szCs w:val="20"/>
              </w:rPr>
              <w:t>n</w:t>
            </w:r>
            <w:r w:rsidRPr="009347C6">
              <w:rPr>
                <w:rFonts w:ascii="Times New Roman" w:hAnsi="Times New Roman" w:cs="Times New Roman"/>
                <w:b w:val="0"/>
                <w:bCs w:val="0"/>
                <w:sz w:val="20"/>
                <w:szCs w:val="20"/>
              </w:rPr>
              <w:t>=63)</w:t>
            </w:r>
          </w:p>
        </w:tc>
        <w:tc>
          <w:tcPr>
            <w:tcW w:w="2835" w:type="dxa"/>
            <w:vAlign w:val="center"/>
          </w:tcPr>
          <w:p w:rsidR="00A52C14" w:rsidRPr="009347C6" w:rsidRDefault="00A52C14" w:rsidP="00E35D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Mixed LG + HG</w:t>
            </w:r>
          </w:p>
        </w:tc>
        <w:tc>
          <w:tcPr>
            <w:tcW w:w="1134"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17 (27%)</w:t>
            </w:r>
          </w:p>
        </w:tc>
        <w:tc>
          <w:tcPr>
            <w:tcW w:w="1134"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17 (27%)</w:t>
            </w: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A52C14" w:rsidRPr="009347C6" w:rsidRDefault="00A52C14" w:rsidP="00E35D97">
            <w:pPr>
              <w:jc w:val="center"/>
              <w:rPr>
                <w:rFonts w:ascii="Times New Roman" w:hAnsi="Times New Roman" w:cs="Times New Roman"/>
                <w:sz w:val="20"/>
                <w:szCs w:val="20"/>
              </w:rPr>
            </w:pPr>
            <w:r w:rsidRPr="009347C6">
              <w:rPr>
                <w:rFonts w:ascii="Times New Roman" w:hAnsi="Times New Roman" w:cs="Times New Roman"/>
                <w:sz w:val="20"/>
                <w:szCs w:val="20"/>
              </w:rPr>
              <w:t xml:space="preserve">TaHG </w:t>
            </w:r>
            <w:r w:rsidRPr="009347C6">
              <w:rPr>
                <w:rFonts w:ascii="Times New Roman" w:hAnsi="Times New Roman" w:cs="Times New Roman"/>
                <w:b w:val="0"/>
                <w:bCs w:val="0"/>
                <w:sz w:val="20"/>
                <w:szCs w:val="20"/>
              </w:rPr>
              <w:t>(</w:t>
            </w:r>
            <w:r w:rsidRPr="009347C6">
              <w:rPr>
                <w:rFonts w:ascii="Times New Roman" w:hAnsi="Times New Roman" w:cs="Times New Roman"/>
                <w:b w:val="0"/>
                <w:bCs w:val="0"/>
                <w:i/>
                <w:iCs/>
                <w:sz w:val="20"/>
                <w:szCs w:val="20"/>
              </w:rPr>
              <w:t>n</w:t>
            </w:r>
            <w:r w:rsidRPr="009347C6">
              <w:rPr>
                <w:rFonts w:ascii="Times New Roman" w:hAnsi="Times New Roman" w:cs="Times New Roman"/>
                <w:b w:val="0"/>
                <w:bCs w:val="0"/>
                <w:sz w:val="20"/>
                <w:szCs w:val="20"/>
              </w:rPr>
              <w:t>=41)</w:t>
            </w:r>
          </w:p>
        </w:tc>
        <w:tc>
          <w:tcPr>
            <w:tcW w:w="2835" w:type="dxa"/>
            <w:vAlign w:val="center"/>
          </w:tcPr>
          <w:p w:rsidR="00A52C14" w:rsidRPr="009347C6" w:rsidRDefault="00A52C14" w:rsidP="00E35D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TaLG with low tumor load</w:t>
            </w:r>
          </w:p>
        </w:tc>
        <w:tc>
          <w:tcPr>
            <w:tcW w:w="1134"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 (17%)</w:t>
            </w:r>
          </w:p>
        </w:tc>
        <w:tc>
          <w:tcPr>
            <w:tcW w:w="1134" w:type="dxa"/>
            <w:vMerge w:val="restart"/>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12 (29.2%)</w:t>
            </w: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2C14" w:rsidRPr="009347C6" w:rsidRDefault="00A52C14" w:rsidP="00E35D97">
            <w:pPr>
              <w:jc w:val="center"/>
              <w:rPr>
                <w:rFonts w:ascii="Times New Roman" w:hAnsi="Times New Roman" w:cs="Times New Roman"/>
                <w:sz w:val="20"/>
                <w:szCs w:val="20"/>
              </w:rPr>
            </w:pPr>
          </w:p>
        </w:tc>
        <w:tc>
          <w:tcPr>
            <w:tcW w:w="2835" w:type="dxa"/>
            <w:shd w:val="clear" w:color="auto" w:fill="auto"/>
            <w:vAlign w:val="center"/>
          </w:tcPr>
          <w:p w:rsidR="00A52C14" w:rsidRPr="009347C6" w:rsidRDefault="00A52C14" w:rsidP="00E35D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TaLG with high tumor load</w:t>
            </w:r>
          </w:p>
        </w:tc>
        <w:tc>
          <w:tcPr>
            <w:tcW w:w="1134" w:type="dxa"/>
            <w:shd w:val="clear" w:color="auto" w:fill="auto"/>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 (7.3%)</w:t>
            </w:r>
          </w:p>
        </w:tc>
        <w:tc>
          <w:tcPr>
            <w:tcW w:w="1134" w:type="dxa"/>
            <w:vMerge/>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2C14" w:rsidRPr="009347C6" w:rsidRDefault="00A52C14" w:rsidP="00E35D97">
            <w:pPr>
              <w:jc w:val="center"/>
              <w:rPr>
                <w:rFonts w:ascii="Times New Roman" w:hAnsi="Times New Roman" w:cs="Times New Roman"/>
                <w:sz w:val="20"/>
                <w:szCs w:val="20"/>
              </w:rPr>
            </w:pPr>
          </w:p>
        </w:tc>
        <w:tc>
          <w:tcPr>
            <w:tcW w:w="2835" w:type="dxa"/>
            <w:vAlign w:val="center"/>
          </w:tcPr>
          <w:p w:rsidR="00A52C14" w:rsidRPr="009347C6" w:rsidRDefault="00A52C14" w:rsidP="00E35D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Only Tis</w:t>
            </w:r>
          </w:p>
        </w:tc>
        <w:tc>
          <w:tcPr>
            <w:tcW w:w="1134"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 (4.9%)</w:t>
            </w:r>
          </w:p>
        </w:tc>
        <w:tc>
          <w:tcPr>
            <w:tcW w:w="1134" w:type="dxa"/>
            <w:vMerge/>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A52C14" w:rsidRPr="009347C6" w:rsidRDefault="00A52C14" w:rsidP="00E35D97">
            <w:pPr>
              <w:jc w:val="center"/>
              <w:rPr>
                <w:rFonts w:ascii="Times New Roman" w:hAnsi="Times New Roman" w:cs="Times New Roman"/>
                <w:sz w:val="20"/>
                <w:szCs w:val="20"/>
              </w:rPr>
            </w:pPr>
            <w:r w:rsidRPr="009347C6">
              <w:rPr>
                <w:rFonts w:ascii="Times New Roman" w:hAnsi="Times New Roman" w:cs="Times New Roman"/>
                <w:sz w:val="20"/>
                <w:szCs w:val="20"/>
              </w:rPr>
              <w:t xml:space="preserve">T1HG </w:t>
            </w:r>
            <w:r w:rsidRPr="009347C6">
              <w:rPr>
                <w:rFonts w:ascii="Times New Roman" w:hAnsi="Times New Roman" w:cs="Times New Roman"/>
                <w:b w:val="0"/>
                <w:bCs w:val="0"/>
                <w:sz w:val="20"/>
                <w:szCs w:val="20"/>
              </w:rPr>
              <w:t>(</w:t>
            </w:r>
            <w:r w:rsidRPr="009347C6">
              <w:rPr>
                <w:rFonts w:ascii="Times New Roman" w:hAnsi="Times New Roman" w:cs="Times New Roman"/>
                <w:b w:val="0"/>
                <w:bCs w:val="0"/>
                <w:i/>
                <w:iCs/>
                <w:sz w:val="20"/>
                <w:szCs w:val="20"/>
              </w:rPr>
              <w:t>n</w:t>
            </w:r>
            <w:r w:rsidRPr="009347C6">
              <w:rPr>
                <w:rFonts w:ascii="Times New Roman" w:hAnsi="Times New Roman" w:cs="Times New Roman"/>
                <w:b w:val="0"/>
                <w:bCs w:val="0"/>
                <w:sz w:val="20"/>
                <w:szCs w:val="20"/>
              </w:rPr>
              <w:t>=139)</w:t>
            </w:r>
          </w:p>
        </w:tc>
        <w:tc>
          <w:tcPr>
            <w:tcW w:w="2835" w:type="dxa"/>
            <w:vAlign w:val="center"/>
          </w:tcPr>
          <w:p w:rsidR="00A52C14" w:rsidRPr="009347C6" w:rsidRDefault="00A52C14" w:rsidP="00E35D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TaLG with low tumor load</w:t>
            </w:r>
          </w:p>
        </w:tc>
        <w:tc>
          <w:tcPr>
            <w:tcW w:w="1134"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 (1.4%)</w:t>
            </w:r>
          </w:p>
        </w:tc>
        <w:tc>
          <w:tcPr>
            <w:tcW w:w="1134" w:type="dxa"/>
            <w:vMerge w:val="restart"/>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61 (43.9%)</w:t>
            </w: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2C14" w:rsidRPr="009347C6" w:rsidRDefault="00A52C14" w:rsidP="00E35D97">
            <w:pPr>
              <w:jc w:val="center"/>
              <w:rPr>
                <w:rFonts w:ascii="Times New Roman" w:hAnsi="Times New Roman" w:cs="Times New Roman"/>
                <w:sz w:val="20"/>
                <w:szCs w:val="20"/>
              </w:rPr>
            </w:pPr>
          </w:p>
        </w:tc>
        <w:tc>
          <w:tcPr>
            <w:tcW w:w="2835" w:type="dxa"/>
            <w:shd w:val="clear" w:color="auto" w:fill="DBE5F1" w:themeFill="accent1" w:themeFillTint="33"/>
            <w:vAlign w:val="center"/>
          </w:tcPr>
          <w:p w:rsidR="00A52C14" w:rsidRPr="009347C6" w:rsidRDefault="00A52C14" w:rsidP="00E35D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TaHG with low tumor load</w:t>
            </w:r>
          </w:p>
        </w:tc>
        <w:tc>
          <w:tcPr>
            <w:tcW w:w="1134" w:type="dxa"/>
            <w:shd w:val="clear" w:color="auto" w:fill="DBE5F1" w:themeFill="accent1" w:themeFillTint="33"/>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21 (15.1%)</w:t>
            </w:r>
          </w:p>
        </w:tc>
        <w:tc>
          <w:tcPr>
            <w:tcW w:w="1134" w:type="dxa"/>
            <w:vMerge/>
            <w:shd w:val="clear" w:color="auto" w:fill="DBE5F1" w:themeFill="accent1" w:themeFillTint="33"/>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2C14" w:rsidRPr="009347C6" w:rsidRDefault="00A52C14" w:rsidP="00E35D97">
            <w:pPr>
              <w:jc w:val="center"/>
              <w:rPr>
                <w:rFonts w:ascii="Times New Roman" w:hAnsi="Times New Roman" w:cs="Times New Roman"/>
                <w:sz w:val="20"/>
                <w:szCs w:val="20"/>
              </w:rPr>
            </w:pPr>
          </w:p>
        </w:tc>
        <w:tc>
          <w:tcPr>
            <w:tcW w:w="2835" w:type="dxa"/>
            <w:vAlign w:val="center"/>
          </w:tcPr>
          <w:p w:rsidR="00A52C14" w:rsidRPr="009347C6" w:rsidRDefault="00A52C14" w:rsidP="00E35D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TaHG with high tumor load</w:t>
            </w:r>
          </w:p>
        </w:tc>
        <w:tc>
          <w:tcPr>
            <w:tcW w:w="1134"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14 (10.1%)</w:t>
            </w:r>
          </w:p>
        </w:tc>
        <w:tc>
          <w:tcPr>
            <w:tcW w:w="1134" w:type="dxa"/>
            <w:vMerge/>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A52C14" w:rsidRPr="009347C6" w:rsidRDefault="00A52C14" w:rsidP="00E35D97">
            <w:pPr>
              <w:jc w:val="center"/>
              <w:rPr>
                <w:rFonts w:ascii="Times New Roman" w:hAnsi="Times New Roman" w:cs="Times New Roman"/>
                <w:sz w:val="20"/>
                <w:szCs w:val="20"/>
              </w:rPr>
            </w:pPr>
          </w:p>
        </w:tc>
        <w:tc>
          <w:tcPr>
            <w:tcW w:w="2835" w:type="dxa"/>
            <w:shd w:val="clear" w:color="auto" w:fill="DBE5F1" w:themeFill="accent1" w:themeFillTint="33"/>
            <w:vAlign w:val="center"/>
          </w:tcPr>
          <w:p w:rsidR="00A52C14" w:rsidRPr="009347C6" w:rsidRDefault="00A52C14" w:rsidP="00E35D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Mixed TaHG + T1HG</w:t>
            </w:r>
          </w:p>
        </w:tc>
        <w:tc>
          <w:tcPr>
            <w:tcW w:w="1134" w:type="dxa"/>
            <w:shd w:val="clear" w:color="auto" w:fill="DBE5F1" w:themeFill="accent1" w:themeFillTint="33"/>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24 (17.3%)</w:t>
            </w:r>
          </w:p>
        </w:tc>
        <w:tc>
          <w:tcPr>
            <w:tcW w:w="1134" w:type="dxa"/>
            <w:vMerge/>
            <w:shd w:val="clear" w:color="auto" w:fill="DBE5F1" w:themeFill="accent1" w:themeFillTint="33"/>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07" w:type="dxa"/>
            <w:gridSpan w:val="3"/>
            <w:shd w:val="clear" w:color="auto" w:fill="auto"/>
            <w:vAlign w:val="center"/>
          </w:tcPr>
          <w:p w:rsidR="00A52C14" w:rsidRPr="009347C6" w:rsidRDefault="00A52C14" w:rsidP="00E35D97">
            <w:pPr>
              <w:jc w:val="center"/>
              <w:rPr>
                <w:rFonts w:ascii="Times New Roman" w:hAnsi="Times New Roman" w:cs="Times New Roman"/>
                <w:sz w:val="20"/>
                <w:szCs w:val="20"/>
              </w:rPr>
            </w:pPr>
            <w:r w:rsidRPr="009347C6">
              <w:rPr>
                <w:rFonts w:ascii="Times New Roman" w:hAnsi="Times New Roman" w:cs="Times New Roman"/>
                <w:sz w:val="20"/>
                <w:szCs w:val="20"/>
              </w:rPr>
              <w:t xml:space="preserve">Total </w:t>
            </w:r>
            <w:r w:rsidRPr="009347C6">
              <w:rPr>
                <w:rFonts w:ascii="Times New Roman" w:hAnsi="Times New Roman" w:cs="Times New Roman"/>
                <w:b w:val="0"/>
                <w:bCs w:val="0"/>
                <w:sz w:val="20"/>
                <w:szCs w:val="20"/>
              </w:rPr>
              <w:t>(</w:t>
            </w:r>
            <w:r w:rsidRPr="009347C6">
              <w:rPr>
                <w:rFonts w:ascii="Times New Roman" w:hAnsi="Times New Roman" w:cs="Times New Roman"/>
                <w:b w:val="0"/>
                <w:bCs w:val="0"/>
                <w:i/>
                <w:iCs/>
                <w:sz w:val="20"/>
                <w:szCs w:val="20"/>
              </w:rPr>
              <w:t>n</w:t>
            </w:r>
            <w:r w:rsidRPr="009347C6">
              <w:rPr>
                <w:rFonts w:ascii="Times New Roman" w:hAnsi="Times New Roman" w:cs="Times New Roman"/>
                <w:b w:val="0"/>
                <w:bCs w:val="0"/>
                <w:sz w:val="20"/>
                <w:szCs w:val="20"/>
              </w:rPr>
              <w:t>=264)</w:t>
            </w:r>
          </w:p>
        </w:tc>
        <w:tc>
          <w:tcPr>
            <w:tcW w:w="1134" w:type="dxa"/>
            <w:shd w:val="clear" w:color="auto" w:fill="auto"/>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90 (34.1%)</w:t>
            </w:r>
          </w:p>
        </w:tc>
      </w:tr>
    </w:tbl>
    <w:p w:rsidR="00A52C14" w:rsidRPr="009347C6" w:rsidRDefault="00A52C14" w:rsidP="00A52C14">
      <w:pPr>
        <w:pStyle w:val="NoSpacing"/>
        <w:spacing w:line="276" w:lineRule="auto"/>
        <w:rPr>
          <w:rFonts w:ascii="Times New Roman" w:hAnsi="Times New Roman" w:cs="Times New Roman"/>
          <w:sz w:val="18"/>
          <w:szCs w:val="18"/>
          <w:lang w:val="en-US"/>
        </w:rPr>
      </w:pPr>
      <w:r w:rsidRPr="009347C6">
        <w:rPr>
          <w:rFonts w:ascii="Times New Roman" w:hAnsi="Times New Roman" w:cs="Times New Roman"/>
          <w:sz w:val="18"/>
          <w:szCs w:val="18"/>
          <w:lang w:val="en-US"/>
        </w:rPr>
        <w:t xml:space="preserve">All values are given as </w:t>
      </w:r>
      <w:r w:rsidRPr="009347C6">
        <w:rPr>
          <w:rFonts w:ascii="Times New Roman" w:hAnsi="Times New Roman" w:cs="Times New Roman"/>
          <w:i/>
          <w:iCs/>
          <w:sz w:val="18"/>
          <w:szCs w:val="18"/>
          <w:lang w:val="en-US"/>
        </w:rPr>
        <w:t>n</w:t>
      </w:r>
      <w:r w:rsidRPr="009347C6">
        <w:rPr>
          <w:rFonts w:ascii="Times New Roman" w:hAnsi="Times New Roman" w:cs="Times New Roman"/>
          <w:sz w:val="18"/>
          <w:szCs w:val="18"/>
          <w:lang w:val="en-US"/>
        </w:rPr>
        <w:t xml:space="preserve"> (%).</w:t>
      </w:r>
    </w:p>
    <w:p w:rsidR="00A52C14" w:rsidRPr="009347C6" w:rsidRDefault="00A52C14" w:rsidP="00A52C14">
      <w:pPr>
        <w:pStyle w:val="NoSpacing"/>
        <w:spacing w:line="276" w:lineRule="auto"/>
        <w:rPr>
          <w:rFonts w:ascii="Times New Roman" w:hAnsi="Times New Roman" w:cs="Times New Roman"/>
          <w:sz w:val="18"/>
          <w:szCs w:val="18"/>
          <w:lang w:val="en-US"/>
        </w:rPr>
      </w:pPr>
    </w:p>
    <w:p w:rsidR="00A52C14" w:rsidRPr="009347C6" w:rsidRDefault="00A52C14" w:rsidP="00A52C14">
      <w:pPr>
        <w:pStyle w:val="NoSpacing"/>
        <w:spacing w:line="276" w:lineRule="auto"/>
        <w:rPr>
          <w:rFonts w:ascii="Times New Roman" w:hAnsi="Times New Roman" w:cs="Times New Roman"/>
          <w:sz w:val="18"/>
          <w:szCs w:val="18"/>
          <w:lang w:val="en-US"/>
        </w:rPr>
      </w:pPr>
      <w:r w:rsidRPr="009347C6">
        <w:rPr>
          <w:rFonts w:ascii="Times New Roman" w:hAnsi="Times New Roman" w:cs="Times New Roman"/>
          <w:sz w:val="18"/>
          <w:szCs w:val="18"/>
          <w:lang w:val="en-US"/>
        </w:rPr>
        <w:t>LG: low grade, HG: High grade.</w:t>
      </w:r>
    </w:p>
    <w:p w:rsidR="00A52C14" w:rsidRPr="009347C6" w:rsidRDefault="00A52C14" w:rsidP="00A52C14">
      <w:pPr>
        <w:rPr>
          <w:rFonts w:ascii="Times New Roman" w:hAnsi="Times New Roman" w:cs="Times New Roman"/>
        </w:rPr>
      </w:pPr>
    </w:p>
    <w:p w:rsidR="00A52C14" w:rsidRPr="009347C6" w:rsidRDefault="00A52C14" w:rsidP="00A52C14">
      <w:pPr>
        <w:rPr>
          <w:rFonts w:ascii="Times New Roman" w:hAnsi="Times New Roman" w:cs="Times New Roman"/>
        </w:rPr>
      </w:pPr>
    </w:p>
    <w:p w:rsidR="00A52C14" w:rsidRPr="009347C6" w:rsidRDefault="00A52C14" w:rsidP="00A52C14">
      <w:pPr>
        <w:rPr>
          <w:rFonts w:ascii="Times New Roman" w:hAnsi="Times New Roman" w:cs="Times New Roman"/>
        </w:rPr>
      </w:pPr>
    </w:p>
    <w:p w:rsidR="00A52C14" w:rsidRPr="009347C6" w:rsidRDefault="00A52C14" w:rsidP="00A52C14">
      <w:pPr>
        <w:spacing w:line="360" w:lineRule="auto"/>
        <w:rPr>
          <w:rFonts w:ascii="Times New Roman" w:hAnsi="Times New Roman" w:cs="Times New Roman"/>
        </w:rPr>
      </w:pPr>
      <w:r w:rsidRPr="009347C6">
        <w:rPr>
          <w:rFonts w:ascii="Times New Roman" w:hAnsi="Times New Roman" w:cs="Times New Roman"/>
          <w:b/>
          <w:bCs/>
        </w:rPr>
        <w:t>Supplementary Table 2:</w:t>
      </w:r>
      <w:r w:rsidRPr="009347C6">
        <w:rPr>
          <w:rFonts w:ascii="Times New Roman" w:hAnsi="Times New Roman" w:cs="Times New Roman"/>
        </w:rPr>
        <w:t xml:space="preserve"> Adjuvant </w:t>
      </w:r>
      <w:proofErr w:type="spellStart"/>
      <w:r w:rsidRPr="009347C6">
        <w:rPr>
          <w:rFonts w:ascii="Times New Roman" w:hAnsi="Times New Roman" w:cs="Times New Roman"/>
        </w:rPr>
        <w:t>intravesical</w:t>
      </w:r>
      <w:proofErr w:type="spellEnd"/>
      <w:r w:rsidRPr="009347C6">
        <w:rPr>
          <w:rFonts w:ascii="Times New Roman" w:hAnsi="Times New Roman" w:cs="Times New Roman"/>
        </w:rPr>
        <w:t xml:space="preserve"> treatment status of BCG-indicated tumors.</w:t>
      </w:r>
    </w:p>
    <w:tbl>
      <w:tblPr>
        <w:tblStyle w:val="GridTable4-Accent11"/>
        <w:tblW w:w="0" w:type="auto"/>
        <w:tblLook w:val="04A0" w:firstRow="1" w:lastRow="0" w:firstColumn="1" w:lastColumn="0" w:noHBand="0" w:noVBand="1"/>
      </w:tblPr>
      <w:tblGrid>
        <w:gridCol w:w="3085"/>
        <w:gridCol w:w="1701"/>
        <w:gridCol w:w="1701"/>
        <w:gridCol w:w="1701"/>
        <w:gridCol w:w="1701"/>
      </w:tblGrid>
      <w:tr w:rsidR="00A52C14" w:rsidRPr="009347C6" w:rsidTr="00E35D9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jc w:val="center"/>
              <w:rPr>
                <w:rFonts w:ascii="Times New Roman" w:hAnsi="Times New Roman" w:cs="Times New Roman"/>
                <w:color w:val="auto"/>
              </w:rPr>
            </w:pPr>
            <w:r w:rsidRPr="009347C6">
              <w:rPr>
                <w:rFonts w:ascii="Times New Roman" w:hAnsi="Times New Roman" w:cs="Times New Roman"/>
                <w:color w:val="auto"/>
              </w:rPr>
              <w:t>Treatment</w:t>
            </w:r>
          </w:p>
        </w:tc>
        <w:tc>
          <w:tcPr>
            <w:tcW w:w="1701"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347C6">
              <w:rPr>
                <w:rFonts w:ascii="Times New Roman" w:hAnsi="Times New Roman" w:cs="Times New Roman"/>
                <w:color w:val="auto"/>
                <w:sz w:val="20"/>
                <w:szCs w:val="20"/>
              </w:rPr>
              <w:t>T1HG tumors</w:t>
            </w:r>
          </w:p>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347C6">
              <w:rPr>
                <w:rFonts w:ascii="Times New Roman" w:hAnsi="Times New Roman" w:cs="Times New Roman"/>
                <w:color w:val="auto"/>
                <w:sz w:val="20"/>
                <w:szCs w:val="20"/>
              </w:rPr>
              <w:t>n=33</w:t>
            </w:r>
          </w:p>
        </w:tc>
        <w:tc>
          <w:tcPr>
            <w:tcW w:w="1701"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9347C6">
              <w:rPr>
                <w:rFonts w:ascii="Times New Roman" w:hAnsi="Times New Roman" w:cs="Times New Roman"/>
                <w:color w:val="auto"/>
                <w:sz w:val="20"/>
                <w:szCs w:val="20"/>
              </w:rPr>
              <w:t>TaHG tumors</w:t>
            </w:r>
          </w:p>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347C6">
              <w:rPr>
                <w:rFonts w:ascii="Times New Roman" w:hAnsi="Times New Roman" w:cs="Times New Roman"/>
                <w:color w:val="auto"/>
                <w:sz w:val="20"/>
                <w:szCs w:val="20"/>
              </w:rPr>
              <w:t>n=16</w:t>
            </w:r>
          </w:p>
        </w:tc>
        <w:tc>
          <w:tcPr>
            <w:tcW w:w="1701"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9347C6">
              <w:rPr>
                <w:rFonts w:ascii="Times New Roman" w:hAnsi="Times New Roman" w:cs="Times New Roman"/>
                <w:color w:val="auto"/>
                <w:sz w:val="20"/>
                <w:szCs w:val="20"/>
              </w:rPr>
              <w:t>Tis tumors</w:t>
            </w:r>
          </w:p>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347C6">
              <w:rPr>
                <w:rFonts w:ascii="Times New Roman" w:hAnsi="Times New Roman" w:cs="Times New Roman"/>
                <w:color w:val="auto"/>
                <w:sz w:val="20"/>
                <w:szCs w:val="20"/>
              </w:rPr>
              <w:t>n=5</w:t>
            </w:r>
          </w:p>
        </w:tc>
        <w:tc>
          <w:tcPr>
            <w:tcW w:w="1701" w:type="dxa"/>
            <w:vAlign w:val="center"/>
          </w:tcPr>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r w:rsidRPr="009347C6">
              <w:rPr>
                <w:rFonts w:ascii="Times New Roman" w:hAnsi="Times New Roman" w:cs="Times New Roman"/>
                <w:color w:val="auto"/>
                <w:sz w:val="20"/>
                <w:szCs w:val="20"/>
              </w:rPr>
              <w:t>All HR tumors</w:t>
            </w:r>
          </w:p>
          <w:p w:rsidR="00A52C14" w:rsidRPr="009347C6" w:rsidRDefault="00A52C14" w:rsidP="00E35D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347C6">
              <w:rPr>
                <w:rFonts w:ascii="Times New Roman" w:hAnsi="Times New Roman" w:cs="Times New Roman"/>
                <w:color w:val="auto"/>
                <w:sz w:val="20"/>
                <w:szCs w:val="20"/>
              </w:rPr>
              <w:t>n=54</w:t>
            </w: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rPr>
                <w:rFonts w:ascii="Times New Roman" w:hAnsi="Times New Roman" w:cs="Times New Roman"/>
                <w:b w:val="0"/>
                <w:bCs w:val="0"/>
                <w:sz w:val="20"/>
                <w:szCs w:val="20"/>
              </w:rPr>
            </w:pPr>
            <w:r w:rsidRPr="009347C6">
              <w:rPr>
                <w:rFonts w:ascii="Times New Roman" w:hAnsi="Times New Roman" w:cs="Times New Roman"/>
                <w:sz w:val="20"/>
                <w:szCs w:val="20"/>
              </w:rPr>
              <w:t>BCG induction planned</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31</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347C6">
              <w:rPr>
                <w:rFonts w:ascii="Times New Roman" w:hAnsi="Times New Roman" w:cs="Times New Roman"/>
                <w:sz w:val="20"/>
                <w:szCs w:val="20"/>
              </w:rPr>
              <w:t>(93.9%)</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13</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(81.3%)</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(60%)</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47</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(87%)</w:t>
            </w: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rPr>
                <w:rFonts w:ascii="Times New Roman" w:hAnsi="Times New Roman" w:cs="Times New Roman"/>
                <w:sz w:val="20"/>
                <w:szCs w:val="20"/>
              </w:rPr>
            </w:pPr>
            <w:r w:rsidRPr="009347C6">
              <w:rPr>
                <w:rFonts w:ascii="Times New Roman" w:hAnsi="Times New Roman" w:cs="Times New Roman"/>
                <w:sz w:val="20"/>
                <w:szCs w:val="20"/>
              </w:rPr>
              <w:t>BCG induction received</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26</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(78.8%)</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12</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(75%)</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(60%)</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41</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(75.9%)</w:t>
            </w: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rPr>
                <w:rFonts w:ascii="Times New Roman" w:hAnsi="Times New Roman" w:cs="Times New Roman"/>
                <w:sz w:val="20"/>
                <w:szCs w:val="20"/>
              </w:rPr>
            </w:pPr>
            <w:r w:rsidRPr="009347C6">
              <w:rPr>
                <w:rFonts w:ascii="Times New Roman" w:hAnsi="Times New Roman" w:cs="Times New Roman"/>
                <w:sz w:val="20"/>
                <w:szCs w:val="20"/>
              </w:rPr>
              <w:t>Adequate BCG induction</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26</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(78.8%)</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11</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(68.5%)</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(76.3%)</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40</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(74%)</w:t>
            </w: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rPr>
                <w:rFonts w:ascii="Times New Roman" w:hAnsi="Times New Roman" w:cs="Times New Roman"/>
                <w:sz w:val="20"/>
                <w:szCs w:val="20"/>
              </w:rPr>
            </w:pPr>
            <w:r w:rsidRPr="009347C6">
              <w:rPr>
                <w:rFonts w:ascii="Times New Roman" w:hAnsi="Times New Roman" w:cs="Times New Roman"/>
                <w:sz w:val="20"/>
                <w:szCs w:val="20"/>
              </w:rPr>
              <w:t>BCG maintenance planned</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23</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(69.7%)</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11</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(68.5%)</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0</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(60%)</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34</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(63%)</w:t>
            </w:r>
          </w:p>
        </w:tc>
      </w:tr>
      <w:tr w:rsidR="00A52C14" w:rsidRPr="009347C6" w:rsidTr="00E35D9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rPr>
                <w:rFonts w:ascii="Times New Roman" w:hAnsi="Times New Roman" w:cs="Times New Roman"/>
                <w:sz w:val="20"/>
                <w:szCs w:val="20"/>
              </w:rPr>
            </w:pPr>
            <w:r w:rsidRPr="009347C6">
              <w:rPr>
                <w:rFonts w:ascii="Times New Roman" w:hAnsi="Times New Roman" w:cs="Times New Roman"/>
                <w:sz w:val="20"/>
                <w:szCs w:val="20"/>
              </w:rPr>
              <w:t>BCG maintenance received</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22</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(66.6%)</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10</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(62.5%)</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0</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(0%)</w:t>
            </w:r>
          </w:p>
        </w:tc>
        <w:tc>
          <w:tcPr>
            <w:tcW w:w="1701" w:type="dxa"/>
            <w:vAlign w:val="center"/>
          </w:tcPr>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32</w:t>
            </w:r>
          </w:p>
          <w:p w:rsidR="00A52C14" w:rsidRPr="009347C6" w:rsidRDefault="00A52C14" w:rsidP="00E35D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(59.3%)</w:t>
            </w:r>
          </w:p>
        </w:tc>
      </w:tr>
      <w:tr w:rsidR="00A52C14" w:rsidRPr="009347C6" w:rsidTr="00E35D97">
        <w:trPr>
          <w:trHeight w:val="510"/>
        </w:trPr>
        <w:tc>
          <w:tcPr>
            <w:cnfStyle w:val="001000000000" w:firstRow="0" w:lastRow="0" w:firstColumn="1" w:lastColumn="0" w:oddVBand="0" w:evenVBand="0" w:oddHBand="0" w:evenHBand="0" w:firstRowFirstColumn="0" w:firstRowLastColumn="0" w:lastRowFirstColumn="0" w:lastRowLastColumn="0"/>
            <w:tcW w:w="3085" w:type="dxa"/>
            <w:vAlign w:val="center"/>
          </w:tcPr>
          <w:p w:rsidR="00A52C14" w:rsidRPr="009347C6" w:rsidRDefault="00A52C14" w:rsidP="00E35D97">
            <w:pPr>
              <w:rPr>
                <w:rFonts w:ascii="Times New Roman" w:hAnsi="Times New Roman" w:cs="Times New Roman"/>
                <w:sz w:val="20"/>
                <w:szCs w:val="20"/>
              </w:rPr>
            </w:pPr>
            <w:r w:rsidRPr="009347C6">
              <w:rPr>
                <w:rFonts w:ascii="Times New Roman" w:hAnsi="Times New Roman" w:cs="Times New Roman"/>
                <w:sz w:val="20"/>
                <w:szCs w:val="20"/>
              </w:rPr>
              <w:t>Adequate BCG maintenance</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21</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(63.6%)</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10</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(62.5%)</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0</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(0%)</w:t>
            </w:r>
          </w:p>
        </w:tc>
        <w:tc>
          <w:tcPr>
            <w:tcW w:w="1701" w:type="dxa"/>
            <w:vAlign w:val="center"/>
          </w:tcPr>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31</w:t>
            </w:r>
          </w:p>
          <w:p w:rsidR="00A52C14" w:rsidRPr="009347C6" w:rsidRDefault="00A52C14" w:rsidP="00E35D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347C6">
              <w:rPr>
                <w:rFonts w:ascii="Times New Roman" w:hAnsi="Times New Roman" w:cs="Times New Roman"/>
                <w:sz w:val="20"/>
                <w:szCs w:val="20"/>
              </w:rPr>
              <w:t>(57.4%)</w:t>
            </w:r>
          </w:p>
        </w:tc>
      </w:tr>
    </w:tbl>
    <w:p w:rsidR="00A52C14" w:rsidRPr="009347C6" w:rsidRDefault="00A52C14" w:rsidP="00A52C14">
      <w:pPr>
        <w:pStyle w:val="NoSpacing"/>
        <w:spacing w:line="276" w:lineRule="auto"/>
        <w:rPr>
          <w:rFonts w:ascii="Times New Roman" w:hAnsi="Times New Roman" w:cs="Times New Roman"/>
          <w:sz w:val="18"/>
          <w:szCs w:val="18"/>
          <w:lang w:val="en-US"/>
        </w:rPr>
      </w:pPr>
      <w:r w:rsidRPr="009347C6">
        <w:rPr>
          <w:rFonts w:ascii="Times New Roman" w:hAnsi="Times New Roman" w:cs="Times New Roman"/>
          <w:sz w:val="18"/>
          <w:szCs w:val="18"/>
          <w:lang w:val="en-US"/>
        </w:rPr>
        <w:t xml:space="preserve">All values are given as </w:t>
      </w:r>
      <w:r w:rsidRPr="009347C6">
        <w:rPr>
          <w:rFonts w:ascii="Times New Roman" w:hAnsi="Times New Roman" w:cs="Times New Roman"/>
          <w:i/>
          <w:iCs/>
          <w:sz w:val="18"/>
          <w:szCs w:val="18"/>
          <w:lang w:val="en-US"/>
        </w:rPr>
        <w:t>n</w:t>
      </w:r>
      <w:r w:rsidRPr="009347C6">
        <w:rPr>
          <w:rFonts w:ascii="Times New Roman" w:hAnsi="Times New Roman" w:cs="Times New Roman"/>
          <w:sz w:val="18"/>
          <w:szCs w:val="18"/>
          <w:lang w:val="en-US"/>
        </w:rPr>
        <w:t xml:space="preserve"> (%).</w:t>
      </w:r>
    </w:p>
    <w:p w:rsidR="00A52C14" w:rsidRPr="009347C6" w:rsidRDefault="00A52C14" w:rsidP="00A52C14">
      <w:pPr>
        <w:pStyle w:val="NoSpacing"/>
        <w:spacing w:line="276" w:lineRule="auto"/>
        <w:rPr>
          <w:rFonts w:ascii="Times New Roman" w:hAnsi="Times New Roman" w:cs="Times New Roman"/>
          <w:sz w:val="18"/>
          <w:szCs w:val="18"/>
          <w:lang w:val="en-US"/>
        </w:rPr>
      </w:pPr>
    </w:p>
    <w:p w:rsidR="00A52C14" w:rsidRDefault="00A52C14" w:rsidP="00A52C14">
      <w:pPr>
        <w:rPr>
          <w:rFonts w:ascii="Times New Roman" w:hAnsi="Times New Roman" w:cs="Times New Roman"/>
          <w:sz w:val="18"/>
          <w:szCs w:val="18"/>
          <w:lang w:val="en-US"/>
        </w:rPr>
      </w:pPr>
      <w:r w:rsidRPr="009347C6">
        <w:rPr>
          <w:rFonts w:ascii="Times New Roman" w:hAnsi="Times New Roman" w:cs="Times New Roman"/>
          <w:sz w:val="18"/>
          <w:szCs w:val="18"/>
          <w:lang w:val="en-US"/>
        </w:rPr>
        <w:t xml:space="preserve">BCG: Bacillus </w:t>
      </w:r>
      <w:proofErr w:type="spellStart"/>
      <w:r w:rsidRPr="009347C6">
        <w:rPr>
          <w:rFonts w:ascii="Times New Roman" w:hAnsi="Times New Roman" w:cs="Times New Roman"/>
          <w:sz w:val="18"/>
          <w:szCs w:val="18"/>
          <w:lang w:val="en-US"/>
        </w:rPr>
        <w:t>Calmette-Guérin</w:t>
      </w:r>
      <w:proofErr w:type="spellEnd"/>
      <w:r w:rsidRPr="009347C6">
        <w:rPr>
          <w:rFonts w:ascii="Times New Roman" w:hAnsi="Times New Roman" w:cs="Times New Roman"/>
          <w:sz w:val="18"/>
          <w:szCs w:val="18"/>
          <w:lang w:val="en-US"/>
        </w:rPr>
        <w:t>, HG: High grade, HR: High-risk.</w:t>
      </w:r>
    </w:p>
    <w:p w:rsidR="00A52C14" w:rsidRDefault="00A52C14" w:rsidP="00A52C14">
      <w:pPr>
        <w:rPr>
          <w:rFonts w:ascii="Times New Roman" w:hAnsi="Times New Roman" w:cs="Times New Roman"/>
          <w:sz w:val="18"/>
          <w:szCs w:val="18"/>
          <w:lang w:val="en-US"/>
        </w:rPr>
      </w:pPr>
    </w:p>
    <w:p w:rsidR="00A52C14" w:rsidRDefault="00A52C14" w:rsidP="00A52C14">
      <w:pPr>
        <w:rPr>
          <w:rFonts w:ascii="Times New Roman" w:hAnsi="Times New Roman" w:cs="Times New Roman"/>
          <w:sz w:val="18"/>
          <w:szCs w:val="18"/>
          <w:lang w:val="en-US"/>
        </w:rPr>
      </w:pP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b/>
          <w:bCs/>
          <w:i/>
          <w:iCs/>
        </w:rPr>
        <w:t>Supplementary Figure 1:</w:t>
      </w:r>
      <w:r w:rsidRPr="009347C6">
        <w:rPr>
          <w:rFonts w:ascii="Times New Roman" w:hAnsi="Times New Roman" w:cs="Times New Roman"/>
        </w:rPr>
        <w:t xml:space="preserve"> The flowchart of patient selection and inclusion. </w:t>
      </w:r>
      <w:r w:rsidRPr="009347C6">
        <w:rPr>
          <w:rFonts w:ascii="Times New Roman" w:hAnsi="Times New Roman" w:cs="Times New Roman"/>
          <w:b/>
          <w:bCs/>
        </w:rPr>
        <w:t>A)</w:t>
      </w:r>
      <w:r w:rsidRPr="009347C6">
        <w:rPr>
          <w:rFonts w:ascii="Times New Roman" w:hAnsi="Times New Roman" w:cs="Times New Roman"/>
        </w:rPr>
        <w:t xml:space="preserve"> Study cohort selection, </w:t>
      </w:r>
      <w:r w:rsidRPr="009347C6">
        <w:rPr>
          <w:rFonts w:ascii="Times New Roman" w:hAnsi="Times New Roman" w:cs="Times New Roman"/>
          <w:b/>
          <w:bCs/>
        </w:rPr>
        <w:t>B)</w:t>
      </w:r>
      <w:r w:rsidRPr="009347C6">
        <w:rPr>
          <w:rFonts w:ascii="Times New Roman" w:hAnsi="Times New Roman" w:cs="Times New Roman"/>
        </w:rPr>
        <w:t xml:space="preserve"> Subgroup reconstruction. Following central pathology re-review, discordance with the original diagnosis was identified in a subset of cases, primarily involving reassignment of tumor stage and/or grade. These discordant cases are indicated in the boxes between the “Screened” and “RNA extracted” steps. Cases with discordant diagnoses and sufficient tumor load (indicated in bold) were reclassified according to central review and included in the appropriate subgroups, whereas cases with insufficient tumor load were excluded from further analysis, irrespective of concordance status.</w:t>
      </w:r>
    </w:p>
    <w:p w:rsidR="00A52C14" w:rsidRDefault="00A52C14" w:rsidP="00A52C14">
      <w:pPr>
        <w:rPr>
          <w:rFonts w:ascii="Times New Roman" w:hAnsi="Times New Roman" w:cs="Times New Roman"/>
        </w:rPr>
      </w:pPr>
      <w:r w:rsidRPr="009347C6">
        <w:rPr>
          <w:rFonts w:ascii="Times New Roman" w:hAnsi="Times New Roman" w:cs="Times New Roman"/>
          <w:noProof/>
          <w:lang w:val="en-US"/>
          <w14:ligatures w14:val="standardContextual"/>
        </w:rPr>
        <w:lastRenderedPageBreak/>
        <w:drawing>
          <wp:inline distT="0" distB="0" distL="0" distR="0" wp14:anchorId="0C5B6AB8" wp14:editId="2A19C254">
            <wp:extent cx="8728084" cy="5694630"/>
            <wp:effectExtent l="0" t="0" r="0" b="0"/>
            <wp:docPr id="1522221391" name="Picture 4" descr="A screen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21391" name="Picture 4" descr="A screenshot of a computer  AI-generated content may be incorrect."/>
                    <pic:cNvPicPr/>
                  </pic:nvPicPr>
                  <pic:blipFill rotWithShape="1">
                    <a:blip r:embed="rId6" cstate="print">
                      <a:extLst>
                        <a:ext uri="{28A0092B-C50C-407E-A947-70E740481C1C}">
                          <a14:useLocalDpi xmlns:a14="http://schemas.microsoft.com/office/drawing/2010/main" val="0"/>
                        </a:ext>
                      </a:extLst>
                    </a:blip>
                    <a:srcRect r="13768"/>
                    <a:stretch>
                      <a:fillRect/>
                    </a:stretch>
                  </pic:blipFill>
                  <pic:spPr bwMode="auto">
                    <a:xfrm>
                      <a:off x="0" y="0"/>
                      <a:ext cx="8779080" cy="5727902"/>
                    </a:xfrm>
                    <a:prstGeom prst="rect">
                      <a:avLst/>
                    </a:prstGeom>
                    <a:ln>
                      <a:noFill/>
                    </a:ln>
                    <a:extLst>
                      <a:ext uri="{53640926-AAD7-44D8-BBD7-CCE9431645EC}">
                        <a14:shadowObscured xmlns:a14="http://schemas.microsoft.com/office/drawing/2010/main"/>
                      </a:ext>
                    </a:extLst>
                  </pic:spPr>
                </pic:pic>
              </a:graphicData>
            </a:graphic>
          </wp:inline>
        </w:drawing>
      </w:r>
    </w:p>
    <w:p w:rsidR="00A52C14" w:rsidRDefault="00A52C14" w:rsidP="00583B41">
      <w:pPr>
        <w:pStyle w:val="NormalWeb"/>
        <w:rPr>
          <w:noProof/>
        </w:rPr>
      </w:pPr>
    </w:p>
    <w:p w:rsidR="00583B41" w:rsidRDefault="00583B41" w:rsidP="00583B41">
      <w:pPr>
        <w:pStyle w:val="NormalWeb"/>
      </w:pPr>
      <w:r>
        <w:rPr>
          <w:noProof/>
          <w:lang w:val="en-US" w:eastAsia="en-US"/>
        </w:rPr>
        <w:drawing>
          <wp:inline distT="0" distB="0" distL="0" distR="0">
            <wp:extent cx="8668367" cy="3979147"/>
            <wp:effectExtent l="0" t="0" r="0" b="2540"/>
            <wp:docPr id="2" name="Picture 2" descr="C:\Users\e409905\Downloads\1497-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09905\Downloads\1497-figur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8526" cy="3997582"/>
                    </a:xfrm>
                    <a:prstGeom prst="rect">
                      <a:avLst/>
                    </a:prstGeom>
                    <a:noFill/>
                    <a:ln>
                      <a:noFill/>
                    </a:ln>
                  </pic:spPr>
                </pic:pic>
              </a:graphicData>
            </a:graphic>
          </wp:inline>
        </w:drawing>
      </w:r>
    </w:p>
    <w:p w:rsidR="00583B41" w:rsidRPr="009347C6" w:rsidRDefault="00583B41" w:rsidP="00583B41">
      <w:pPr>
        <w:pStyle w:val="NormalWeb"/>
        <w:sectPr w:rsidR="00583B41" w:rsidRPr="009347C6" w:rsidSect="008C1F6E">
          <w:pgSz w:w="16838" w:h="11906" w:orient="landscape"/>
          <w:pgMar w:top="1417" w:right="1417" w:bottom="1417" w:left="1417" w:header="708" w:footer="708" w:gutter="0"/>
          <w:cols w:space="708"/>
          <w:docGrid w:linePitch="360"/>
        </w:sectPr>
      </w:pPr>
    </w:p>
    <w:p w:rsidR="00A52C14" w:rsidRPr="009347C6" w:rsidRDefault="00A52C14" w:rsidP="00A52C14">
      <w:pPr>
        <w:spacing w:line="360" w:lineRule="auto"/>
        <w:jc w:val="both"/>
        <w:rPr>
          <w:rFonts w:ascii="Times New Roman" w:eastAsia="Times New Roman" w:hAnsi="Times New Roman" w:cs="Times New Roman"/>
        </w:rPr>
      </w:pPr>
      <w:r w:rsidRPr="009347C6">
        <w:rPr>
          <w:rFonts w:ascii="Times New Roman" w:hAnsi="Times New Roman" w:cs="Times New Roman"/>
          <w:b/>
          <w:bCs/>
          <w:i/>
          <w:iCs/>
        </w:rPr>
        <w:lastRenderedPageBreak/>
        <w:t>Supplementary Figure 2:</w:t>
      </w:r>
      <w:r w:rsidRPr="009347C6">
        <w:rPr>
          <w:rFonts w:ascii="Times New Roman" w:hAnsi="Times New Roman" w:cs="Times New Roman"/>
        </w:rPr>
        <w:t xml:space="preserve"> Overview of molecular and clinical associations in patients with </w:t>
      </w:r>
      <w:r w:rsidRPr="009347C6">
        <w:rPr>
          <w:rFonts w:ascii="Times New Roman" w:hAnsi="Times New Roman" w:cs="Times New Roman"/>
          <w:b/>
          <w:bCs/>
        </w:rPr>
        <w:t>A)</w:t>
      </w:r>
      <w:r w:rsidRPr="009347C6">
        <w:rPr>
          <w:rFonts w:ascii="Times New Roman" w:hAnsi="Times New Roman" w:cs="Times New Roman"/>
        </w:rPr>
        <w:t xml:space="preserve"> progression, </w:t>
      </w:r>
      <w:r w:rsidRPr="009347C6">
        <w:rPr>
          <w:rFonts w:ascii="Times New Roman" w:hAnsi="Times New Roman" w:cs="Times New Roman"/>
          <w:b/>
          <w:bCs/>
        </w:rPr>
        <w:t>B)</w:t>
      </w:r>
      <w:r w:rsidRPr="009347C6">
        <w:rPr>
          <w:rFonts w:ascii="Times New Roman" w:hAnsi="Times New Roman" w:cs="Times New Roman"/>
        </w:rPr>
        <w:t xml:space="preserve"> recurrence, and </w:t>
      </w:r>
      <w:r w:rsidRPr="009347C6">
        <w:rPr>
          <w:rFonts w:ascii="Times New Roman" w:hAnsi="Times New Roman" w:cs="Times New Roman"/>
          <w:b/>
          <w:bCs/>
        </w:rPr>
        <w:t>C)</w:t>
      </w:r>
      <w:r w:rsidRPr="009347C6">
        <w:rPr>
          <w:rFonts w:ascii="Times New Roman" w:hAnsi="Times New Roman" w:cs="Times New Roman"/>
        </w:rPr>
        <w:t xml:space="preserve"> recurrence or death within two years.</w:t>
      </w:r>
    </w:p>
    <w:p w:rsidR="00A52C14" w:rsidRPr="009347C6" w:rsidRDefault="00A52C14" w:rsidP="00A52C14">
      <w:pPr>
        <w:spacing w:line="360" w:lineRule="auto"/>
        <w:jc w:val="both"/>
        <w:rPr>
          <w:rFonts w:ascii="Times New Roman" w:hAnsi="Times New Roman" w:cs="Times New Roman"/>
        </w:rPr>
      </w:pPr>
      <w:r w:rsidRPr="009347C6">
        <w:rPr>
          <w:rStyle w:val="Strong"/>
          <w:rFonts w:ascii="Times New Roman" w:hAnsi="Times New Roman" w:cs="Times New Roman"/>
          <w:i/>
          <w:iCs/>
        </w:rPr>
        <w:t>Top panels:</w:t>
      </w:r>
      <w:r w:rsidRPr="009347C6">
        <w:rPr>
          <w:rStyle w:val="apple-converted-space"/>
          <w:rFonts w:ascii="Times New Roman" w:hAnsi="Times New Roman" w:cs="Times New Roman"/>
        </w:rPr>
        <w:t xml:space="preserve"> Differentially </w:t>
      </w:r>
      <w:r w:rsidRPr="009347C6">
        <w:rPr>
          <w:rFonts w:ascii="Times New Roman" w:hAnsi="Times New Roman" w:cs="Times New Roman"/>
        </w:rPr>
        <w:t xml:space="preserve">upregulated or downregulated biological hallmark pathways in </w:t>
      </w:r>
      <w:r w:rsidRPr="009347C6">
        <w:rPr>
          <w:rFonts w:ascii="Times New Roman" w:hAnsi="Times New Roman" w:cs="Times New Roman"/>
        </w:rPr>
        <w:sym w:font="Symbol" w:char="F0A3"/>
      </w:r>
      <w:r w:rsidRPr="009347C6">
        <w:rPr>
          <w:rFonts w:ascii="Times New Roman" w:hAnsi="Times New Roman" w:cs="Times New Roman"/>
        </w:rPr>
        <w:t>T1 tumors</w:t>
      </w:r>
      <w:proofErr w:type="gramStart"/>
      <w:r w:rsidRPr="009347C6">
        <w:rPr>
          <w:rFonts w:ascii="Times New Roman" w:hAnsi="Times New Roman" w:cs="Times New Roman"/>
        </w:rPr>
        <w:t>,  identified</w:t>
      </w:r>
      <w:proofErr w:type="gramEnd"/>
      <w:r w:rsidRPr="009347C6">
        <w:rPr>
          <w:rFonts w:ascii="Times New Roman" w:hAnsi="Times New Roman" w:cs="Times New Roman"/>
        </w:rPr>
        <w:t xml:space="preserve"> by gene set enrichment analysis (GSEA) and ranked by normalized enrichment score. Significance is indicated by –</w:t>
      </w:r>
      <w:proofErr w:type="gramStart"/>
      <w:r w:rsidRPr="009347C6">
        <w:rPr>
          <w:rFonts w:ascii="Times New Roman" w:hAnsi="Times New Roman" w:cs="Times New Roman"/>
        </w:rPr>
        <w:t>log₁₀(</w:t>
      </w:r>
      <w:proofErr w:type="gramEnd"/>
      <w:r w:rsidRPr="009347C6">
        <w:rPr>
          <w:rStyle w:val="Emphasis"/>
          <w:rFonts w:ascii="Times New Roman" w:hAnsi="Times New Roman" w:cs="Times New Roman"/>
        </w:rPr>
        <w:t>q</w:t>
      </w:r>
      <w:r w:rsidRPr="009347C6">
        <w:rPr>
          <w:rFonts w:ascii="Times New Roman" w:hAnsi="Times New Roman" w:cs="Times New Roman"/>
        </w:rPr>
        <w:noBreakHyphen/>
        <w:t>value).</w:t>
      </w:r>
    </w:p>
    <w:p w:rsidR="00A52C14" w:rsidRPr="009347C6" w:rsidRDefault="00A52C14" w:rsidP="00A52C14">
      <w:pPr>
        <w:spacing w:line="360" w:lineRule="auto"/>
        <w:jc w:val="both"/>
        <w:rPr>
          <w:rFonts w:ascii="Times New Roman" w:hAnsi="Times New Roman" w:cs="Times New Roman"/>
        </w:rPr>
      </w:pPr>
      <w:r w:rsidRPr="009347C6">
        <w:rPr>
          <w:rStyle w:val="Strong"/>
          <w:rFonts w:ascii="Times New Roman" w:hAnsi="Times New Roman" w:cs="Times New Roman"/>
          <w:i/>
          <w:iCs/>
        </w:rPr>
        <w:t>Middle panels:</w:t>
      </w:r>
      <w:r w:rsidRPr="009347C6">
        <w:rPr>
          <w:rStyle w:val="apple-converted-space"/>
          <w:rFonts w:ascii="Times New Roman" w:hAnsi="Times New Roman" w:cs="Times New Roman"/>
        </w:rPr>
        <w:t> </w:t>
      </w:r>
      <w:r w:rsidRPr="009347C6">
        <w:rPr>
          <w:rFonts w:ascii="Times New Roman" w:hAnsi="Times New Roman" w:cs="Times New Roman"/>
        </w:rPr>
        <w:t xml:space="preserve">Transcriptomic </w:t>
      </w:r>
      <w:proofErr w:type="spellStart"/>
      <w:r w:rsidRPr="009347C6">
        <w:rPr>
          <w:rFonts w:ascii="Times New Roman" w:hAnsi="Times New Roman" w:cs="Times New Roman"/>
        </w:rPr>
        <w:t>subclassification</w:t>
      </w:r>
      <w:proofErr w:type="spellEnd"/>
      <w:r w:rsidRPr="009347C6">
        <w:rPr>
          <w:rFonts w:ascii="Times New Roman" w:hAnsi="Times New Roman" w:cs="Times New Roman"/>
        </w:rPr>
        <w:t xml:space="preserve"> of Ta/Tis and T1 tumors using four molecular frameworks: UROMOL2021, BRS, Lund Taxonomy 2023, and Consensus MIBC subtypes.</w:t>
      </w:r>
      <w:r w:rsidRPr="009347C6">
        <w:rPr>
          <w:rStyle w:val="apple-converted-space"/>
          <w:rFonts w:ascii="Times New Roman" w:hAnsi="Times New Roman" w:cs="Times New Roman"/>
        </w:rPr>
        <w:t> </w:t>
      </w:r>
      <w:proofErr w:type="gramStart"/>
      <w:r w:rsidRPr="009347C6">
        <w:rPr>
          <w:rStyle w:val="Emphasis"/>
          <w:rFonts w:ascii="Times New Roman" w:hAnsi="Times New Roman" w:cs="Times New Roman"/>
        </w:rPr>
        <w:t>q</w:t>
      </w:r>
      <w:r w:rsidRPr="009347C6">
        <w:rPr>
          <w:rFonts w:ascii="Times New Roman" w:hAnsi="Times New Roman" w:cs="Times New Roman"/>
        </w:rPr>
        <w:t>-values</w:t>
      </w:r>
      <w:proofErr w:type="gramEnd"/>
      <w:r w:rsidRPr="009347C6">
        <w:rPr>
          <w:rFonts w:ascii="Times New Roman" w:hAnsi="Times New Roman" w:cs="Times New Roman"/>
        </w:rPr>
        <w:t xml:space="preserve"> are from the chi-square test and </w:t>
      </w:r>
      <w:proofErr w:type="spellStart"/>
      <w:r w:rsidRPr="009347C6">
        <w:rPr>
          <w:rFonts w:ascii="Times New Roman" w:hAnsi="Times New Roman" w:cs="Times New Roman"/>
        </w:rPr>
        <w:t>Benjamini</w:t>
      </w:r>
      <w:proofErr w:type="spellEnd"/>
      <w:r w:rsidRPr="009347C6">
        <w:rPr>
          <w:rFonts w:ascii="Times New Roman" w:hAnsi="Times New Roman" w:cs="Times New Roman"/>
        </w:rPr>
        <w:t>–Hochberg corrected.</w:t>
      </w:r>
    </w:p>
    <w:p w:rsidR="00A52C14" w:rsidRPr="009347C6" w:rsidRDefault="00A52C14" w:rsidP="00A52C14">
      <w:pPr>
        <w:spacing w:line="360" w:lineRule="auto"/>
        <w:jc w:val="both"/>
        <w:rPr>
          <w:rFonts w:ascii="Times New Roman" w:hAnsi="Times New Roman" w:cs="Times New Roman"/>
        </w:rPr>
      </w:pPr>
      <w:r w:rsidRPr="009347C6">
        <w:rPr>
          <w:rStyle w:val="Strong"/>
          <w:rFonts w:ascii="Times New Roman" w:hAnsi="Times New Roman" w:cs="Times New Roman"/>
          <w:i/>
          <w:iCs/>
        </w:rPr>
        <w:t>Bottom panels:</w:t>
      </w:r>
      <w:r w:rsidRPr="009347C6">
        <w:rPr>
          <w:rStyle w:val="apple-converted-space"/>
          <w:rFonts w:ascii="Times New Roman" w:hAnsi="Times New Roman" w:cs="Times New Roman"/>
        </w:rPr>
        <w:t> </w:t>
      </w:r>
      <w:r w:rsidRPr="009347C6">
        <w:rPr>
          <w:rFonts w:ascii="Times New Roman" w:hAnsi="Times New Roman" w:cs="Times New Roman"/>
        </w:rPr>
        <w:t>Kaplan–Meier overall survival (OS) curves for all patients. Log-rank</w:t>
      </w:r>
      <w:r w:rsidRPr="009347C6">
        <w:rPr>
          <w:rStyle w:val="apple-converted-space"/>
          <w:rFonts w:ascii="Times New Roman" w:hAnsi="Times New Roman" w:cs="Times New Roman"/>
        </w:rPr>
        <w:t> </w:t>
      </w:r>
      <w:r w:rsidRPr="009347C6">
        <w:rPr>
          <w:rStyle w:val="Emphasis"/>
          <w:rFonts w:ascii="Times New Roman" w:hAnsi="Times New Roman" w:cs="Times New Roman"/>
        </w:rPr>
        <w:t>p</w:t>
      </w:r>
      <w:r w:rsidRPr="009347C6">
        <w:rPr>
          <w:rFonts w:ascii="Times New Roman" w:hAnsi="Times New Roman" w:cs="Times New Roman"/>
        </w:rPr>
        <w:t>-values are indicated, and numbers at risk are shown below each plot.</w:t>
      </w: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rPr>
          <w:rFonts w:ascii="Times New Roman" w:hAnsi="Times New Roman" w:cs="Times New Roman"/>
        </w:rPr>
      </w:pPr>
      <w:r w:rsidRPr="009347C6">
        <w:rPr>
          <w:rFonts w:ascii="Times New Roman" w:hAnsi="Times New Roman" w:cs="Times New Roman"/>
          <w:noProof/>
          <w:lang w:val="en-US"/>
        </w:rPr>
        <w:drawing>
          <wp:inline distT="0" distB="0" distL="0" distR="0" wp14:anchorId="38EB24FB" wp14:editId="2FF68A20">
            <wp:extent cx="5749925" cy="4330700"/>
            <wp:effectExtent l="0" t="0" r="3175" b="0"/>
            <wp:docPr id="1877524073" name="Picture 6" descr="A close-up of several graph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24073" name="Picture 6" descr="A close-up of several graphs  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49925" cy="4330700"/>
                    </a:xfrm>
                    <a:prstGeom prst="rect">
                      <a:avLst/>
                    </a:prstGeom>
                    <a:noFill/>
                    <a:ln>
                      <a:noFill/>
                    </a:ln>
                  </pic:spPr>
                </pic:pic>
              </a:graphicData>
            </a:graphic>
          </wp:inline>
        </w:drawing>
      </w:r>
      <w:r w:rsidRPr="009347C6">
        <w:rPr>
          <w:rFonts w:ascii="Times New Roman" w:hAnsi="Times New Roman" w:cs="Times New Roman"/>
        </w:rPr>
        <w:t xml:space="preserve"> </w:t>
      </w:r>
    </w:p>
    <w:p w:rsidR="00A52C14" w:rsidRPr="009347C6" w:rsidRDefault="00A52C14" w:rsidP="00A52C14">
      <w:pPr>
        <w:rPr>
          <w:rFonts w:ascii="Times New Roman" w:hAnsi="Times New Roman" w:cs="Times New Roman"/>
        </w:rPr>
      </w:pPr>
      <w:r w:rsidRPr="009347C6">
        <w:rPr>
          <w:rFonts w:ascii="Times New Roman" w:hAnsi="Times New Roman" w:cs="Times New Roman"/>
        </w:rPr>
        <w:br w:type="page"/>
      </w: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b/>
          <w:bCs/>
          <w:i/>
          <w:iCs/>
        </w:rPr>
        <w:lastRenderedPageBreak/>
        <w:t>Supplementary Figure 3</w:t>
      </w:r>
      <w:r w:rsidRPr="009347C6">
        <w:rPr>
          <w:rFonts w:ascii="Times New Roman" w:hAnsi="Times New Roman" w:cs="Times New Roman"/>
          <w:b/>
          <w:bCs/>
        </w:rPr>
        <w:t>:</w:t>
      </w:r>
      <w:r w:rsidRPr="009347C6">
        <w:rPr>
          <w:rFonts w:ascii="Times New Roman" w:hAnsi="Times New Roman" w:cs="Times New Roman"/>
        </w:rPr>
        <w:t xml:space="preserve"> Phenotypic scores were calculated for patients who experienced progression (</w:t>
      </w:r>
      <w:r w:rsidRPr="009347C6">
        <w:rPr>
          <w:rFonts w:ascii="Times New Roman" w:hAnsi="Times New Roman" w:cs="Times New Roman"/>
          <w:i/>
          <w:iCs/>
        </w:rPr>
        <w:t>top left panel</w:t>
      </w:r>
      <w:r w:rsidRPr="009347C6">
        <w:rPr>
          <w:rFonts w:ascii="Times New Roman" w:hAnsi="Times New Roman" w:cs="Times New Roman"/>
        </w:rPr>
        <w:t>), recurrence (</w:t>
      </w:r>
      <w:r w:rsidRPr="009347C6">
        <w:rPr>
          <w:rFonts w:ascii="Times New Roman" w:hAnsi="Times New Roman" w:cs="Times New Roman"/>
          <w:i/>
          <w:iCs/>
        </w:rPr>
        <w:t>middle left panel</w:t>
      </w:r>
      <w:r w:rsidRPr="009347C6">
        <w:rPr>
          <w:rFonts w:ascii="Times New Roman" w:hAnsi="Times New Roman" w:cs="Times New Roman"/>
        </w:rPr>
        <w:t>), and recurrence or death within two years (</w:t>
      </w:r>
      <w:r w:rsidRPr="009347C6">
        <w:rPr>
          <w:rFonts w:ascii="Times New Roman" w:hAnsi="Times New Roman" w:cs="Times New Roman"/>
          <w:i/>
          <w:iCs/>
        </w:rPr>
        <w:t>bottom left panel</w:t>
      </w:r>
      <w:r w:rsidRPr="009347C6">
        <w:rPr>
          <w:rFonts w:ascii="Times New Roman" w:hAnsi="Times New Roman" w:cs="Times New Roman"/>
        </w:rPr>
        <w:t>). A significant difference was detected only for the</w:t>
      </w:r>
      <w:r w:rsidRPr="009347C6">
        <w:rPr>
          <w:rStyle w:val="apple-converted-space"/>
          <w:rFonts w:ascii="Times New Roman" w:hAnsi="Times New Roman" w:cs="Times New Roman"/>
        </w:rPr>
        <w:t> </w:t>
      </w:r>
      <w:r w:rsidRPr="009347C6">
        <w:rPr>
          <w:rStyle w:val="Strong"/>
          <w:rFonts w:ascii="Times New Roman" w:hAnsi="Times New Roman" w:cs="Times New Roman"/>
        </w:rPr>
        <w:t>stromal</w:t>
      </w:r>
      <w:r w:rsidRPr="009347C6">
        <w:rPr>
          <w:rStyle w:val="apple-converted-space"/>
          <w:rFonts w:ascii="Times New Roman" w:hAnsi="Times New Roman" w:cs="Times New Roman"/>
        </w:rPr>
        <w:t> </w:t>
      </w:r>
      <w:r w:rsidRPr="009347C6">
        <w:rPr>
          <w:rFonts w:ascii="Times New Roman" w:hAnsi="Times New Roman" w:cs="Times New Roman"/>
        </w:rPr>
        <w:t>phenotype in the progression cohort (</w:t>
      </w:r>
      <w:r w:rsidRPr="009347C6">
        <w:rPr>
          <w:rFonts w:ascii="Times New Roman" w:hAnsi="Times New Roman" w:cs="Times New Roman"/>
          <w:i/>
          <w:iCs/>
        </w:rPr>
        <w:t>q</w:t>
      </w:r>
      <w:r w:rsidRPr="009347C6">
        <w:rPr>
          <w:rFonts w:ascii="Times New Roman" w:hAnsi="Times New Roman" w:cs="Times New Roman"/>
        </w:rPr>
        <w:t>=0.05). The corresponding immune</w:t>
      </w:r>
      <w:r w:rsidRPr="009347C6">
        <w:rPr>
          <w:rFonts w:ascii="Times New Roman" w:hAnsi="Times New Roman" w:cs="Times New Roman"/>
        </w:rPr>
        <w:noBreakHyphen/>
        <w:t>cell fractions, quantified with</w:t>
      </w:r>
      <w:r w:rsidRPr="009347C6">
        <w:rPr>
          <w:rStyle w:val="apple-converted-space"/>
          <w:rFonts w:ascii="Times New Roman" w:hAnsi="Times New Roman" w:cs="Times New Roman"/>
        </w:rPr>
        <w:t> </w:t>
      </w:r>
      <w:proofErr w:type="spellStart"/>
      <w:r w:rsidRPr="009347C6">
        <w:rPr>
          <w:rStyle w:val="Strong"/>
          <w:rFonts w:ascii="Times New Roman" w:hAnsi="Times New Roman" w:cs="Times New Roman"/>
        </w:rPr>
        <w:t>quanTIseq</w:t>
      </w:r>
      <w:proofErr w:type="spellEnd"/>
      <w:r w:rsidRPr="009347C6">
        <w:rPr>
          <w:rFonts w:ascii="Times New Roman" w:hAnsi="Times New Roman" w:cs="Times New Roman"/>
        </w:rPr>
        <w:t>, are shown in the right panels; none of these comparisons reached statistical significance. Box plots display the median (center line), interquartile range (IQR, box), and 1.5 × IQR whiskers; individual points represent outliers. Reported</w:t>
      </w:r>
      <w:r w:rsidRPr="009347C6">
        <w:rPr>
          <w:rStyle w:val="apple-converted-space"/>
          <w:rFonts w:ascii="Times New Roman" w:hAnsi="Times New Roman" w:cs="Times New Roman"/>
        </w:rPr>
        <w:t> </w:t>
      </w:r>
      <w:r w:rsidRPr="009347C6">
        <w:rPr>
          <w:rStyle w:val="Emphasis"/>
          <w:rFonts w:ascii="Times New Roman" w:hAnsi="Times New Roman" w:cs="Times New Roman"/>
        </w:rPr>
        <w:t>q</w:t>
      </w:r>
      <w:r w:rsidRPr="009347C6">
        <w:rPr>
          <w:rFonts w:ascii="Times New Roman" w:hAnsi="Times New Roman" w:cs="Times New Roman"/>
        </w:rPr>
        <w:noBreakHyphen/>
        <w:t xml:space="preserve">values are </w:t>
      </w:r>
      <w:proofErr w:type="spellStart"/>
      <w:r w:rsidRPr="009347C6">
        <w:rPr>
          <w:rFonts w:ascii="Times New Roman" w:hAnsi="Times New Roman" w:cs="Times New Roman"/>
        </w:rPr>
        <w:t>Benjamini</w:t>
      </w:r>
      <w:proofErr w:type="spellEnd"/>
      <w:r w:rsidRPr="009347C6">
        <w:rPr>
          <w:rFonts w:ascii="Times New Roman" w:hAnsi="Times New Roman" w:cs="Times New Roman"/>
        </w:rPr>
        <w:t>–Hochberg false discovery rate</w:t>
      </w:r>
      <w:r w:rsidRPr="009347C6">
        <w:rPr>
          <w:rFonts w:ascii="Times New Roman" w:hAnsi="Times New Roman" w:cs="Times New Roman"/>
        </w:rPr>
        <w:noBreakHyphen/>
        <w:t>adjusted Wilcoxon rank</w:t>
      </w:r>
      <w:r w:rsidRPr="009347C6">
        <w:rPr>
          <w:rFonts w:ascii="Times New Roman" w:hAnsi="Times New Roman" w:cs="Times New Roman"/>
        </w:rPr>
        <w:noBreakHyphen/>
        <w:t>sum</w:t>
      </w:r>
      <w:r w:rsidRPr="009347C6">
        <w:rPr>
          <w:rStyle w:val="apple-converted-space"/>
          <w:rFonts w:ascii="Times New Roman" w:hAnsi="Times New Roman" w:cs="Times New Roman"/>
        </w:rPr>
        <w:t> </w:t>
      </w:r>
      <w:r w:rsidRPr="009347C6">
        <w:rPr>
          <w:rStyle w:val="Emphasis"/>
          <w:rFonts w:ascii="Times New Roman" w:hAnsi="Times New Roman" w:cs="Times New Roman"/>
        </w:rPr>
        <w:t>p</w:t>
      </w:r>
      <w:r w:rsidRPr="009347C6">
        <w:rPr>
          <w:rFonts w:ascii="Times New Roman" w:hAnsi="Times New Roman" w:cs="Times New Roman"/>
        </w:rPr>
        <w:noBreakHyphen/>
        <w:t>values.</w:t>
      </w: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noProof/>
          <w:lang w:val="en-US"/>
        </w:rPr>
        <w:drawing>
          <wp:inline distT="0" distB="0" distL="0" distR="0" wp14:anchorId="201DB868" wp14:editId="2F382BE6">
            <wp:extent cx="5756910" cy="4520565"/>
            <wp:effectExtent l="0" t="0" r="0" b="0"/>
            <wp:docPr id="11766560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56094"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56910" cy="4520565"/>
                    </a:xfrm>
                    <a:prstGeom prst="rect">
                      <a:avLst/>
                    </a:prstGeom>
                    <a:noFill/>
                    <a:ln>
                      <a:noFill/>
                    </a:ln>
                  </pic:spPr>
                </pic:pic>
              </a:graphicData>
            </a:graphic>
          </wp:inline>
        </w:drawing>
      </w:r>
    </w:p>
    <w:p w:rsidR="00A52C14" w:rsidRPr="009347C6" w:rsidRDefault="00A52C14" w:rsidP="00A52C14">
      <w:pPr>
        <w:rPr>
          <w:rFonts w:ascii="Times New Roman" w:hAnsi="Times New Roman" w:cs="Times New Roman"/>
        </w:rPr>
      </w:pPr>
    </w:p>
    <w:p w:rsidR="00A52C14" w:rsidRPr="009347C6" w:rsidRDefault="00A52C14" w:rsidP="00A52C14">
      <w:pPr>
        <w:rPr>
          <w:rFonts w:ascii="Times New Roman" w:hAnsi="Times New Roman" w:cs="Times New Roman"/>
        </w:rPr>
        <w:sectPr w:rsidR="00A52C14" w:rsidRPr="009347C6" w:rsidSect="008C1F6E">
          <w:pgSz w:w="11906" w:h="16838"/>
          <w:pgMar w:top="1417" w:right="1417" w:bottom="1417" w:left="1417" w:header="708" w:footer="708" w:gutter="0"/>
          <w:cols w:space="708"/>
          <w:docGrid w:linePitch="360"/>
        </w:sectPr>
      </w:pPr>
    </w:p>
    <w:p w:rsidR="00A52C14" w:rsidRPr="009347C6" w:rsidRDefault="00A52C14" w:rsidP="00A52C14">
      <w:pPr>
        <w:spacing w:line="360" w:lineRule="auto"/>
        <w:jc w:val="both"/>
        <w:rPr>
          <w:rFonts w:ascii="Times New Roman" w:hAnsi="Times New Roman" w:cs="Times New Roman"/>
          <w:b/>
          <w:bCs/>
        </w:rPr>
      </w:pPr>
      <w:r w:rsidRPr="009347C6">
        <w:rPr>
          <w:rFonts w:ascii="Times New Roman" w:hAnsi="Times New Roman" w:cs="Times New Roman"/>
          <w:b/>
          <w:bCs/>
          <w:i/>
          <w:iCs/>
        </w:rPr>
        <w:lastRenderedPageBreak/>
        <w:t>Supplementary Figure 4</w:t>
      </w:r>
      <w:r w:rsidRPr="009347C6">
        <w:rPr>
          <w:rFonts w:ascii="Times New Roman" w:hAnsi="Times New Roman" w:cs="Times New Roman"/>
          <w:b/>
          <w:bCs/>
        </w:rPr>
        <w:t>:</w:t>
      </w:r>
    </w:p>
    <w:p w:rsidR="00A52C14" w:rsidRPr="009347C6" w:rsidRDefault="00A52C14" w:rsidP="00A52C14">
      <w:pPr>
        <w:spacing w:line="360" w:lineRule="auto"/>
        <w:jc w:val="both"/>
        <w:rPr>
          <w:rFonts w:ascii="Times New Roman" w:hAnsi="Times New Roman" w:cs="Times New Roman"/>
        </w:rPr>
      </w:pPr>
      <w:r w:rsidRPr="009347C6">
        <w:rPr>
          <w:rStyle w:val="apple-converted-space"/>
          <w:rFonts w:ascii="Times New Roman" w:hAnsi="Times New Roman" w:cs="Times New Roman"/>
        </w:rPr>
        <w:t xml:space="preserve">Left panel: Differentially </w:t>
      </w:r>
      <w:r w:rsidRPr="009347C6">
        <w:rPr>
          <w:rFonts w:ascii="Times New Roman" w:hAnsi="Times New Roman" w:cs="Times New Roman"/>
        </w:rPr>
        <w:t>upregulated or downregulated biological hallmark pathways in tumors with early recurrences (</w:t>
      </w:r>
      <w:r w:rsidRPr="009347C6">
        <w:rPr>
          <w:rFonts w:ascii="Times New Roman" w:hAnsi="Times New Roman" w:cs="Times New Roman"/>
        </w:rPr>
        <w:sym w:font="Symbol" w:char="F0A3"/>
      </w:r>
      <w:r w:rsidRPr="009347C6">
        <w:rPr>
          <w:rFonts w:ascii="Times New Roman" w:hAnsi="Times New Roman" w:cs="Times New Roman"/>
        </w:rPr>
        <w:t>24 months), identified by gene set enrichment analysis (GSEA) and ranked by normalized enrichment score. Significance is indicated by –</w:t>
      </w:r>
      <w:proofErr w:type="gramStart"/>
      <w:r w:rsidRPr="009347C6">
        <w:rPr>
          <w:rFonts w:ascii="Times New Roman" w:hAnsi="Times New Roman" w:cs="Times New Roman"/>
        </w:rPr>
        <w:t>log₁₀(</w:t>
      </w:r>
      <w:proofErr w:type="gramEnd"/>
      <w:r w:rsidRPr="009347C6">
        <w:rPr>
          <w:rStyle w:val="Emphasis"/>
          <w:rFonts w:ascii="Times New Roman" w:hAnsi="Times New Roman" w:cs="Times New Roman"/>
        </w:rPr>
        <w:t>q</w:t>
      </w:r>
      <w:r w:rsidRPr="009347C6">
        <w:rPr>
          <w:rFonts w:ascii="Times New Roman" w:hAnsi="Times New Roman" w:cs="Times New Roman"/>
        </w:rPr>
        <w:noBreakHyphen/>
        <w:t xml:space="preserve">value). </w:t>
      </w: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i/>
          <w:iCs/>
        </w:rPr>
        <w:t>Middle panel:</w:t>
      </w:r>
      <w:r w:rsidRPr="009347C6">
        <w:rPr>
          <w:rFonts w:ascii="Times New Roman" w:hAnsi="Times New Roman" w:cs="Times New Roman"/>
        </w:rPr>
        <w:t xml:space="preserve"> Transcriptomic </w:t>
      </w:r>
      <w:proofErr w:type="spellStart"/>
      <w:r w:rsidRPr="009347C6">
        <w:rPr>
          <w:rFonts w:ascii="Times New Roman" w:hAnsi="Times New Roman" w:cs="Times New Roman"/>
        </w:rPr>
        <w:t>subclassification</w:t>
      </w:r>
      <w:proofErr w:type="spellEnd"/>
      <w:r w:rsidRPr="009347C6">
        <w:rPr>
          <w:rFonts w:ascii="Times New Roman" w:hAnsi="Times New Roman" w:cs="Times New Roman"/>
        </w:rPr>
        <w:t xml:space="preserve"> of tumors with early vs. late recurrence using four molecular frameworks: UROMOL2021, BRS, Lund Taxonomy 2023, and Consensus MIBC subtypes.</w:t>
      </w:r>
      <w:r w:rsidRPr="009347C6">
        <w:rPr>
          <w:rStyle w:val="apple-converted-space"/>
          <w:rFonts w:ascii="Times New Roman" w:hAnsi="Times New Roman" w:cs="Times New Roman"/>
        </w:rPr>
        <w:t> </w:t>
      </w:r>
      <w:proofErr w:type="gramStart"/>
      <w:r w:rsidRPr="009347C6">
        <w:rPr>
          <w:rStyle w:val="Emphasis"/>
          <w:rFonts w:ascii="Times New Roman" w:hAnsi="Times New Roman" w:cs="Times New Roman"/>
        </w:rPr>
        <w:t>q</w:t>
      </w:r>
      <w:r w:rsidRPr="009347C6">
        <w:rPr>
          <w:rFonts w:ascii="Times New Roman" w:hAnsi="Times New Roman" w:cs="Times New Roman"/>
        </w:rPr>
        <w:t>-values</w:t>
      </w:r>
      <w:proofErr w:type="gramEnd"/>
      <w:r w:rsidRPr="009347C6">
        <w:rPr>
          <w:rFonts w:ascii="Times New Roman" w:hAnsi="Times New Roman" w:cs="Times New Roman"/>
        </w:rPr>
        <w:t xml:space="preserve"> are from chi-square test (</w:t>
      </w:r>
      <w:proofErr w:type="spellStart"/>
      <w:r w:rsidRPr="009347C6">
        <w:rPr>
          <w:rFonts w:ascii="Times New Roman" w:hAnsi="Times New Roman" w:cs="Times New Roman"/>
        </w:rPr>
        <w:t>Benjamini</w:t>
      </w:r>
      <w:proofErr w:type="spellEnd"/>
      <w:r w:rsidRPr="009347C6">
        <w:rPr>
          <w:rFonts w:ascii="Times New Roman" w:hAnsi="Times New Roman" w:cs="Times New Roman"/>
        </w:rPr>
        <w:t>–Hochberg corrected).</w:t>
      </w: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i/>
          <w:iCs/>
        </w:rPr>
        <w:t>Right panel:</w:t>
      </w:r>
      <w:r w:rsidRPr="009347C6">
        <w:rPr>
          <w:rFonts w:ascii="Times New Roman" w:hAnsi="Times New Roman" w:cs="Times New Roman"/>
        </w:rPr>
        <w:t xml:space="preserve"> T-stage, EORTC, and CUETO recurrence risks, and age distribution of tumors with early vs. late recurrence.</w:t>
      </w:r>
    </w:p>
    <w:p w:rsidR="00A52C14" w:rsidRPr="009347C6" w:rsidRDefault="00A52C14" w:rsidP="00A52C14">
      <w:pPr>
        <w:spacing w:line="360" w:lineRule="auto"/>
        <w:jc w:val="both"/>
        <w:rPr>
          <w:rFonts w:ascii="Times New Roman" w:hAnsi="Times New Roman" w:cs="Times New Roman"/>
          <w:b/>
          <w:bCs/>
        </w:rPr>
      </w:pPr>
    </w:p>
    <w:p w:rsidR="00A52C14" w:rsidRPr="009347C6" w:rsidRDefault="00A52C14" w:rsidP="00A52C14">
      <w:pPr>
        <w:spacing w:line="360" w:lineRule="auto"/>
        <w:jc w:val="both"/>
        <w:rPr>
          <w:rFonts w:ascii="Times New Roman" w:hAnsi="Times New Roman" w:cs="Times New Roman"/>
          <w:b/>
          <w:bCs/>
        </w:rPr>
      </w:pP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b/>
          <w:bCs/>
          <w:noProof/>
          <w:lang w:val="en-US"/>
        </w:rPr>
        <w:drawing>
          <wp:inline distT="0" distB="0" distL="0" distR="0" wp14:anchorId="18F8E049" wp14:editId="1EC1202C">
            <wp:extent cx="8782306" cy="2692400"/>
            <wp:effectExtent l="0" t="0" r="6350" b="0"/>
            <wp:docPr id="18651376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37633"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60368" cy="2716332"/>
                    </a:xfrm>
                    <a:prstGeom prst="rect">
                      <a:avLst/>
                    </a:prstGeom>
                    <a:noFill/>
                    <a:ln>
                      <a:noFill/>
                    </a:ln>
                  </pic:spPr>
                </pic:pic>
              </a:graphicData>
            </a:graphic>
          </wp:inline>
        </w:drawing>
      </w:r>
    </w:p>
    <w:p w:rsidR="00A52C14" w:rsidRPr="009347C6" w:rsidRDefault="00A52C14" w:rsidP="00A52C14">
      <w:pPr>
        <w:rPr>
          <w:rFonts w:ascii="Times New Roman" w:hAnsi="Times New Roman" w:cs="Times New Roman"/>
          <w:b/>
          <w:bCs/>
          <w:i/>
          <w:iCs/>
        </w:rPr>
      </w:pPr>
      <w:r w:rsidRPr="009347C6">
        <w:rPr>
          <w:rFonts w:ascii="Times New Roman" w:hAnsi="Times New Roman" w:cs="Times New Roman"/>
          <w:b/>
          <w:bCs/>
          <w:i/>
          <w:iCs/>
        </w:rPr>
        <w:lastRenderedPageBreak/>
        <w:br w:type="page"/>
      </w: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b/>
          <w:bCs/>
          <w:i/>
          <w:iCs/>
        </w:rPr>
        <w:lastRenderedPageBreak/>
        <w:t>Supplementary Figure 5:</w:t>
      </w:r>
      <w:r w:rsidRPr="009347C6">
        <w:rPr>
          <w:rFonts w:ascii="Times New Roman" w:hAnsi="Times New Roman" w:cs="Times New Roman"/>
        </w:rPr>
        <w:t xml:space="preserve"> </w:t>
      </w:r>
      <w:r w:rsidRPr="009347C6">
        <w:rPr>
          <w:rFonts w:ascii="Times New Roman" w:hAnsi="Times New Roman" w:cs="Times New Roman"/>
          <w:b/>
          <w:bCs/>
        </w:rPr>
        <w:t>A)</w:t>
      </w:r>
      <w:r w:rsidRPr="009347C6">
        <w:rPr>
          <w:rFonts w:ascii="Times New Roman" w:hAnsi="Times New Roman" w:cs="Times New Roman"/>
        </w:rPr>
        <w:t xml:space="preserve"> </w:t>
      </w:r>
      <w:r w:rsidRPr="009347C6">
        <w:rPr>
          <w:rFonts w:ascii="Times New Roman" w:hAnsi="Times New Roman" w:cs="Times New Roman"/>
          <w:i/>
          <w:iCs/>
        </w:rPr>
        <w:t>FAP</w:t>
      </w:r>
      <w:r w:rsidRPr="009347C6">
        <w:rPr>
          <w:rFonts w:ascii="Times New Roman" w:hAnsi="Times New Roman" w:cs="Times New Roman"/>
        </w:rPr>
        <w:t xml:space="preserve"> expression across tumor stages in the Leuven cohort (</w:t>
      </w:r>
      <w:proofErr w:type="spellStart"/>
      <w:r w:rsidRPr="009347C6">
        <w:rPr>
          <w:rFonts w:ascii="Times New Roman" w:hAnsi="Times New Roman" w:cs="Times New Roman"/>
        </w:rPr>
        <w:t>Kruskal</w:t>
      </w:r>
      <w:proofErr w:type="spellEnd"/>
      <w:r w:rsidRPr="009347C6">
        <w:rPr>
          <w:rFonts w:ascii="Times New Roman" w:hAnsi="Times New Roman" w:cs="Times New Roman"/>
        </w:rPr>
        <w:t xml:space="preserve">–Wallis test). The T2 group consists of 5 patients from the same cohort, as described in </w:t>
      </w:r>
      <w:r w:rsidRPr="009347C6">
        <w:rPr>
          <w:rFonts w:ascii="Times New Roman" w:hAnsi="Times New Roman" w:cs="Times New Roman"/>
          <w:b/>
          <w:bCs/>
          <w:i/>
          <w:iCs/>
        </w:rPr>
        <w:t>Table 1</w:t>
      </w:r>
      <w:r w:rsidRPr="009347C6">
        <w:rPr>
          <w:rFonts w:ascii="Times New Roman" w:hAnsi="Times New Roman" w:cs="Times New Roman"/>
        </w:rPr>
        <w:t>. Sample sizes (</w:t>
      </w:r>
      <w:r w:rsidRPr="009347C6">
        <w:rPr>
          <w:rFonts w:ascii="Times New Roman" w:hAnsi="Times New Roman" w:cs="Times New Roman"/>
          <w:i/>
          <w:iCs/>
        </w:rPr>
        <w:t>n</w:t>
      </w:r>
      <w:r w:rsidRPr="009347C6">
        <w:rPr>
          <w:rFonts w:ascii="Times New Roman" w:hAnsi="Times New Roman" w:cs="Times New Roman"/>
        </w:rPr>
        <w:t xml:space="preserve">) for each group are indicated in the figure explicitly and are also shown as dots for individual samples. </w:t>
      </w:r>
      <w:r w:rsidRPr="009347C6">
        <w:rPr>
          <w:rFonts w:ascii="Times New Roman" w:hAnsi="Times New Roman" w:cs="Times New Roman"/>
          <w:b/>
          <w:bCs/>
        </w:rPr>
        <w:t>B)</w:t>
      </w:r>
      <w:r w:rsidRPr="009347C6">
        <w:rPr>
          <w:rFonts w:ascii="Times New Roman" w:hAnsi="Times New Roman" w:cs="Times New Roman"/>
        </w:rPr>
        <w:t xml:space="preserve"> Comparison of </w:t>
      </w:r>
      <w:r w:rsidRPr="009347C6">
        <w:rPr>
          <w:rFonts w:ascii="Times New Roman" w:hAnsi="Times New Roman" w:cs="Times New Roman"/>
          <w:i/>
          <w:iCs/>
        </w:rPr>
        <w:t>FAP</w:t>
      </w:r>
      <w:r w:rsidRPr="009347C6">
        <w:rPr>
          <w:rFonts w:ascii="Times New Roman" w:hAnsi="Times New Roman" w:cs="Times New Roman"/>
        </w:rPr>
        <w:t xml:space="preserve"> expression in patients with progression, recurrence, recurrence at 24 months cut-off, and death. </w:t>
      </w:r>
      <w:r w:rsidRPr="009347C6">
        <w:rPr>
          <w:rStyle w:val="Emphasis"/>
          <w:rFonts w:ascii="Times New Roman" w:hAnsi="Times New Roman" w:cs="Times New Roman"/>
        </w:rPr>
        <w:t>Q</w:t>
      </w:r>
      <w:r w:rsidRPr="009347C6">
        <w:rPr>
          <w:rFonts w:ascii="Times New Roman" w:hAnsi="Times New Roman" w:cs="Times New Roman"/>
        </w:rPr>
        <w:t xml:space="preserve">-values were adjusted using the </w:t>
      </w:r>
      <w:proofErr w:type="spellStart"/>
      <w:r w:rsidRPr="009347C6">
        <w:rPr>
          <w:rFonts w:ascii="Times New Roman" w:hAnsi="Times New Roman" w:cs="Times New Roman"/>
        </w:rPr>
        <w:t>Benjamini</w:t>
      </w:r>
      <w:proofErr w:type="spellEnd"/>
      <w:r w:rsidRPr="009347C6">
        <w:rPr>
          <w:rFonts w:ascii="Times New Roman" w:hAnsi="Times New Roman" w:cs="Times New Roman"/>
        </w:rPr>
        <w:t>–Hochberg false discovery rate method.</w:t>
      </w: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noProof/>
          <w:lang w:val="en-US"/>
          <w14:ligatures w14:val="standardContextual"/>
        </w:rPr>
        <w:drawing>
          <wp:inline distT="0" distB="0" distL="0" distR="0" wp14:anchorId="71FBEEAE" wp14:editId="690079FA">
            <wp:extent cx="8892540" cy="2998470"/>
            <wp:effectExtent l="0" t="0" r="0" b="0"/>
            <wp:docPr id="482292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92018" name="Picture 482292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2540" cy="2998470"/>
                    </a:xfrm>
                    <a:prstGeom prst="rect">
                      <a:avLst/>
                    </a:prstGeom>
                  </pic:spPr>
                </pic:pic>
              </a:graphicData>
            </a:graphic>
          </wp:inline>
        </w:drawing>
      </w: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rPr>
          <w:rFonts w:ascii="Times New Roman" w:hAnsi="Times New Roman" w:cs="Times New Roman"/>
          <w:b/>
          <w:bCs/>
          <w:i/>
          <w:iCs/>
        </w:rPr>
      </w:pPr>
      <w:r w:rsidRPr="009347C6">
        <w:rPr>
          <w:rFonts w:ascii="Times New Roman" w:hAnsi="Times New Roman" w:cs="Times New Roman"/>
          <w:b/>
          <w:bCs/>
          <w:i/>
          <w:iCs/>
        </w:rPr>
        <w:br w:type="page"/>
      </w: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b/>
          <w:bCs/>
          <w:i/>
          <w:iCs/>
        </w:rPr>
        <w:lastRenderedPageBreak/>
        <w:t>Supplementary Figure 6</w:t>
      </w:r>
      <w:r w:rsidRPr="009347C6">
        <w:rPr>
          <w:rFonts w:ascii="Times New Roman" w:hAnsi="Times New Roman" w:cs="Times New Roman"/>
          <w:b/>
          <w:bCs/>
        </w:rPr>
        <w:t>:</w:t>
      </w:r>
      <w:r w:rsidRPr="009347C6">
        <w:rPr>
          <w:rFonts w:ascii="Times New Roman" w:hAnsi="Times New Roman" w:cs="Times New Roman"/>
        </w:rPr>
        <w:t xml:space="preserve"> Kaplan–Meier curves for overall (OS), cancer-specific (CSS), recurrence-free (RFS), and progression-free (PFS) survivals for </w:t>
      </w:r>
      <w:r w:rsidRPr="009347C6">
        <w:rPr>
          <w:rFonts w:ascii="Times New Roman" w:hAnsi="Times New Roman" w:cs="Times New Roman"/>
          <w:i/>
          <w:iCs/>
        </w:rPr>
        <w:t>FAP</w:t>
      </w:r>
      <w:r w:rsidRPr="009347C6">
        <w:rPr>
          <w:rFonts w:ascii="Times New Roman" w:hAnsi="Times New Roman" w:cs="Times New Roman"/>
        </w:rPr>
        <w:t xml:space="preserve">-high and </w:t>
      </w:r>
      <w:r w:rsidRPr="009347C6">
        <w:rPr>
          <w:rFonts w:ascii="Times New Roman" w:hAnsi="Times New Roman" w:cs="Times New Roman"/>
          <w:i/>
          <w:iCs/>
        </w:rPr>
        <w:t>FAP</w:t>
      </w:r>
      <w:r w:rsidRPr="009347C6">
        <w:rPr>
          <w:rFonts w:ascii="Times New Roman" w:hAnsi="Times New Roman" w:cs="Times New Roman"/>
        </w:rPr>
        <w:t>-low tumors in all Leuven cohort patients (</w:t>
      </w:r>
      <w:r w:rsidRPr="009347C6">
        <w:rPr>
          <w:rFonts w:ascii="Times New Roman" w:hAnsi="Times New Roman" w:cs="Times New Roman"/>
          <w:i/>
          <w:iCs/>
        </w:rPr>
        <w:t>n</w:t>
      </w:r>
      <w:r w:rsidRPr="009347C6">
        <w:rPr>
          <w:rFonts w:ascii="Times New Roman" w:hAnsi="Times New Roman" w:cs="Times New Roman"/>
        </w:rPr>
        <w:t>=71). Kaplan–Meier survival curves were compared with the log-rank test</w:t>
      </w:r>
      <w:r w:rsidRPr="009347C6">
        <w:rPr>
          <w:rStyle w:val="Emphasis"/>
          <w:rFonts w:ascii="Times New Roman" w:hAnsi="Times New Roman" w:cs="Times New Roman"/>
        </w:rPr>
        <w:t>.</w:t>
      </w: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spacing w:line="360" w:lineRule="auto"/>
        <w:jc w:val="both"/>
        <w:rPr>
          <w:rFonts w:ascii="Times New Roman" w:hAnsi="Times New Roman" w:cs="Times New Roman"/>
        </w:rPr>
      </w:pPr>
    </w:p>
    <w:p w:rsidR="00A52C14" w:rsidRPr="009347C6" w:rsidRDefault="00A52C14" w:rsidP="00A52C14">
      <w:pPr>
        <w:spacing w:line="360" w:lineRule="auto"/>
        <w:jc w:val="both"/>
        <w:rPr>
          <w:rFonts w:ascii="Times New Roman" w:hAnsi="Times New Roman" w:cs="Times New Roman"/>
        </w:rPr>
      </w:pPr>
      <w:r w:rsidRPr="009347C6">
        <w:rPr>
          <w:rFonts w:ascii="Times New Roman" w:hAnsi="Times New Roman" w:cs="Times New Roman"/>
          <w:noProof/>
          <w:lang w:val="en-US"/>
        </w:rPr>
        <w:drawing>
          <wp:inline distT="0" distB="0" distL="0" distR="0" wp14:anchorId="62E0E3AB" wp14:editId="688B0171">
            <wp:extent cx="8863265" cy="2345266"/>
            <wp:effectExtent l="0" t="0" r="1905" b="4445"/>
            <wp:docPr id="18337721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7210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952731" cy="2368939"/>
                    </a:xfrm>
                    <a:prstGeom prst="rect">
                      <a:avLst/>
                    </a:prstGeom>
                    <a:noFill/>
                    <a:ln>
                      <a:noFill/>
                    </a:ln>
                  </pic:spPr>
                </pic:pic>
              </a:graphicData>
            </a:graphic>
          </wp:inline>
        </w:drawing>
      </w:r>
    </w:p>
    <w:p w:rsidR="00A52C14" w:rsidRPr="009347C6" w:rsidRDefault="00A52C14" w:rsidP="00A52C14">
      <w:pPr>
        <w:rPr>
          <w:rFonts w:ascii="Times New Roman" w:hAnsi="Times New Roman" w:cs="Times New Roman"/>
        </w:rPr>
      </w:pPr>
    </w:p>
    <w:p w:rsidR="00A52C14" w:rsidRPr="009347C6" w:rsidRDefault="00A52C14" w:rsidP="00A52C14">
      <w:pPr>
        <w:rPr>
          <w:rFonts w:ascii="Times New Roman" w:hAnsi="Times New Roman" w:cs="Times New Roman"/>
        </w:rPr>
        <w:sectPr w:rsidR="00A52C14" w:rsidRPr="009347C6" w:rsidSect="008C1F6E">
          <w:pgSz w:w="16838" w:h="11906" w:orient="landscape"/>
          <w:pgMar w:top="1417" w:right="1417" w:bottom="1417" w:left="1417" w:header="708" w:footer="708" w:gutter="0"/>
          <w:cols w:space="708"/>
          <w:docGrid w:linePitch="360"/>
        </w:sectPr>
      </w:pPr>
    </w:p>
    <w:p w:rsidR="00A52C14" w:rsidRDefault="00A52C14" w:rsidP="00A52C14"/>
    <w:sectPr w:rsidR="00A52C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C14"/>
    <w:rsid w:val="000178B5"/>
    <w:rsid w:val="00045BE7"/>
    <w:rsid w:val="000551B0"/>
    <w:rsid w:val="000B1020"/>
    <w:rsid w:val="000B1790"/>
    <w:rsid w:val="000B20FA"/>
    <w:rsid w:val="000E2161"/>
    <w:rsid w:val="000E2A4D"/>
    <w:rsid w:val="000F5DAB"/>
    <w:rsid w:val="00116D85"/>
    <w:rsid w:val="00130846"/>
    <w:rsid w:val="001439E8"/>
    <w:rsid w:val="00144B5C"/>
    <w:rsid w:val="001602C0"/>
    <w:rsid w:val="001755AE"/>
    <w:rsid w:val="00220A36"/>
    <w:rsid w:val="002462FB"/>
    <w:rsid w:val="00260E9D"/>
    <w:rsid w:val="00283F29"/>
    <w:rsid w:val="00286A9C"/>
    <w:rsid w:val="002906F3"/>
    <w:rsid w:val="002A739B"/>
    <w:rsid w:val="002B3EF2"/>
    <w:rsid w:val="002B4D39"/>
    <w:rsid w:val="002B672E"/>
    <w:rsid w:val="002D17E7"/>
    <w:rsid w:val="00322721"/>
    <w:rsid w:val="003547A9"/>
    <w:rsid w:val="00423371"/>
    <w:rsid w:val="00423F7D"/>
    <w:rsid w:val="00434584"/>
    <w:rsid w:val="00460235"/>
    <w:rsid w:val="004A6663"/>
    <w:rsid w:val="004D23B0"/>
    <w:rsid w:val="004F10B2"/>
    <w:rsid w:val="00562A1B"/>
    <w:rsid w:val="00567A46"/>
    <w:rsid w:val="00572624"/>
    <w:rsid w:val="00583B41"/>
    <w:rsid w:val="005C7543"/>
    <w:rsid w:val="005D05CB"/>
    <w:rsid w:val="006465B0"/>
    <w:rsid w:val="006649C7"/>
    <w:rsid w:val="00666C95"/>
    <w:rsid w:val="0067135F"/>
    <w:rsid w:val="006952E1"/>
    <w:rsid w:val="006A6F7E"/>
    <w:rsid w:val="00716D55"/>
    <w:rsid w:val="00721895"/>
    <w:rsid w:val="00732E86"/>
    <w:rsid w:val="00784EA4"/>
    <w:rsid w:val="007A130F"/>
    <w:rsid w:val="007A7613"/>
    <w:rsid w:val="00844E30"/>
    <w:rsid w:val="00853894"/>
    <w:rsid w:val="00857A66"/>
    <w:rsid w:val="00871218"/>
    <w:rsid w:val="008E285C"/>
    <w:rsid w:val="008F5C49"/>
    <w:rsid w:val="0096312A"/>
    <w:rsid w:val="009D67D1"/>
    <w:rsid w:val="00A207CB"/>
    <w:rsid w:val="00A32C1C"/>
    <w:rsid w:val="00A45C8E"/>
    <w:rsid w:val="00A52C14"/>
    <w:rsid w:val="00A53B9F"/>
    <w:rsid w:val="00A80C0A"/>
    <w:rsid w:val="00A8146F"/>
    <w:rsid w:val="00AB6E98"/>
    <w:rsid w:val="00AD1D59"/>
    <w:rsid w:val="00B25109"/>
    <w:rsid w:val="00B973E5"/>
    <w:rsid w:val="00BA4C6A"/>
    <w:rsid w:val="00BA759E"/>
    <w:rsid w:val="00BF009F"/>
    <w:rsid w:val="00C018AE"/>
    <w:rsid w:val="00C32325"/>
    <w:rsid w:val="00C663A7"/>
    <w:rsid w:val="00C90CC6"/>
    <w:rsid w:val="00D00BF2"/>
    <w:rsid w:val="00D31678"/>
    <w:rsid w:val="00D77901"/>
    <w:rsid w:val="00DC23B3"/>
    <w:rsid w:val="00DE24F3"/>
    <w:rsid w:val="00DF599E"/>
    <w:rsid w:val="00E46D38"/>
    <w:rsid w:val="00E5215F"/>
    <w:rsid w:val="00E643E4"/>
    <w:rsid w:val="00E6476A"/>
    <w:rsid w:val="00E8049A"/>
    <w:rsid w:val="00EB3CE9"/>
    <w:rsid w:val="00F20432"/>
    <w:rsid w:val="00F21EC3"/>
    <w:rsid w:val="00F23E64"/>
    <w:rsid w:val="00F461F8"/>
    <w:rsid w:val="00F56F97"/>
    <w:rsid w:val="00F749B1"/>
    <w:rsid w:val="00FC186B"/>
    <w:rsid w:val="00FD2487"/>
    <w:rsid w:val="00FE360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uiPriority w:val="49"/>
    <w:rsid w:val="00A52C14"/>
    <w:pPr>
      <w:spacing w:after="0" w:line="240" w:lineRule="auto"/>
    </w:pPr>
    <w:rPr>
      <w:kern w:val="2"/>
      <w:lang w:val="nl-BE"/>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A52C14"/>
    <w:pPr>
      <w:spacing w:after="0" w:line="240" w:lineRule="auto"/>
    </w:pPr>
    <w:rPr>
      <w:kern w:val="2"/>
      <w:lang w:val="nl-BE"/>
      <w14:ligatures w14:val="standardContextual"/>
    </w:rPr>
  </w:style>
  <w:style w:type="character" w:customStyle="1" w:styleId="apple-converted-space">
    <w:name w:val="apple-converted-space"/>
    <w:basedOn w:val="DefaultParagraphFont"/>
    <w:rsid w:val="00A52C14"/>
  </w:style>
  <w:style w:type="character" w:styleId="Strong">
    <w:name w:val="Strong"/>
    <w:basedOn w:val="DefaultParagraphFont"/>
    <w:uiPriority w:val="22"/>
    <w:qFormat/>
    <w:rsid w:val="00A52C14"/>
    <w:rPr>
      <w:b/>
      <w:bCs/>
    </w:rPr>
  </w:style>
  <w:style w:type="character" w:styleId="Emphasis">
    <w:name w:val="Emphasis"/>
    <w:basedOn w:val="DefaultParagraphFont"/>
    <w:uiPriority w:val="20"/>
    <w:qFormat/>
    <w:rsid w:val="00A52C14"/>
    <w:rPr>
      <w:i/>
      <w:iCs/>
    </w:rPr>
  </w:style>
  <w:style w:type="paragraph" w:styleId="BalloonText">
    <w:name w:val="Balloon Text"/>
    <w:basedOn w:val="Normal"/>
    <w:link w:val="BalloonTextChar"/>
    <w:uiPriority w:val="99"/>
    <w:semiHidden/>
    <w:unhideWhenUsed/>
    <w:rsid w:val="00A52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C14"/>
    <w:rPr>
      <w:rFonts w:ascii="Tahoma" w:hAnsi="Tahoma" w:cs="Tahoma"/>
      <w:sz w:val="16"/>
      <w:szCs w:val="16"/>
    </w:rPr>
  </w:style>
  <w:style w:type="paragraph" w:styleId="NormalWeb">
    <w:name w:val="Normal (Web)"/>
    <w:basedOn w:val="Normal"/>
    <w:uiPriority w:val="99"/>
    <w:unhideWhenUsed/>
    <w:rsid w:val="00583B41"/>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uiPriority w:val="49"/>
    <w:rsid w:val="00A52C14"/>
    <w:pPr>
      <w:spacing w:after="0" w:line="240" w:lineRule="auto"/>
    </w:pPr>
    <w:rPr>
      <w:kern w:val="2"/>
      <w:lang w:val="nl-BE"/>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A52C14"/>
    <w:pPr>
      <w:spacing w:after="0" w:line="240" w:lineRule="auto"/>
    </w:pPr>
    <w:rPr>
      <w:kern w:val="2"/>
      <w:lang w:val="nl-BE"/>
      <w14:ligatures w14:val="standardContextual"/>
    </w:rPr>
  </w:style>
  <w:style w:type="character" w:customStyle="1" w:styleId="apple-converted-space">
    <w:name w:val="apple-converted-space"/>
    <w:basedOn w:val="DefaultParagraphFont"/>
    <w:rsid w:val="00A52C14"/>
  </w:style>
  <w:style w:type="character" w:styleId="Strong">
    <w:name w:val="Strong"/>
    <w:basedOn w:val="DefaultParagraphFont"/>
    <w:uiPriority w:val="22"/>
    <w:qFormat/>
    <w:rsid w:val="00A52C14"/>
    <w:rPr>
      <w:b/>
      <w:bCs/>
    </w:rPr>
  </w:style>
  <w:style w:type="character" w:styleId="Emphasis">
    <w:name w:val="Emphasis"/>
    <w:basedOn w:val="DefaultParagraphFont"/>
    <w:uiPriority w:val="20"/>
    <w:qFormat/>
    <w:rsid w:val="00A52C14"/>
    <w:rPr>
      <w:i/>
      <w:iCs/>
    </w:rPr>
  </w:style>
  <w:style w:type="paragraph" w:styleId="BalloonText">
    <w:name w:val="Balloon Text"/>
    <w:basedOn w:val="Normal"/>
    <w:link w:val="BalloonTextChar"/>
    <w:uiPriority w:val="99"/>
    <w:semiHidden/>
    <w:unhideWhenUsed/>
    <w:rsid w:val="00A52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C14"/>
    <w:rPr>
      <w:rFonts w:ascii="Tahoma" w:hAnsi="Tahoma" w:cs="Tahoma"/>
      <w:sz w:val="16"/>
      <w:szCs w:val="16"/>
    </w:rPr>
  </w:style>
  <w:style w:type="paragraph" w:styleId="NormalWeb">
    <w:name w:val="Normal (Web)"/>
    <w:basedOn w:val="Normal"/>
    <w:uiPriority w:val="99"/>
    <w:unhideWhenUsed/>
    <w:rsid w:val="00583B41"/>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9096">
      <w:bodyDiv w:val="1"/>
      <w:marLeft w:val="0"/>
      <w:marRight w:val="0"/>
      <w:marTop w:val="0"/>
      <w:marBottom w:val="0"/>
      <w:divBdr>
        <w:top w:val="none" w:sz="0" w:space="0" w:color="auto"/>
        <w:left w:val="none" w:sz="0" w:space="0" w:color="auto"/>
        <w:bottom w:val="none" w:sz="0" w:space="0" w:color="auto"/>
        <w:right w:val="none" w:sz="0" w:space="0" w:color="auto"/>
      </w:divBdr>
    </w:div>
    <w:div w:id="40221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C412-E093-4E53-91BC-23B7229B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e755675</dc:creator>
  <cp:lastModifiedBy>Siacor, Renante</cp:lastModifiedBy>
  <cp:revision>2</cp:revision>
  <dcterms:created xsi:type="dcterms:W3CDTF">2026-06-17T08:08:00Z</dcterms:created>
  <dcterms:modified xsi:type="dcterms:W3CDTF">2026-06-17T08:08:00Z</dcterms:modified>
</cp:coreProperties>
</file>