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B82" w:rsidRDefault="00503B82" w:rsidP="00503B82">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503B82">
        <w:rPr>
          <w:rFonts w:ascii="Times New Roman" w:eastAsia="宋体" w:hAnsi="Times New Roman" w:cs="Times New Roman"/>
          <w:b/>
          <w:color w:val="000000" w:themeColor="text1"/>
          <w:kern w:val="0"/>
          <w:sz w:val="28"/>
          <w:szCs w:val="24"/>
        </w:rPr>
        <w:t>Appendix:</w:t>
      </w:r>
      <w:r w:rsidRPr="00E71C94">
        <w:rPr>
          <w:rFonts w:ascii="Times New Roman" w:eastAsia="宋体" w:hAnsi="Times New Roman" w:cs="Times New Roman"/>
          <w:color w:val="000000" w:themeColor="text1"/>
          <w:kern w:val="0"/>
          <w:sz w:val="24"/>
          <w:szCs w:val="24"/>
        </w:rPr>
        <w:t xml:space="preserve"> </w:t>
      </w:r>
    </w:p>
    <w:p w:rsidR="00503B82" w:rsidRPr="00503B82" w:rsidRDefault="00503B82" w:rsidP="00503B82">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503B82">
        <w:rPr>
          <w:rFonts w:ascii="Times New Roman" w:eastAsia="宋体" w:hAnsi="Times New Roman" w:cs="Times New Roman"/>
          <w:b/>
          <w:color w:val="000000" w:themeColor="text1"/>
          <w:kern w:val="0"/>
          <w:sz w:val="24"/>
          <w:szCs w:val="24"/>
        </w:rPr>
        <w:t>Method:</w:t>
      </w:r>
      <w:r w:rsidRPr="00503B82">
        <w:rPr>
          <w:rFonts w:ascii="Times New Roman" w:eastAsia="宋体" w:hAnsi="Times New Roman" w:cs="Times New Roman"/>
          <w:color w:val="000000" w:themeColor="text1"/>
          <w:kern w:val="0"/>
          <w:sz w:val="24"/>
          <w:szCs w:val="24"/>
        </w:rPr>
        <w:t xml:space="preserve"> Further details on the methods of prevalence and YLDs estimates.</w:t>
      </w:r>
    </w:p>
    <w:p w:rsidR="00503B82" w:rsidRPr="00503B82" w:rsidRDefault="00503B82" w:rsidP="00503B82">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503B82">
        <w:rPr>
          <w:rFonts w:ascii="Times New Roman" w:eastAsia="宋体" w:hAnsi="Times New Roman" w:cs="Times New Roman"/>
          <w:b/>
          <w:color w:val="000000" w:themeColor="text1"/>
          <w:kern w:val="0"/>
          <w:sz w:val="24"/>
          <w:szCs w:val="24"/>
        </w:rPr>
        <w:t>Figure</w:t>
      </w:r>
      <w:r w:rsidR="003129D2">
        <w:rPr>
          <w:rFonts w:ascii="Times New Roman" w:eastAsia="宋体" w:hAnsi="Times New Roman" w:cs="Times New Roman"/>
          <w:b/>
          <w:color w:val="000000" w:themeColor="text1"/>
          <w:kern w:val="0"/>
          <w:sz w:val="24"/>
          <w:szCs w:val="24"/>
        </w:rPr>
        <w:t xml:space="preserve"> S1</w:t>
      </w:r>
      <w:r w:rsidRPr="00503B82">
        <w:rPr>
          <w:rFonts w:ascii="Times New Roman" w:eastAsia="宋体" w:hAnsi="Times New Roman" w:cs="Times New Roman"/>
          <w:b/>
          <w:color w:val="000000" w:themeColor="text1"/>
          <w:kern w:val="0"/>
          <w:sz w:val="24"/>
          <w:szCs w:val="24"/>
        </w:rPr>
        <w:t>:</w:t>
      </w:r>
      <w:r w:rsidRPr="00503B82">
        <w:rPr>
          <w:rFonts w:ascii="Times New Roman" w:eastAsia="宋体" w:hAnsi="Times New Roman" w:cs="Times New Roman"/>
          <w:color w:val="000000" w:themeColor="text1"/>
          <w:kern w:val="0"/>
          <w:sz w:val="24"/>
          <w:szCs w:val="24"/>
        </w:rPr>
        <w:t xml:space="preserve"> Age-sex-specific YLDs number from headache disorders in China.</w:t>
      </w:r>
    </w:p>
    <w:p w:rsidR="00503B82" w:rsidRPr="00503B82" w:rsidRDefault="00503B82" w:rsidP="00503B82">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503B82">
        <w:rPr>
          <w:rFonts w:ascii="Times New Roman" w:eastAsia="宋体" w:hAnsi="Times New Roman" w:cs="Times New Roman"/>
          <w:b/>
          <w:color w:val="000000" w:themeColor="text1"/>
          <w:kern w:val="0"/>
          <w:sz w:val="24"/>
          <w:szCs w:val="24"/>
        </w:rPr>
        <w:t>Table</w:t>
      </w:r>
      <w:r w:rsidR="003129D2">
        <w:rPr>
          <w:rFonts w:ascii="Times New Roman" w:eastAsia="宋体" w:hAnsi="Times New Roman" w:cs="Times New Roman"/>
          <w:b/>
          <w:color w:val="000000" w:themeColor="text1"/>
          <w:kern w:val="0"/>
          <w:sz w:val="24"/>
          <w:szCs w:val="24"/>
        </w:rPr>
        <w:t xml:space="preserve"> S</w:t>
      </w:r>
      <w:r w:rsidRPr="00503B82">
        <w:rPr>
          <w:rFonts w:ascii="Times New Roman" w:eastAsia="宋体" w:hAnsi="Times New Roman" w:cs="Times New Roman"/>
          <w:b/>
          <w:color w:val="000000" w:themeColor="text1"/>
          <w:kern w:val="0"/>
          <w:sz w:val="24"/>
          <w:szCs w:val="24"/>
        </w:rPr>
        <w:t>1:</w:t>
      </w:r>
      <w:r w:rsidRPr="00503B82">
        <w:rPr>
          <w:rFonts w:ascii="Times New Roman" w:eastAsia="宋体" w:hAnsi="Times New Roman" w:cs="Times New Roman"/>
          <w:color w:val="000000" w:themeColor="text1"/>
          <w:kern w:val="0"/>
          <w:sz w:val="24"/>
          <w:szCs w:val="24"/>
        </w:rPr>
        <w:t xml:space="preserve"> Age-standardized prevalence rate and YLDs rate from 1990 to 2017 for total headache disorders by province of China.</w:t>
      </w:r>
    </w:p>
    <w:p w:rsidR="00503B82" w:rsidRDefault="00503B82" w:rsidP="00503B82">
      <w:pPr>
        <w:widowControl/>
        <w:spacing w:line="480" w:lineRule="auto"/>
        <w:rPr>
          <w:rFonts w:ascii="Times New Roman" w:hAnsi="Times New Roman" w:cs="Times New Roman"/>
          <w:b/>
          <w:color w:val="000000" w:themeColor="text1"/>
          <w:sz w:val="24"/>
          <w:szCs w:val="24"/>
        </w:rPr>
      </w:pPr>
      <w:r w:rsidRPr="00503B82">
        <w:rPr>
          <w:rFonts w:ascii="Times New Roman" w:eastAsia="宋体" w:hAnsi="Times New Roman" w:cs="Times New Roman"/>
          <w:b/>
          <w:color w:val="000000" w:themeColor="text1"/>
          <w:kern w:val="0"/>
          <w:sz w:val="24"/>
          <w:szCs w:val="24"/>
        </w:rPr>
        <w:t>Table</w:t>
      </w:r>
      <w:r w:rsidR="003129D2">
        <w:rPr>
          <w:rFonts w:ascii="Times New Roman" w:eastAsia="宋体" w:hAnsi="Times New Roman" w:cs="Times New Roman"/>
          <w:b/>
          <w:color w:val="000000" w:themeColor="text1"/>
          <w:kern w:val="0"/>
          <w:sz w:val="24"/>
          <w:szCs w:val="24"/>
        </w:rPr>
        <w:t xml:space="preserve"> S</w:t>
      </w:r>
      <w:r w:rsidRPr="00503B82">
        <w:rPr>
          <w:rFonts w:ascii="Times New Roman" w:eastAsia="宋体" w:hAnsi="Times New Roman" w:cs="Times New Roman"/>
          <w:b/>
          <w:color w:val="000000" w:themeColor="text1"/>
          <w:kern w:val="0"/>
          <w:sz w:val="24"/>
          <w:szCs w:val="24"/>
        </w:rPr>
        <w:t>2:</w:t>
      </w:r>
      <w:r w:rsidRPr="00503B82">
        <w:rPr>
          <w:rFonts w:ascii="Times New Roman" w:eastAsia="宋体" w:hAnsi="Times New Roman" w:cs="Times New Roman"/>
          <w:color w:val="000000" w:themeColor="text1"/>
          <w:kern w:val="0"/>
          <w:sz w:val="24"/>
          <w:szCs w:val="24"/>
        </w:rPr>
        <w:t xml:space="preserve"> Age-standardized prevalence rate and YLDs rate from 1990 to 2017 for specific headache disorders by province of China.</w:t>
      </w:r>
      <w:r>
        <w:rPr>
          <w:rFonts w:ascii="Times New Roman" w:hAnsi="Times New Roman" w:cs="Times New Roman"/>
          <w:b/>
          <w:color w:val="000000" w:themeColor="text1"/>
          <w:sz w:val="24"/>
          <w:szCs w:val="24"/>
        </w:rPr>
        <w:br w:type="page"/>
      </w:r>
    </w:p>
    <w:p w:rsidR="00DC47AA" w:rsidRPr="00503B82" w:rsidRDefault="00DC47AA" w:rsidP="00503B82">
      <w:pPr>
        <w:autoSpaceDE w:val="0"/>
        <w:autoSpaceDN w:val="0"/>
        <w:adjustRightInd w:val="0"/>
        <w:spacing w:line="480" w:lineRule="auto"/>
        <w:rPr>
          <w:rFonts w:ascii="Times New Roman" w:eastAsia="宋体" w:hAnsi="Times New Roman" w:cs="Times New Roman"/>
          <w:color w:val="000000" w:themeColor="text1"/>
          <w:kern w:val="0"/>
          <w:sz w:val="28"/>
          <w:szCs w:val="24"/>
        </w:rPr>
      </w:pPr>
      <w:r w:rsidRPr="00503B82">
        <w:rPr>
          <w:rFonts w:ascii="Times New Roman" w:hAnsi="Times New Roman" w:cs="Times New Roman"/>
          <w:b/>
          <w:color w:val="000000" w:themeColor="text1"/>
          <w:sz w:val="28"/>
          <w:szCs w:val="24"/>
        </w:rPr>
        <w:lastRenderedPageBreak/>
        <w:t>Method</w:t>
      </w:r>
      <w:r w:rsidR="00503B82" w:rsidRPr="00503B82">
        <w:rPr>
          <w:rFonts w:ascii="Times New Roman" w:hAnsi="Times New Roman" w:cs="Times New Roman"/>
          <w:b/>
          <w:color w:val="000000" w:themeColor="text1"/>
          <w:sz w:val="28"/>
          <w:szCs w:val="24"/>
        </w:rPr>
        <w:t>:</w:t>
      </w:r>
      <w:r w:rsidR="00503B82" w:rsidRPr="00503B82">
        <w:rPr>
          <w:rFonts w:ascii="Times New Roman" w:eastAsia="宋体" w:hAnsi="Times New Roman" w:cs="Times New Roman"/>
          <w:color w:val="000000" w:themeColor="text1"/>
          <w:kern w:val="0"/>
          <w:sz w:val="28"/>
          <w:szCs w:val="24"/>
        </w:rPr>
        <w:t xml:space="preserve"> </w:t>
      </w:r>
      <w:r w:rsidR="00503B82" w:rsidRPr="00503B82">
        <w:rPr>
          <w:rFonts w:ascii="Times New Roman" w:eastAsia="宋体" w:hAnsi="Times New Roman" w:cs="Times New Roman"/>
          <w:b/>
          <w:color w:val="000000" w:themeColor="text1"/>
          <w:kern w:val="0"/>
          <w:sz w:val="24"/>
          <w:szCs w:val="24"/>
        </w:rPr>
        <w:t>Further details on the methods of prevalence and YLDs estimates</w:t>
      </w:r>
      <w:r w:rsidR="00503B82" w:rsidRPr="00503B82">
        <w:rPr>
          <w:rFonts w:ascii="Times New Roman" w:eastAsia="宋体" w:hAnsi="Times New Roman" w:cs="Times New Roman"/>
          <w:color w:val="000000" w:themeColor="text1"/>
          <w:kern w:val="0"/>
          <w:sz w:val="24"/>
          <w:szCs w:val="24"/>
        </w:rPr>
        <w:t>.</w:t>
      </w:r>
    </w:p>
    <w:p w:rsidR="00503B82" w:rsidRDefault="00503B82" w:rsidP="00503B82">
      <w:pPr>
        <w:widowControl/>
        <w:spacing w:line="480" w:lineRule="auto"/>
        <w:rPr>
          <w:rFonts w:ascii="Times New Roman" w:eastAsia="宋体" w:hAnsi="Times New Roman" w:cs="Times New Roman"/>
          <w:color w:val="000000" w:themeColor="text1"/>
          <w:kern w:val="0"/>
          <w:sz w:val="24"/>
          <w:szCs w:val="24"/>
        </w:rPr>
      </w:pPr>
    </w:p>
    <w:p w:rsidR="00503B82" w:rsidRPr="00503B82" w:rsidRDefault="00503B82" w:rsidP="00503B82">
      <w:pPr>
        <w:widowControl/>
        <w:spacing w:line="480" w:lineRule="auto"/>
        <w:rPr>
          <w:rFonts w:ascii="Times New Roman" w:eastAsia="宋体" w:hAnsi="Times New Roman" w:cs="Times New Roman"/>
          <w:color w:val="FF0000"/>
          <w:kern w:val="0"/>
          <w:sz w:val="24"/>
          <w:szCs w:val="24"/>
        </w:rPr>
      </w:pPr>
      <w:r w:rsidRPr="006272C1">
        <w:rPr>
          <w:rFonts w:ascii="Times New Roman" w:eastAsia="宋体" w:hAnsi="Times New Roman" w:cs="Times New Roman"/>
          <w:color w:val="000000" w:themeColor="text1"/>
          <w:kern w:val="0"/>
          <w:sz w:val="24"/>
          <w:szCs w:val="24"/>
        </w:rPr>
        <w:t>All analyses were based on China data in the GBD study 2017. Details on the data, approaches to enhancing data quality and comparability, and statistical modelling and metrics for the GBD 2017 is published elsewhere</w:t>
      </w:r>
      <w:r>
        <w:rPr>
          <w:rFonts w:ascii="Times New Roman" w:eastAsia="宋体" w:hAnsi="Times New Roman" w:cs="Times New Roman"/>
          <w:color w:val="000000" w:themeColor="text1"/>
          <w:kern w:val="0"/>
          <w:sz w:val="24"/>
          <w:szCs w:val="24"/>
        </w:rPr>
        <w:t xml:space="preserve"> </w:t>
      </w:r>
      <w:r w:rsidRPr="006272C1">
        <w:rPr>
          <w:rFonts w:ascii="Times New Roman" w:eastAsia="宋体" w:hAnsi="Times New Roman" w:cs="Times New Roman"/>
          <w:color w:val="000000" w:themeColor="text1"/>
          <w:kern w:val="0"/>
          <w:sz w:val="24"/>
          <w:szCs w:val="24"/>
        </w:rPr>
        <w:fldChar w:fldCharType="begin"/>
      </w:r>
      <w:r>
        <w:rPr>
          <w:rFonts w:ascii="Times New Roman" w:eastAsia="宋体" w:hAnsi="Times New Roman" w:cs="Times New Roman"/>
          <w:color w:val="000000" w:themeColor="text1"/>
          <w:kern w:val="0"/>
          <w:sz w:val="24"/>
          <w:szCs w:val="24"/>
        </w:rPr>
        <w:instrText xml:space="preserve"> ADDIN NE.Ref.{72047356-D343-4E16-8853-A1052C989E03}</w:instrText>
      </w:r>
      <w:r w:rsidRPr="006272C1">
        <w:rPr>
          <w:rFonts w:ascii="Times New Roman" w:eastAsia="宋体"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[1, 2]</w:t>
      </w:r>
      <w:r w:rsidRPr="006272C1">
        <w:rPr>
          <w:rFonts w:ascii="Times New Roman" w:eastAsia="宋体" w:hAnsi="Times New Roman" w:cs="Times New Roman"/>
          <w:color w:val="000000" w:themeColor="text1"/>
          <w:kern w:val="0"/>
          <w:sz w:val="24"/>
          <w:szCs w:val="24"/>
        </w:rPr>
        <w:fldChar w:fldCharType="end"/>
      </w:r>
      <w:r>
        <w:rPr>
          <w:rFonts w:ascii="Times New Roman" w:eastAsia="宋体" w:hAnsi="Times New Roman" w:cs="Times New Roman"/>
          <w:color w:val="000000" w:themeColor="text1"/>
          <w:kern w:val="0"/>
          <w:sz w:val="24"/>
          <w:szCs w:val="24"/>
        </w:rPr>
        <w:t>.</w:t>
      </w:r>
      <w:r w:rsidRPr="006272C1">
        <w:rPr>
          <w:rFonts w:ascii="Times New Roman" w:eastAsia="宋体" w:hAnsi="Times New Roman" w:cs="Times New Roman"/>
          <w:color w:val="000000" w:themeColor="text1"/>
          <w:kern w:val="0"/>
          <w:sz w:val="24"/>
          <w:szCs w:val="24"/>
        </w:rPr>
        <w:t xml:space="preserve"> </w:t>
      </w:r>
      <w:r w:rsidRPr="004120EF">
        <w:rPr>
          <w:rFonts w:ascii="Times New Roman" w:eastAsia="宋体" w:hAnsi="Times New Roman" w:cs="Times New Roman"/>
          <w:color w:val="000000" w:themeColor="text1"/>
          <w:kern w:val="0"/>
          <w:sz w:val="24"/>
          <w:szCs w:val="24"/>
        </w:rPr>
        <w:t xml:space="preserve">Further details on the methods of prevalence and YLDs estimates </w:t>
      </w:r>
      <w:r>
        <w:rPr>
          <w:rFonts w:ascii="Times New Roman" w:eastAsia="宋体" w:hAnsi="Times New Roman" w:cs="Times New Roman"/>
          <w:color w:val="000000" w:themeColor="text1"/>
          <w:kern w:val="0"/>
          <w:sz w:val="24"/>
          <w:szCs w:val="24"/>
        </w:rPr>
        <w:t>were presented</w:t>
      </w:r>
      <w:r w:rsidRPr="004120EF">
        <w:rPr>
          <w:rFonts w:ascii="Times New Roman" w:eastAsia="宋体" w:hAnsi="Times New Roman" w:cs="Times New Roman"/>
          <w:color w:val="000000" w:themeColor="text1"/>
          <w:kern w:val="0"/>
          <w:sz w:val="24"/>
          <w:szCs w:val="24"/>
        </w:rPr>
        <w:t xml:space="preserve"> </w:t>
      </w:r>
      <w:r>
        <w:rPr>
          <w:rFonts w:ascii="Times New Roman" w:eastAsia="宋体" w:hAnsi="Times New Roman" w:cs="Times New Roman"/>
          <w:color w:val="000000" w:themeColor="text1"/>
          <w:kern w:val="0"/>
          <w:sz w:val="24"/>
          <w:szCs w:val="24"/>
        </w:rPr>
        <w:t>as followed</w:t>
      </w:r>
      <w:r w:rsidRPr="004120EF">
        <w:rPr>
          <w:rFonts w:ascii="Times New Roman" w:eastAsia="宋体" w:hAnsi="Times New Roman" w:cs="Times New Roman"/>
          <w:color w:val="000000" w:themeColor="text1"/>
          <w:kern w:val="0"/>
          <w:sz w:val="24"/>
          <w:szCs w:val="24"/>
        </w:rPr>
        <w:t>.</w:t>
      </w:r>
    </w:p>
    <w:p w:rsidR="00503B82" w:rsidRPr="006272C1" w:rsidRDefault="00503B82" w:rsidP="00503B82">
      <w:pPr>
        <w:widowControl/>
        <w:spacing w:line="48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 </w:t>
      </w:r>
      <w:r w:rsidRPr="006272C1">
        <w:rPr>
          <w:rFonts w:ascii="Times New Roman" w:hAnsi="Times New Roman" w:cs="Times New Roman"/>
          <w:b/>
          <w:color w:val="000000" w:themeColor="text1"/>
          <w:sz w:val="24"/>
          <w:szCs w:val="24"/>
        </w:rPr>
        <w:t>Data sources</w:t>
      </w:r>
    </w:p>
    <w:p w:rsidR="00503B82" w:rsidRPr="006272C1" w:rsidRDefault="00503B82" w:rsidP="00503B82">
      <w:pPr>
        <w:widowControl/>
        <w:spacing w:line="480" w:lineRule="auto"/>
        <w:ind w:firstLineChars="200" w:firstLine="480"/>
        <w:rPr>
          <w:rFonts w:ascii="Times New Roman" w:hAnsi="Times New Roman" w:cs="Times New Roman"/>
          <w:color w:val="000000" w:themeColor="text1"/>
          <w:kern w:val="0"/>
          <w:sz w:val="24"/>
          <w:szCs w:val="24"/>
        </w:rPr>
      </w:pPr>
      <w:r w:rsidRPr="006272C1">
        <w:rPr>
          <w:rFonts w:ascii="Times New Roman" w:hAnsi="Times New Roman" w:cs="Times New Roman"/>
          <w:color w:val="000000" w:themeColor="text1"/>
          <w:kern w:val="0"/>
          <w:sz w:val="24"/>
          <w:szCs w:val="24"/>
        </w:rPr>
        <w:t>The data sources for headache disorders were mainly based on published population-based studies of prevalence and survey data for which we had the individual</w:t>
      </w:r>
      <w:r>
        <w:rPr>
          <w:rFonts w:ascii="Times New Roman" w:hAnsi="Times New Roman" w:cs="Times New Roman"/>
          <w:color w:val="000000" w:themeColor="text1"/>
          <w:kern w:val="0"/>
          <w:sz w:val="24"/>
          <w:szCs w:val="24"/>
        </w:rPr>
        <w:t xml:space="preserve"> record data were also included </w:t>
      </w:r>
      <w:r w:rsidRPr="006272C1">
        <w:rPr>
          <w:rFonts w:ascii="Times New Roman" w:hAnsi="Times New Roman" w:cs="Times New Roman"/>
          <w:color w:val="000000" w:themeColor="text1"/>
          <w:kern w:val="0"/>
          <w:sz w:val="24"/>
          <w:szCs w:val="24"/>
        </w:rPr>
        <w:fldChar w:fldCharType="begin"/>
      </w:r>
      <w:r>
        <w:rPr>
          <w:rFonts w:ascii="Times New Roman" w:hAnsi="Times New Roman" w:cs="Times New Roman"/>
          <w:color w:val="000000" w:themeColor="text1"/>
          <w:kern w:val="0"/>
          <w:sz w:val="24"/>
          <w:szCs w:val="24"/>
        </w:rPr>
        <w:instrText xml:space="preserve"> ADDIN NE.Ref.{5DEE8E88-0879-4608-846D-1D58E5740529}</w:instrText>
      </w:r>
      <w:r w:rsidRPr="006272C1">
        <w:rPr>
          <w:rFonts w:ascii="Times New Roman"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[1, 3]</w:t>
      </w:r>
      <w:r w:rsidRPr="006272C1">
        <w:rPr>
          <w:rFonts w:ascii="Times New Roman" w:hAnsi="Times New Roman" w:cs="Times New Roman"/>
          <w:color w:val="000000" w:themeColor="text1"/>
          <w:kern w:val="0"/>
          <w:sz w:val="24"/>
          <w:szCs w:val="24"/>
        </w:rPr>
        <w:fldChar w:fldCharType="end"/>
      </w:r>
      <w:r>
        <w:rPr>
          <w:rFonts w:ascii="Times New Roman" w:hAnsi="Times New Roman" w:cs="Times New Roman"/>
          <w:color w:val="000000" w:themeColor="text1"/>
          <w:kern w:val="0"/>
          <w:sz w:val="24"/>
          <w:szCs w:val="24"/>
        </w:rPr>
        <w:t>.</w:t>
      </w:r>
      <w:r w:rsidRPr="006272C1">
        <w:rPr>
          <w:rFonts w:ascii="Times New Roman" w:hAnsi="Times New Roman" w:cs="Times New Roman"/>
          <w:color w:val="000000" w:themeColor="text1"/>
          <w:kern w:val="0"/>
          <w:sz w:val="24"/>
          <w:szCs w:val="24"/>
        </w:rPr>
        <w:t xml:space="preserve"> In addition, hospital claims data could provide more detailed information on age patterns, time trends and spatial patterns on subnational locations than published epidemiological studies, therefore are also included.</w:t>
      </w:r>
      <w:r w:rsidRPr="006272C1">
        <w:rPr>
          <w:rFonts w:ascii="Times New Roman" w:hAnsi="Times New Roman" w:cs="Times New Roman" w:hint="eastAsia"/>
          <w:color w:val="000000" w:themeColor="text1"/>
          <w:kern w:val="0"/>
          <w:sz w:val="24"/>
          <w:szCs w:val="24"/>
        </w:rPr>
        <w:t xml:space="preserve"> </w:t>
      </w:r>
      <w:r w:rsidRPr="006272C1">
        <w:rPr>
          <w:rFonts w:ascii="Times New Roman" w:hAnsi="Times New Roman" w:cs="Times New Roman"/>
          <w:color w:val="000000" w:themeColor="text1"/>
          <w:kern w:val="0"/>
          <w:sz w:val="24"/>
          <w:szCs w:val="24"/>
        </w:rPr>
        <w:t xml:space="preserve">For the previous population-based studies, we only included the study of headache diagnosis which based on the International Classification of Headache Diseases (ICHD). The ICHD was first published in 1988, and after the second edition of ICHD </w:t>
      </w:r>
      <w:r w:rsidRPr="006272C1">
        <w:rPr>
          <w:rFonts w:ascii="Times New Roman" w:hAnsi="Times New Roman" w:cs="Times New Roman"/>
          <w:color w:val="000000" w:themeColor="text1"/>
          <w:kern w:val="0"/>
          <w:sz w:val="24"/>
          <w:szCs w:val="24"/>
        </w:rPr>
        <w:fldChar w:fldCharType="begin"/>
      </w:r>
      <w:r>
        <w:rPr>
          <w:rFonts w:ascii="Times New Roman" w:hAnsi="Times New Roman" w:cs="Times New Roman"/>
          <w:color w:val="000000" w:themeColor="text1"/>
          <w:kern w:val="0"/>
          <w:sz w:val="24"/>
          <w:szCs w:val="24"/>
        </w:rPr>
        <w:instrText xml:space="preserve"> ADDIN NE.Ref.{8C5EC612-7A2F-4861-ABE5-92BC879FB1D7}</w:instrText>
      </w:r>
      <w:r w:rsidRPr="006272C1">
        <w:rPr>
          <w:rFonts w:ascii="Times New Roman"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[4]</w:t>
      </w:r>
      <w:r w:rsidRPr="006272C1">
        <w:rPr>
          <w:rFonts w:ascii="Times New Roman" w:hAnsi="Times New Roman" w:cs="Times New Roman"/>
          <w:color w:val="000000" w:themeColor="text1"/>
          <w:kern w:val="0"/>
          <w:sz w:val="24"/>
          <w:szCs w:val="24"/>
        </w:rPr>
        <w:fldChar w:fldCharType="end"/>
      </w:r>
      <w:r w:rsidRPr="006272C1">
        <w:rPr>
          <w:rFonts w:ascii="Times New Roman" w:hAnsi="Times New Roman" w:cs="Times New Roman"/>
          <w:color w:val="000000" w:themeColor="text1"/>
          <w:kern w:val="0"/>
          <w:sz w:val="24"/>
          <w:szCs w:val="24"/>
        </w:rPr>
        <w:t xml:space="preserve"> updated in 2004, the third edition of the International Classification of Headache Disorders beta (ICHD-3 beta) has now been published in 2013</w:t>
      </w:r>
      <w:r>
        <w:rPr>
          <w:rFonts w:ascii="Times New Roman" w:hAnsi="Times New Roman" w:cs="Times New Roman"/>
          <w:color w:val="000000" w:themeColor="text1"/>
          <w:kern w:val="0"/>
          <w:sz w:val="24"/>
          <w:szCs w:val="24"/>
        </w:rPr>
        <w:t xml:space="preserve"> </w:t>
      </w:r>
      <w:r w:rsidRPr="006272C1">
        <w:rPr>
          <w:rFonts w:ascii="Times New Roman" w:hAnsi="Times New Roman" w:cs="Times New Roman"/>
          <w:color w:val="000000" w:themeColor="text1"/>
          <w:kern w:val="0"/>
          <w:sz w:val="24"/>
          <w:szCs w:val="24"/>
        </w:rPr>
        <w:fldChar w:fldCharType="begin"/>
      </w:r>
      <w:r>
        <w:rPr>
          <w:rFonts w:ascii="Times New Roman" w:hAnsi="Times New Roman" w:cs="Times New Roman"/>
          <w:color w:val="000000" w:themeColor="text1"/>
          <w:kern w:val="0"/>
          <w:sz w:val="24"/>
          <w:szCs w:val="24"/>
        </w:rPr>
        <w:instrText xml:space="preserve"> ADDIN NE.Ref.{4FE0F666-4F82-4DDF-98B9-31F7E5D34367}</w:instrText>
      </w:r>
      <w:r w:rsidRPr="006272C1">
        <w:rPr>
          <w:rFonts w:ascii="Times New Roman"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[5]</w:t>
      </w:r>
      <w:r w:rsidRPr="006272C1">
        <w:rPr>
          <w:rFonts w:ascii="Times New Roman" w:hAnsi="Times New Roman" w:cs="Times New Roman"/>
          <w:color w:val="000000" w:themeColor="text1"/>
          <w:kern w:val="0"/>
          <w:sz w:val="24"/>
          <w:szCs w:val="24"/>
        </w:rPr>
        <w:fldChar w:fldCharType="end"/>
      </w:r>
      <w:r>
        <w:rPr>
          <w:rFonts w:ascii="Times New Roman" w:hAnsi="Times New Roman" w:cs="Times New Roman"/>
          <w:color w:val="000000" w:themeColor="text1"/>
          <w:kern w:val="0"/>
          <w:sz w:val="24"/>
          <w:szCs w:val="24"/>
        </w:rPr>
        <w:t>.</w:t>
      </w:r>
      <w:r w:rsidRPr="006272C1">
        <w:rPr>
          <w:rFonts w:ascii="Times New Roman" w:hAnsi="Times New Roman" w:cs="Times New Roman"/>
          <w:color w:val="000000" w:themeColor="text1"/>
          <w:kern w:val="0"/>
          <w:sz w:val="24"/>
          <w:szCs w:val="24"/>
        </w:rPr>
        <w:t xml:space="preserve"> They have been widely accepted and should now form the basis of all diagnosis and management of headache disorders in clinical </w:t>
      </w:r>
      <w:r>
        <w:rPr>
          <w:rFonts w:ascii="Times New Roman" w:hAnsi="Times New Roman" w:cs="Times New Roman"/>
          <w:color w:val="000000" w:themeColor="text1"/>
          <w:kern w:val="0"/>
          <w:sz w:val="24"/>
          <w:szCs w:val="24"/>
        </w:rPr>
        <w:t xml:space="preserve">practice as well as in research </w:t>
      </w:r>
      <w:r w:rsidRPr="006272C1">
        <w:rPr>
          <w:rFonts w:ascii="Times New Roman" w:hAnsi="Times New Roman" w:cs="Times New Roman"/>
          <w:color w:val="000000" w:themeColor="text1"/>
          <w:kern w:val="0"/>
          <w:sz w:val="24"/>
          <w:szCs w:val="24"/>
        </w:rPr>
        <w:fldChar w:fldCharType="begin"/>
      </w:r>
      <w:r>
        <w:rPr>
          <w:rFonts w:ascii="Times New Roman" w:hAnsi="Times New Roman" w:cs="Times New Roman"/>
          <w:color w:val="000000" w:themeColor="text1"/>
          <w:kern w:val="0"/>
          <w:sz w:val="24"/>
          <w:szCs w:val="24"/>
        </w:rPr>
        <w:instrText xml:space="preserve"> ADDIN NE.Ref.{948DC0EE-7B23-41A4-BAFD-D138D2896109}</w:instrText>
      </w:r>
      <w:r w:rsidRPr="006272C1">
        <w:rPr>
          <w:rFonts w:ascii="Times New Roman"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[6]</w:t>
      </w:r>
      <w:r w:rsidRPr="006272C1">
        <w:rPr>
          <w:rFonts w:ascii="Times New Roman" w:hAnsi="Times New Roman" w:cs="Times New Roman"/>
          <w:color w:val="000000" w:themeColor="text1"/>
          <w:kern w:val="0"/>
          <w:sz w:val="24"/>
          <w:szCs w:val="24"/>
        </w:rPr>
        <w:fldChar w:fldCharType="end"/>
      </w:r>
      <w:r>
        <w:rPr>
          <w:rFonts w:ascii="Times New Roman" w:hAnsi="Times New Roman" w:cs="Times New Roman"/>
          <w:color w:val="000000" w:themeColor="text1"/>
          <w:kern w:val="0"/>
          <w:sz w:val="24"/>
          <w:szCs w:val="24"/>
        </w:rPr>
        <w:t>.</w:t>
      </w:r>
      <w:r w:rsidRPr="006272C1">
        <w:rPr>
          <w:rFonts w:ascii="Times New Roman" w:hAnsi="Times New Roman" w:cs="Times New Roman"/>
          <w:color w:val="000000" w:themeColor="text1"/>
          <w:kern w:val="0"/>
          <w:sz w:val="24"/>
          <w:szCs w:val="24"/>
        </w:rPr>
        <w:t xml:space="preserve"> The ICHD-3 beta, like its predecessors, is hierarchical and allows diagnosis in different clinical settings. In China, the diagnosis of headache</w:t>
      </w:r>
      <w:r w:rsidRPr="006272C1">
        <w:rPr>
          <w:rFonts w:ascii="Times New Roman" w:hAnsi="Times New Roman" w:cs="Times New Roman" w:hint="eastAsia"/>
          <w:color w:val="000000" w:themeColor="text1"/>
          <w:kern w:val="0"/>
          <w:sz w:val="24"/>
          <w:szCs w:val="24"/>
        </w:rPr>
        <w:t xml:space="preserve"> </w:t>
      </w:r>
      <w:r w:rsidRPr="006272C1">
        <w:rPr>
          <w:rFonts w:ascii="Times New Roman" w:hAnsi="Times New Roman" w:cs="Times New Roman"/>
          <w:color w:val="000000" w:themeColor="text1"/>
          <w:kern w:val="0"/>
          <w:sz w:val="24"/>
          <w:szCs w:val="24"/>
        </w:rPr>
        <w:t>disorders based on ICHD-3 beta has been proved with high diagnostic accuracy for most of the primary and so</w:t>
      </w:r>
      <w:r>
        <w:rPr>
          <w:rFonts w:ascii="Times New Roman" w:hAnsi="Times New Roman" w:cs="Times New Roman"/>
          <w:color w:val="000000" w:themeColor="text1"/>
          <w:kern w:val="0"/>
          <w:sz w:val="24"/>
          <w:szCs w:val="24"/>
        </w:rPr>
        <w:t xml:space="preserve">me types of secondary </w:t>
      </w:r>
      <w:r>
        <w:rPr>
          <w:rFonts w:ascii="Times New Roman" w:hAnsi="Times New Roman" w:cs="Times New Roman"/>
          <w:color w:val="000000" w:themeColor="text1"/>
          <w:kern w:val="0"/>
          <w:sz w:val="24"/>
          <w:szCs w:val="24"/>
        </w:rPr>
        <w:lastRenderedPageBreak/>
        <w:t xml:space="preserve">headaches </w:t>
      </w:r>
      <w:r w:rsidRPr="006272C1">
        <w:rPr>
          <w:rFonts w:ascii="Times New Roman" w:hAnsi="Times New Roman" w:cs="Times New Roman"/>
          <w:color w:val="000000" w:themeColor="text1"/>
          <w:kern w:val="0"/>
          <w:sz w:val="24"/>
          <w:szCs w:val="24"/>
        </w:rPr>
        <w:fldChar w:fldCharType="begin"/>
      </w:r>
      <w:r>
        <w:rPr>
          <w:rFonts w:ascii="Times New Roman" w:hAnsi="Times New Roman" w:cs="Times New Roman"/>
          <w:color w:val="000000" w:themeColor="text1"/>
          <w:kern w:val="0"/>
          <w:sz w:val="24"/>
          <w:szCs w:val="24"/>
        </w:rPr>
        <w:instrText xml:space="preserve"> ADDIN NE.Ref.{5713D8E0-AC1B-4D3B-8AC4-C0DE4E7C6248}</w:instrText>
      </w:r>
      <w:r w:rsidRPr="006272C1">
        <w:rPr>
          <w:rFonts w:ascii="Times New Roman"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[7]</w:t>
      </w:r>
      <w:r w:rsidRPr="006272C1">
        <w:rPr>
          <w:rFonts w:ascii="Times New Roman" w:hAnsi="Times New Roman" w:cs="Times New Roman"/>
          <w:color w:val="000000" w:themeColor="text1"/>
          <w:kern w:val="0"/>
          <w:sz w:val="24"/>
          <w:szCs w:val="24"/>
        </w:rPr>
        <w:fldChar w:fldCharType="end"/>
      </w:r>
      <w:r>
        <w:rPr>
          <w:rFonts w:ascii="Times New Roman" w:hAnsi="Times New Roman" w:cs="Times New Roman"/>
          <w:color w:val="000000" w:themeColor="text1"/>
          <w:kern w:val="0"/>
          <w:sz w:val="24"/>
          <w:szCs w:val="24"/>
        </w:rPr>
        <w:t>.</w:t>
      </w:r>
      <w:r w:rsidRPr="006272C1">
        <w:rPr>
          <w:rFonts w:ascii="Times New Roman" w:hAnsi="Times New Roman" w:cs="Times New Roman"/>
          <w:color w:val="000000" w:themeColor="text1"/>
          <w:kern w:val="0"/>
          <w:sz w:val="24"/>
          <w:szCs w:val="24"/>
        </w:rPr>
        <w:t xml:space="preserve"> We only included the headache type of medication overuse headache, migraine and TTH, then the reference lists in published articles were reviewed and data were solicited from GBD network of more than 2500 collaborators. As for some </w:t>
      </w:r>
      <w:r>
        <w:rPr>
          <w:rFonts w:ascii="Times New Roman" w:hAnsi="Times New Roman" w:cs="Times New Roman"/>
          <w:color w:val="000000" w:themeColor="text1"/>
          <w:kern w:val="0"/>
          <w:sz w:val="24"/>
          <w:szCs w:val="24"/>
        </w:rPr>
        <w:t xml:space="preserve">other </w:t>
      </w:r>
      <w:r w:rsidRPr="006272C1">
        <w:rPr>
          <w:rFonts w:ascii="Times New Roman" w:hAnsi="Times New Roman" w:cs="Times New Roman"/>
          <w:color w:val="000000" w:themeColor="text1"/>
          <w:kern w:val="0"/>
          <w:sz w:val="24"/>
          <w:szCs w:val="24"/>
        </w:rPr>
        <w:t>secondary headaches, like infections or brain tumors related headache, the diagnosis is difficult in epidemiological studies, and the burden of these headaches should be attrib</w:t>
      </w:r>
      <w:r>
        <w:rPr>
          <w:rFonts w:ascii="Times New Roman" w:hAnsi="Times New Roman" w:cs="Times New Roman"/>
          <w:color w:val="000000" w:themeColor="text1"/>
          <w:kern w:val="0"/>
          <w:sz w:val="24"/>
          <w:szCs w:val="24"/>
        </w:rPr>
        <w:t xml:space="preserve">uted to the underlying disorder </w:t>
      </w:r>
      <w:r w:rsidRPr="006272C1">
        <w:rPr>
          <w:rFonts w:ascii="Times New Roman" w:hAnsi="Times New Roman" w:cs="Times New Roman"/>
          <w:color w:val="000000" w:themeColor="text1"/>
          <w:kern w:val="0"/>
          <w:sz w:val="24"/>
          <w:szCs w:val="24"/>
        </w:rPr>
        <w:fldChar w:fldCharType="begin"/>
      </w:r>
      <w:r>
        <w:rPr>
          <w:rFonts w:ascii="Times New Roman" w:hAnsi="Times New Roman" w:cs="Times New Roman"/>
          <w:color w:val="000000" w:themeColor="text1"/>
          <w:kern w:val="0"/>
          <w:sz w:val="24"/>
          <w:szCs w:val="24"/>
        </w:rPr>
        <w:instrText xml:space="preserve"> ADDIN NE.Ref.{E0462A10-9E83-43EE-8030-F17D817C8FB6}</w:instrText>
      </w:r>
      <w:r w:rsidRPr="006272C1">
        <w:rPr>
          <w:rFonts w:ascii="Times New Roman"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[8]</w:t>
      </w:r>
      <w:r w:rsidRPr="006272C1">
        <w:rPr>
          <w:rFonts w:ascii="Times New Roman" w:hAnsi="Times New Roman" w:cs="Times New Roman"/>
          <w:color w:val="000000" w:themeColor="text1"/>
          <w:kern w:val="0"/>
          <w:sz w:val="24"/>
          <w:szCs w:val="24"/>
        </w:rPr>
        <w:fldChar w:fldCharType="end"/>
      </w:r>
      <w:r>
        <w:rPr>
          <w:rFonts w:ascii="Times New Roman" w:hAnsi="Times New Roman" w:cs="Times New Roman"/>
          <w:color w:val="000000" w:themeColor="text1"/>
          <w:kern w:val="0"/>
          <w:sz w:val="24"/>
          <w:szCs w:val="24"/>
        </w:rPr>
        <w:t>.</w:t>
      </w:r>
      <w:r w:rsidRPr="006272C1">
        <w:rPr>
          <w:rFonts w:ascii="Times New Roman" w:hAnsi="Times New Roman" w:cs="Times New Roman"/>
          <w:color w:val="000000" w:themeColor="text1"/>
          <w:kern w:val="0"/>
          <w:sz w:val="24"/>
          <w:szCs w:val="24"/>
        </w:rPr>
        <w:t xml:space="preserve"> </w:t>
      </w:r>
    </w:p>
    <w:p w:rsidR="00503B82" w:rsidRPr="006272C1" w:rsidRDefault="00503B82" w:rsidP="00503B82">
      <w:pPr>
        <w:widowControl/>
        <w:spacing w:line="480" w:lineRule="auto"/>
        <w:rPr>
          <w:rFonts w:ascii="Times New Roman" w:eastAsia="宋体" w:hAnsi="Times New Roman" w:cs="Times New Roman"/>
          <w:b/>
          <w:color w:val="000000" w:themeColor="text1"/>
          <w:kern w:val="0"/>
          <w:sz w:val="24"/>
          <w:szCs w:val="24"/>
        </w:rPr>
      </w:pPr>
      <w:r>
        <w:rPr>
          <w:rFonts w:ascii="Times New Roman" w:eastAsia="宋体" w:hAnsi="Times New Roman" w:cs="Times New Roman"/>
          <w:b/>
          <w:color w:val="000000" w:themeColor="text1"/>
          <w:kern w:val="0"/>
          <w:sz w:val="24"/>
          <w:szCs w:val="24"/>
        </w:rPr>
        <w:t xml:space="preserve">2. </w:t>
      </w:r>
      <w:r w:rsidRPr="006272C1">
        <w:rPr>
          <w:rFonts w:ascii="Times New Roman" w:eastAsia="宋体" w:hAnsi="Times New Roman" w:cs="Times New Roman"/>
          <w:b/>
          <w:color w:val="000000" w:themeColor="text1"/>
          <w:kern w:val="0"/>
          <w:sz w:val="24"/>
          <w:szCs w:val="24"/>
        </w:rPr>
        <w:t>Prevalence modelling and correct step</w:t>
      </w:r>
    </w:p>
    <w:p w:rsidR="00503B82" w:rsidRPr="006272C1" w:rsidRDefault="00503B82" w:rsidP="00503B82">
      <w:pPr>
        <w:widowControl/>
        <w:spacing w:line="480" w:lineRule="auto"/>
        <w:ind w:firstLineChars="200" w:firstLine="480"/>
        <w:rPr>
          <w:rFonts w:ascii="Times New Roman" w:eastAsia="宋体" w:hAnsi="Times New Roman" w:cs="Times New Roman"/>
          <w:color w:val="000000" w:themeColor="text1"/>
          <w:kern w:val="0"/>
          <w:sz w:val="24"/>
          <w:szCs w:val="24"/>
        </w:rPr>
      </w:pPr>
      <w:r w:rsidRPr="006272C1">
        <w:rPr>
          <w:rFonts w:ascii="Times New Roman" w:hAnsi="Times New Roman" w:cs="Times New Roman"/>
          <w:color w:val="000000" w:themeColor="text1"/>
          <w:kern w:val="0"/>
          <w:sz w:val="24"/>
          <w:szCs w:val="24"/>
        </w:rPr>
        <w:t>The detailed descriptions of the modeling strategy for point prevalence and YLDs estimation and validatio</w:t>
      </w:r>
      <w:r>
        <w:rPr>
          <w:rFonts w:ascii="Times New Roman" w:hAnsi="Times New Roman" w:cs="Times New Roman"/>
          <w:color w:val="000000" w:themeColor="text1"/>
          <w:kern w:val="0"/>
          <w:sz w:val="24"/>
          <w:szCs w:val="24"/>
        </w:rPr>
        <w:t xml:space="preserve">n had been previously published </w:t>
      </w:r>
      <w:r w:rsidRPr="006272C1">
        <w:rPr>
          <w:rFonts w:ascii="Times New Roman" w:hAnsi="Times New Roman" w:cs="Times New Roman"/>
          <w:color w:val="000000" w:themeColor="text1"/>
          <w:kern w:val="0"/>
          <w:sz w:val="24"/>
          <w:szCs w:val="24"/>
        </w:rPr>
        <w:fldChar w:fldCharType="begin"/>
      </w:r>
      <w:r>
        <w:rPr>
          <w:rFonts w:ascii="Times New Roman" w:hAnsi="Times New Roman" w:cs="Times New Roman"/>
          <w:color w:val="000000" w:themeColor="text1"/>
          <w:kern w:val="0"/>
          <w:sz w:val="24"/>
          <w:szCs w:val="24"/>
        </w:rPr>
        <w:instrText xml:space="preserve"> ADDIN NE.Ref.{BCA08131-6E29-41B3-88F3-1196AEF9E346}</w:instrText>
      </w:r>
      <w:r w:rsidRPr="006272C1">
        <w:rPr>
          <w:rFonts w:ascii="Times New Roman"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[1]</w:t>
      </w:r>
      <w:r w:rsidRPr="006272C1">
        <w:rPr>
          <w:rFonts w:ascii="Times New Roman" w:hAnsi="Times New Roman" w:cs="Times New Roman"/>
          <w:color w:val="000000" w:themeColor="text1"/>
          <w:kern w:val="0"/>
          <w:sz w:val="24"/>
          <w:szCs w:val="24"/>
        </w:rPr>
        <w:fldChar w:fldCharType="end"/>
      </w:r>
      <w:r>
        <w:rPr>
          <w:rFonts w:ascii="Times New Roman" w:hAnsi="Times New Roman" w:cs="Times New Roman"/>
          <w:color w:val="000000" w:themeColor="text1"/>
          <w:kern w:val="0"/>
          <w:sz w:val="24"/>
          <w:szCs w:val="24"/>
        </w:rPr>
        <w:t>.</w:t>
      </w:r>
      <w:r w:rsidRPr="006272C1">
        <w:rPr>
          <w:rFonts w:ascii="Times New Roman" w:hAnsi="Times New Roman" w:cs="Times New Roman"/>
          <w:color w:val="000000" w:themeColor="text1"/>
          <w:kern w:val="0"/>
          <w:sz w:val="24"/>
          <w:szCs w:val="24"/>
        </w:rPr>
        <w:t xml:space="preserve"> </w:t>
      </w:r>
      <w:r w:rsidRPr="006272C1">
        <w:rPr>
          <w:rFonts w:ascii="Times New Roman" w:eastAsia="宋体" w:hAnsi="Times New Roman" w:cs="Times New Roman"/>
          <w:color w:val="000000" w:themeColor="text1"/>
          <w:kern w:val="0"/>
          <w:sz w:val="24"/>
          <w:szCs w:val="24"/>
        </w:rPr>
        <w:t>Prevalence</w:t>
      </w:r>
      <w:r w:rsidRPr="006272C1">
        <w:rPr>
          <w:rFonts w:ascii="Times New Roman" w:hAnsi="Times New Roman" w:cs="Times New Roman"/>
          <w:color w:val="000000" w:themeColor="text1"/>
          <w:kern w:val="0"/>
          <w:sz w:val="24"/>
          <w:szCs w:val="24"/>
        </w:rPr>
        <w:t xml:space="preserve"> data were matched by headache type, age, sex, year and location. Disease Modeling-Meta regression 2.1 (DisMod-MR 2.1), was developed for the GBD 2017 study to address the challenges in estimating the point prevalence and YLDs outcomes in all regions and countries, and estimates were obtained in this way also for regions where no relevant headache studies had been done. </w:t>
      </w:r>
      <w:r w:rsidRPr="006272C1">
        <w:rPr>
          <w:rFonts w:ascii="Times New Roman" w:eastAsia="宋体" w:hAnsi="Times New Roman" w:cs="Times New Roman"/>
          <w:color w:val="000000" w:themeColor="text1"/>
          <w:kern w:val="0"/>
          <w:sz w:val="24"/>
          <w:szCs w:val="24"/>
        </w:rPr>
        <w:t>Among the data sources used in GBD 2017, the prevalence rates vary across the world, but the degree to which this reflects real variation across borders and time, or method, is mostly not known. We consider the methodological differences may play a significant role because the results may be substantially affected by relatively minor differences, such as diversities in screening qu</w:t>
      </w:r>
      <w:r>
        <w:rPr>
          <w:rFonts w:ascii="Times New Roman" w:eastAsia="宋体" w:hAnsi="Times New Roman" w:cs="Times New Roman"/>
          <w:color w:val="000000" w:themeColor="text1"/>
          <w:kern w:val="0"/>
          <w:sz w:val="24"/>
          <w:szCs w:val="24"/>
        </w:rPr>
        <w:t xml:space="preserve">estion </w:t>
      </w:r>
      <w:r w:rsidRPr="006272C1">
        <w:rPr>
          <w:rFonts w:ascii="Times New Roman" w:eastAsia="宋体" w:hAnsi="Times New Roman" w:cs="Times New Roman"/>
          <w:color w:val="000000" w:themeColor="text1"/>
          <w:kern w:val="0"/>
          <w:sz w:val="24"/>
          <w:szCs w:val="24"/>
        </w:rPr>
        <w:fldChar w:fldCharType="begin"/>
      </w:r>
      <w:r>
        <w:rPr>
          <w:rFonts w:ascii="Times New Roman" w:eastAsia="宋体" w:hAnsi="Times New Roman" w:cs="Times New Roman"/>
          <w:color w:val="000000" w:themeColor="text1"/>
          <w:kern w:val="0"/>
          <w:sz w:val="24"/>
          <w:szCs w:val="24"/>
        </w:rPr>
        <w:instrText xml:space="preserve"> ADDIN NE.Ref.{BF596057-A2BC-49DB-A540-2053A8ECA93D}</w:instrText>
      </w:r>
      <w:r w:rsidRPr="006272C1">
        <w:rPr>
          <w:rFonts w:ascii="Times New Roman" w:eastAsia="宋体"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[9]</w:t>
      </w:r>
      <w:r w:rsidRPr="006272C1">
        <w:rPr>
          <w:rFonts w:ascii="Times New Roman" w:eastAsia="宋体" w:hAnsi="Times New Roman" w:cs="Times New Roman"/>
          <w:color w:val="000000" w:themeColor="text1"/>
          <w:kern w:val="0"/>
          <w:sz w:val="24"/>
          <w:szCs w:val="24"/>
        </w:rPr>
        <w:fldChar w:fldCharType="end"/>
      </w:r>
      <w:r>
        <w:rPr>
          <w:rFonts w:ascii="Times New Roman" w:eastAsia="宋体" w:hAnsi="Times New Roman" w:cs="Times New Roman"/>
          <w:color w:val="000000" w:themeColor="text1"/>
          <w:kern w:val="0"/>
          <w:sz w:val="24"/>
          <w:szCs w:val="24"/>
        </w:rPr>
        <w:t>.</w:t>
      </w:r>
      <w:r w:rsidRPr="006272C1">
        <w:rPr>
          <w:rFonts w:ascii="Times New Roman" w:eastAsia="宋体" w:hAnsi="Times New Roman" w:cs="Times New Roman"/>
          <w:color w:val="000000" w:themeColor="text1"/>
          <w:kern w:val="0"/>
          <w:sz w:val="24"/>
          <w:szCs w:val="24"/>
        </w:rPr>
        <w:t xml:space="preserve"> To adjust for differences in methodological quality, all included epidemiological studies are scored according to the revised edition (dichotomy variables) of the published methodological quality standards for headache </w:t>
      </w:r>
      <w:r w:rsidRPr="006272C1">
        <w:rPr>
          <w:rFonts w:ascii="Times New Roman" w:eastAsia="宋体" w:hAnsi="Times New Roman" w:cs="Times New Roman"/>
          <w:color w:val="000000" w:themeColor="text1"/>
          <w:kern w:val="0"/>
          <w:sz w:val="24"/>
          <w:szCs w:val="24"/>
        </w:rPr>
        <w:lastRenderedPageBreak/>
        <w:t>epidemiological studies</w:t>
      </w:r>
      <w:r>
        <w:rPr>
          <w:rFonts w:ascii="Times New Roman" w:eastAsia="宋体" w:hAnsi="Times New Roman" w:cs="Times New Roman"/>
          <w:color w:val="000000" w:themeColor="text1"/>
          <w:kern w:val="0"/>
          <w:sz w:val="24"/>
          <w:szCs w:val="24"/>
        </w:rPr>
        <w:t xml:space="preserve"> </w:t>
      </w:r>
      <w:r w:rsidRPr="006272C1">
        <w:rPr>
          <w:rFonts w:ascii="Times New Roman" w:eastAsia="宋体" w:hAnsi="Times New Roman" w:cs="Times New Roman"/>
          <w:color w:val="000000" w:themeColor="text1"/>
          <w:kern w:val="0"/>
          <w:sz w:val="24"/>
          <w:szCs w:val="24"/>
        </w:rPr>
        <w:fldChar w:fldCharType="begin"/>
      </w:r>
      <w:r>
        <w:rPr>
          <w:rFonts w:ascii="Times New Roman" w:eastAsia="宋体" w:hAnsi="Times New Roman" w:cs="Times New Roman"/>
          <w:color w:val="000000" w:themeColor="text1"/>
          <w:kern w:val="0"/>
          <w:sz w:val="24"/>
          <w:szCs w:val="24"/>
        </w:rPr>
        <w:instrText xml:space="preserve"> ADDIN NE.Ref.{92E9F0DD-5D73-4CD9-AB5C-0A8C0C2E8D5C}</w:instrText>
      </w:r>
      <w:r w:rsidRPr="006272C1">
        <w:rPr>
          <w:rFonts w:ascii="Times New Roman" w:eastAsia="宋体"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[8]</w:t>
      </w:r>
      <w:r w:rsidRPr="006272C1">
        <w:rPr>
          <w:rFonts w:ascii="Times New Roman" w:eastAsia="宋体" w:hAnsi="Times New Roman" w:cs="Times New Roman"/>
          <w:color w:val="000000" w:themeColor="text1"/>
          <w:kern w:val="0"/>
          <w:sz w:val="24"/>
          <w:szCs w:val="24"/>
        </w:rPr>
        <w:fldChar w:fldCharType="end"/>
      </w:r>
      <w:r>
        <w:rPr>
          <w:rFonts w:ascii="Times New Roman" w:eastAsia="宋体" w:hAnsi="Times New Roman" w:cs="Times New Roman"/>
          <w:color w:val="000000" w:themeColor="text1"/>
          <w:kern w:val="0"/>
          <w:sz w:val="24"/>
          <w:szCs w:val="24"/>
        </w:rPr>
        <w:t>.</w:t>
      </w:r>
      <w:r w:rsidRPr="006272C1">
        <w:rPr>
          <w:rFonts w:ascii="Times New Roman" w:eastAsia="宋体" w:hAnsi="Times New Roman" w:cs="Times New Roman"/>
          <w:color w:val="000000" w:themeColor="text1"/>
          <w:kern w:val="0"/>
          <w:sz w:val="24"/>
          <w:szCs w:val="24"/>
        </w:rPr>
        <w:t xml:space="preserve"> In DisMod-MR 2.1, these methodological variables were evaluated for a systematic difference and corrected accordingly.</w:t>
      </w:r>
    </w:p>
    <w:p w:rsidR="00503B82" w:rsidRPr="006272C1" w:rsidRDefault="00503B82" w:rsidP="00503B82">
      <w:pPr>
        <w:autoSpaceDE w:val="0"/>
        <w:autoSpaceDN w:val="0"/>
        <w:adjustRightInd w:val="0"/>
        <w:spacing w:line="480" w:lineRule="auto"/>
        <w:rPr>
          <w:rFonts w:ascii="Times New Roman" w:eastAsia="宋体" w:hAnsi="Times New Roman" w:cs="Times New Roman"/>
          <w:b/>
          <w:color w:val="000000" w:themeColor="text1"/>
          <w:kern w:val="0"/>
          <w:sz w:val="24"/>
          <w:szCs w:val="24"/>
        </w:rPr>
      </w:pPr>
      <w:r>
        <w:rPr>
          <w:rFonts w:ascii="Times New Roman" w:eastAsia="宋体" w:hAnsi="Times New Roman" w:cs="Times New Roman"/>
          <w:b/>
          <w:color w:val="000000" w:themeColor="text1"/>
          <w:kern w:val="0"/>
          <w:sz w:val="24"/>
          <w:szCs w:val="24"/>
        </w:rPr>
        <w:t xml:space="preserve">3. </w:t>
      </w:r>
      <w:r w:rsidRPr="006272C1">
        <w:rPr>
          <w:rFonts w:ascii="Times New Roman" w:eastAsia="宋体" w:hAnsi="Times New Roman" w:cs="Times New Roman"/>
          <w:b/>
          <w:color w:val="000000" w:themeColor="text1"/>
          <w:kern w:val="0"/>
          <w:sz w:val="24"/>
          <w:szCs w:val="24"/>
        </w:rPr>
        <w:t>Calculation of prevalence and YLD</w:t>
      </w:r>
      <w:r>
        <w:rPr>
          <w:rFonts w:ascii="Times New Roman" w:eastAsia="宋体" w:hAnsi="Times New Roman" w:cs="Times New Roman"/>
          <w:b/>
          <w:color w:val="000000" w:themeColor="text1"/>
          <w:kern w:val="0"/>
          <w:sz w:val="24"/>
          <w:szCs w:val="24"/>
        </w:rPr>
        <w:t>s</w:t>
      </w:r>
    </w:p>
    <w:p w:rsidR="00503B82" w:rsidRDefault="00503B82" w:rsidP="00503B82">
      <w:pPr>
        <w:widowControl/>
        <w:spacing w:line="480" w:lineRule="auto"/>
        <w:ind w:firstLineChars="200" w:firstLine="480"/>
        <w:rPr>
          <w:rFonts w:ascii="Times New Roman" w:eastAsia="宋体" w:hAnsi="Times New Roman" w:cs="Times New Roman"/>
          <w:color w:val="000000" w:themeColor="text1"/>
          <w:kern w:val="0"/>
          <w:sz w:val="24"/>
          <w:szCs w:val="24"/>
        </w:rPr>
      </w:pPr>
      <w:r w:rsidRPr="006272C1">
        <w:rPr>
          <w:rFonts w:ascii="Times New Roman" w:eastAsia="宋体" w:hAnsi="Times New Roman" w:cs="Times New Roman"/>
          <w:color w:val="000000" w:themeColor="text1"/>
          <w:kern w:val="0"/>
          <w:sz w:val="24"/>
          <w:szCs w:val="24"/>
        </w:rPr>
        <w:t xml:space="preserve">The prevalence reflects the individuals in the population who have had at least one episode in the past 12 months fulfilling </w:t>
      </w:r>
      <w:r w:rsidRPr="006272C1">
        <w:rPr>
          <w:rFonts w:ascii="Times New Roman" w:hAnsi="Times New Roman" w:cs="Times New Roman"/>
          <w:color w:val="000000" w:themeColor="text1"/>
          <w:kern w:val="0"/>
          <w:sz w:val="24"/>
          <w:szCs w:val="24"/>
        </w:rPr>
        <w:t>ICHD-3 beta</w:t>
      </w:r>
      <w:r w:rsidRPr="006272C1">
        <w:rPr>
          <w:rFonts w:ascii="Times New Roman" w:eastAsia="宋体" w:hAnsi="Times New Roman" w:cs="Times New Roman"/>
          <w:color w:val="000000" w:themeColor="text1"/>
          <w:kern w:val="0"/>
          <w:sz w:val="24"/>
          <w:szCs w:val="24"/>
        </w:rPr>
        <w:t xml:space="preserve"> criteria. The data on frequency and duration of headache attacks were identified from population-based studies. From these data, we estimated the average number of hours patients spend in headache attacks, and expressed</w:t>
      </w:r>
      <w:r>
        <w:rPr>
          <w:rFonts w:ascii="Times New Roman" w:eastAsia="宋体" w:hAnsi="Times New Roman" w:cs="Times New Roman"/>
          <w:color w:val="000000" w:themeColor="text1"/>
          <w:kern w:val="0"/>
          <w:sz w:val="24"/>
          <w:szCs w:val="24"/>
        </w:rPr>
        <w:t xml:space="preserve"> this as a proportion of a year </w:t>
      </w:r>
      <w:r w:rsidRPr="006272C1">
        <w:rPr>
          <w:rFonts w:ascii="Times New Roman" w:eastAsia="宋体" w:hAnsi="Times New Roman" w:cs="Times New Roman"/>
          <w:color w:val="000000" w:themeColor="text1"/>
          <w:kern w:val="0"/>
          <w:sz w:val="24"/>
          <w:szCs w:val="24"/>
        </w:rPr>
        <w:fldChar w:fldCharType="begin"/>
      </w:r>
      <w:r>
        <w:rPr>
          <w:rFonts w:ascii="Times New Roman" w:eastAsia="宋体" w:hAnsi="Times New Roman" w:cs="Times New Roman"/>
          <w:color w:val="000000" w:themeColor="text1"/>
          <w:kern w:val="0"/>
          <w:sz w:val="24"/>
          <w:szCs w:val="24"/>
        </w:rPr>
        <w:instrText xml:space="preserve"> ADDIN NE.Ref.{16CEC28F-7C0A-4FE9-A3F9-DFABBFE32C91}</w:instrText>
      </w:r>
      <w:r w:rsidRPr="006272C1">
        <w:rPr>
          <w:rFonts w:ascii="Times New Roman" w:eastAsia="宋体"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[3]</w:t>
      </w:r>
      <w:r w:rsidRPr="006272C1">
        <w:rPr>
          <w:rFonts w:ascii="Times New Roman" w:eastAsia="宋体" w:hAnsi="Times New Roman" w:cs="Times New Roman"/>
          <w:color w:val="000000" w:themeColor="text1"/>
          <w:kern w:val="0"/>
          <w:sz w:val="24"/>
          <w:szCs w:val="24"/>
        </w:rPr>
        <w:fldChar w:fldCharType="end"/>
      </w:r>
      <w:r>
        <w:rPr>
          <w:rFonts w:ascii="Times New Roman" w:eastAsia="宋体" w:hAnsi="Times New Roman" w:cs="Times New Roman"/>
          <w:color w:val="000000" w:themeColor="text1"/>
          <w:kern w:val="0"/>
          <w:sz w:val="24"/>
          <w:szCs w:val="24"/>
        </w:rPr>
        <w:t>.</w:t>
      </w:r>
      <w:r w:rsidRPr="006272C1">
        <w:rPr>
          <w:rFonts w:ascii="Times New Roman" w:eastAsia="宋体" w:hAnsi="Times New Roman" w:cs="Times New Roman" w:hint="eastAsia"/>
          <w:color w:val="000000" w:themeColor="text1"/>
          <w:kern w:val="0"/>
          <w:sz w:val="24"/>
          <w:szCs w:val="24"/>
        </w:rPr>
        <w:t xml:space="preserve"> </w:t>
      </w:r>
      <w:r w:rsidRPr="006272C1">
        <w:rPr>
          <w:rFonts w:ascii="Times New Roman" w:eastAsia="宋体" w:hAnsi="Times New Roman" w:cs="Times New Roman"/>
          <w:color w:val="000000" w:themeColor="text1"/>
          <w:kern w:val="0"/>
          <w:sz w:val="24"/>
          <w:szCs w:val="24"/>
        </w:rPr>
        <w:t>YLDs are estimated as the product of prevalence and the mean time patients spend with that type of headache (or sequelae) multiplied</w:t>
      </w:r>
      <w:r w:rsidRPr="006272C1">
        <w:rPr>
          <w:rFonts w:ascii="Times New Roman" w:eastAsia="宋体" w:hAnsi="Times New Roman" w:cs="Times New Roman" w:hint="eastAsia"/>
          <w:color w:val="000000" w:themeColor="text1"/>
          <w:kern w:val="0"/>
          <w:sz w:val="24"/>
          <w:szCs w:val="24"/>
        </w:rPr>
        <w:t xml:space="preserve"> </w:t>
      </w:r>
      <w:r w:rsidRPr="006272C1">
        <w:rPr>
          <w:rFonts w:ascii="Times New Roman" w:eastAsia="宋体" w:hAnsi="Times New Roman" w:cs="Times New Roman"/>
          <w:color w:val="000000" w:themeColor="text1"/>
          <w:kern w:val="0"/>
          <w:sz w:val="24"/>
          <w:szCs w:val="24"/>
        </w:rPr>
        <w:t xml:space="preserve">by their corresponding disability weights through </w:t>
      </w:r>
      <w:r>
        <w:rPr>
          <w:rFonts w:ascii="Times New Roman" w:eastAsia="宋体" w:hAnsi="Times New Roman" w:cs="Times New Roman"/>
          <w:color w:val="000000" w:themeColor="text1"/>
          <w:kern w:val="0"/>
          <w:sz w:val="24"/>
          <w:szCs w:val="24"/>
        </w:rPr>
        <w:t xml:space="preserve">population and internet surveys </w:t>
      </w:r>
      <w:r w:rsidRPr="006272C1">
        <w:rPr>
          <w:rFonts w:ascii="Times New Roman" w:eastAsia="宋体" w:hAnsi="Times New Roman" w:cs="Times New Roman"/>
          <w:color w:val="000000" w:themeColor="text1"/>
          <w:kern w:val="0"/>
          <w:sz w:val="24"/>
          <w:szCs w:val="24"/>
        </w:rPr>
        <w:fldChar w:fldCharType="begin"/>
      </w:r>
      <w:r>
        <w:rPr>
          <w:rFonts w:ascii="Times New Roman" w:eastAsia="宋体" w:hAnsi="Times New Roman" w:cs="Times New Roman"/>
          <w:color w:val="000000" w:themeColor="text1"/>
          <w:kern w:val="0"/>
          <w:sz w:val="24"/>
          <w:szCs w:val="24"/>
        </w:rPr>
        <w:instrText xml:space="preserve"> ADDIN NE.Ref.{EEE73F9C-5732-4FD2-BDC1-5A2203B4D21D}</w:instrText>
      </w:r>
      <w:r w:rsidRPr="006272C1">
        <w:rPr>
          <w:rFonts w:ascii="Times New Roman" w:eastAsia="宋体"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[3]</w:t>
      </w:r>
      <w:r w:rsidRPr="006272C1">
        <w:rPr>
          <w:rFonts w:ascii="Times New Roman" w:eastAsia="宋体" w:hAnsi="Times New Roman" w:cs="Times New Roman"/>
          <w:color w:val="000000" w:themeColor="text1"/>
          <w:kern w:val="0"/>
          <w:sz w:val="24"/>
          <w:szCs w:val="24"/>
        </w:rPr>
        <w:fldChar w:fldCharType="end"/>
      </w:r>
      <w:r>
        <w:rPr>
          <w:rFonts w:ascii="Times New Roman" w:eastAsia="宋体" w:hAnsi="Times New Roman" w:cs="Times New Roman"/>
          <w:color w:val="000000" w:themeColor="text1"/>
          <w:kern w:val="0"/>
          <w:sz w:val="24"/>
          <w:szCs w:val="24"/>
        </w:rPr>
        <w:t>,</w:t>
      </w:r>
      <w:r w:rsidRPr="006272C1">
        <w:rPr>
          <w:rFonts w:ascii="Times New Roman" w:eastAsia="宋体" w:hAnsi="Times New Roman" w:cs="Times New Roman"/>
          <w:color w:val="000000" w:themeColor="text1"/>
          <w:kern w:val="0"/>
          <w:sz w:val="24"/>
          <w:szCs w:val="24"/>
        </w:rPr>
        <w:t xml:space="preserve"> which quantify</w:t>
      </w:r>
      <w:r w:rsidRPr="006272C1">
        <w:rPr>
          <w:rFonts w:ascii="Times New Roman" w:eastAsia="宋体" w:hAnsi="Times New Roman" w:cs="Times New Roman" w:hint="eastAsia"/>
          <w:color w:val="000000" w:themeColor="text1"/>
          <w:kern w:val="0"/>
          <w:sz w:val="24"/>
          <w:szCs w:val="24"/>
        </w:rPr>
        <w:t xml:space="preserve"> </w:t>
      </w:r>
      <w:r w:rsidRPr="006272C1">
        <w:rPr>
          <w:rFonts w:ascii="Times New Roman" w:eastAsia="宋体" w:hAnsi="Times New Roman" w:cs="Times New Roman"/>
          <w:color w:val="000000" w:themeColor="text1"/>
          <w:kern w:val="0"/>
          <w:sz w:val="24"/>
          <w:szCs w:val="24"/>
        </w:rPr>
        <w:t>the relative severity of sequelae as a number between 0</w:t>
      </w:r>
      <w:r w:rsidRPr="006272C1">
        <w:rPr>
          <w:rFonts w:ascii="Times New Roman" w:eastAsia="宋体" w:hAnsi="Times New Roman" w:cs="Times New Roman" w:hint="eastAsia"/>
          <w:color w:val="000000" w:themeColor="text1"/>
          <w:kern w:val="0"/>
          <w:sz w:val="24"/>
          <w:szCs w:val="24"/>
        </w:rPr>
        <w:t xml:space="preserve"> </w:t>
      </w:r>
      <w:r w:rsidRPr="006272C1">
        <w:rPr>
          <w:rFonts w:ascii="Times New Roman" w:eastAsia="宋体" w:hAnsi="Times New Roman" w:cs="Times New Roman"/>
          <w:color w:val="000000" w:themeColor="text1"/>
          <w:kern w:val="0"/>
          <w:sz w:val="24"/>
          <w:szCs w:val="24"/>
        </w:rPr>
        <w:t>(representing full hea</w:t>
      </w:r>
      <w:r>
        <w:rPr>
          <w:rFonts w:ascii="Times New Roman" w:eastAsia="宋体" w:hAnsi="Times New Roman" w:cs="Times New Roman"/>
          <w:color w:val="000000" w:themeColor="text1"/>
          <w:kern w:val="0"/>
          <w:sz w:val="24"/>
          <w:szCs w:val="24"/>
        </w:rPr>
        <w:t xml:space="preserve">lth) and 1 (representing death) </w:t>
      </w:r>
      <w:r w:rsidRPr="006272C1">
        <w:rPr>
          <w:rFonts w:ascii="Times New Roman" w:eastAsia="宋体" w:hAnsi="Times New Roman" w:cs="Times New Roman"/>
          <w:color w:val="000000" w:themeColor="text1"/>
          <w:kern w:val="0"/>
          <w:sz w:val="24"/>
          <w:szCs w:val="24"/>
        </w:rPr>
        <w:fldChar w:fldCharType="begin"/>
      </w:r>
      <w:r>
        <w:rPr>
          <w:rFonts w:ascii="Times New Roman" w:eastAsia="宋体" w:hAnsi="Times New Roman" w:cs="Times New Roman"/>
          <w:color w:val="000000" w:themeColor="text1"/>
          <w:kern w:val="0"/>
          <w:sz w:val="24"/>
          <w:szCs w:val="24"/>
        </w:rPr>
        <w:instrText xml:space="preserve"> ADDIN NE.Ref.{E15F5725-F0F2-42E9-8393-70D307C9ED79}</w:instrText>
      </w:r>
      <w:r w:rsidRPr="006272C1">
        <w:rPr>
          <w:rFonts w:ascii="Times New Roman" w:eastAsia="宋体" w:hAnsi="Times New Roman" w:cs="Times New Roman"/>
          <w:color w:val="000000" w:themeColor="text1"/>
          <w:kern w:val="0"/>
          <w:sz w:val="24"/>
          <w:szCs w:val="24"/>
        </w:rPr>
        <w:fldChar w:fldCharType="separate"/>
      </w:r>
      <w:r>
        <w:rPr>
          <w:rFonts w:ascii="Times New Roman" w:hAnsi="Times New Roman" w:cs="Times New Roman"/>
          <w:color w:val="080000"/>
          <w:kern w:val="0"/>
          <w:sz w:val="24"/>
          <w:szCs w:val="24"/>
        </w:rPr>
        <w:t>[10]</w:t>
      </w:r>
      <w:r w:rsidRPr="006272C1">
        <w:rPr>
          <w:rFonts w:ascii="Times New Roman" w:eastAsia="宋体" w:hAnsi="Times New Roman" w:cs="Times New Roman"/>
          <w:color w:val="000000" w:themeColor="text1"/>
          <w:kern w:val="0"/>
          <w:sz w:val="24"/>
          <w:szCs w:val="24"/>
        </w:rPr>
        <w:fldChar w:fldCharType="end"/>
      </w:r>
      <w:r>
        <w:rPr>
          <w:rFonts w:ascii="Times New Roman" w:eastAsia="宋体" w:hAnsi="Times New Roman" w:cs="Times New Roman"/>
          <w:color w:val="000000" w:themeColor="text1"/>
          <w:kern w:val="0"/>
          <w:sz w:val="24"/>
          <w:szCs w:val="24"/>
        </w:rPr>
        <w:t>.</w:t>
      </w:r>
    </w:p>
    <w:p w:rsidR="00503B82" w:rsidRP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b/>
          <w:bCs/>
          <w:color w:val="000000"/>
          <w:kern w:val="0"/>
          <w:sz w:val="40"/>
          <w:szCs w:val="40"/>
        </w:rPr>
        <w:t>References:</w:t>
      </w:r>
      <w:r w:rsidRPr="002A3EE6">
        <w:rPr>
          <w:rFonts w:ascii="Times New Roman" w:eastAsia="宋体" w:hAnsi="Times New Roman" w:cs="Times New Roman"/>
          <w:color w:val="000000" w:themeColor="text1"/>
          <w:kern w:val="0"/>
          <w:sz w:val="24"/>
          <w:szCs w:val="24"/>
        </w:rPr>
        <w:fldChar w:fldCharType="begin"/>
      </w:r>
      <w:r w:rsidRPr="002A3EE6">
        <w:rPr>
          <w:rFonts w:ascii="Times New Roman" w:eastAsia="宋体" w:hAnsi="Times New Roman" w:cs="Times New Roman"/>
          <w:color w:val="000000" w:themeColor="text1"/>
          <w:kern w:val="0"/>
          <w:sz w:val="24"/>
          <w:szCs w:val="24"/>
        </w:rPr>
        <w:instrText xml:space="preserve"> ADDIN NE.Bib</w:instrText>
      </w:r>
      <w:r w:rsidRPr="002A3EE6">
        <w:rPr>
          <w:rFonts w:ascii="Times New Roman" w:eastAsia="宋体" w:hAnsi="Times New Roman" w:cs="Times New Roman"/>
          <w:color w:val="000000" w:themeColor="text1"/>
          <w:kern w:val="0"/>
          <w:sz w:val="24"/>
          <w:szCs w:val="24"/>
        </w:rPr>
        <w:fldChar w:fldCharType="separate"/>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1.</w:t>
      </w:r>
      <w:r>
        <w:rPr>
          <w:rFonts w:ascii="Times New Roman" w:hAnsi="Times New Roman" w:cs="Times New Roman"/>
          <w:color w:val="000000"/>
          <w:kern w:val="0"/>
          <w:sz w:val="20"/>
          <w:szCs w:val="20"/>
        </w:rPr>
        <w:tab/>
      </w:r>
      <w:r w:rsidRPr="00503B82">
        <w:rPr>
          <w:rFonts w:ascii="Times New Roman" w:hAnsi="Times New Roman" w:cs="Times New Roman"/>
          <w:color w:val="000000"/>
          <w:kern w:val="0"/>
          <w:sz w:val="20"/>
          <w:szCs w:val="20"/>
        </w:rPr>
        <w:t xml:space="preserve">GBD 2017 Disease and Injury Incidence and Prevalence Collaborators </w:t>
      </w:r>
      <w:r>
        <w:rPr>
          <w:rFonts w:ascii="Times New Roman" w:hAnsi="Times New Roman" w:cs="Times New Roman"/>
          <w:color w:val="000000"/>
          <w:kern w:val="0"/>
          <w:sz w:val="20"/>
          <w:szCs w:val="20"/>
        </w:rPr>
        <w:t>(2018) Global, regional, and national incidence, prevalence, and years lived with disability for 354 diseases and injuries for 195 countries and territories, 1990-2017: a systematic analysis for the Global Burden of Disease Study 2017. Lancet 392(10159):1789-858.</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2.</w:t>
      </w:r>
      <w:r>
        <w:rPr>
          <w:rFonts w:ascii="Times New Roman" w:hAnsi="Times New Roman" w:cs="Times New Roman"/>
          <w:color w:val="000000"/>
          <w:kern w:val="0"/>
          <w:sz w:val="20"/>
          <w:szCs w:val="20"/>
        </w:rPr>
        <w:tab/>
      </w:r>
      <w:r w:rsidRPr="00503B82">
        <w:rPr>
          <w:rFonts w:ascii="Times New Roman" w:hAnsi="Times New Roman" w:cs="Times New Roman"/>
          <w:color w:val="000000"/>
          <w:kern w:val="0"/>
          <w:sz w:val="20"/>
          <w:szCs w:val="20"/>
        </w:rPr>
        <w:t xml:space="preserve">GBD 2017 Causes of Death Collaborators </w:t>
      </w:r>
      <w:r>
        <w:rPr>
          <w:rFonts w:ascii="Times New Roman" w:hAnsi="Times New Roman" w:cs="Times New Roman"/>
          <w:color w:val="000000"/>
          <w:kern w:val="0"/>
          <w:sz w:val="20"/>
          <w:szCs w:val="20"/>
        </w:rPr>
        <w:t>(2018) Global, regional, and national age-sex-specific mortality for 282 causes of death in 195 countries and territories, 1980-2017: a systematic analysis for the Global Burden of Disease Study 2017. Lancet 392(10159):1736-88.</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3.</w:t>
      </w:r>
      <w:r>
        <w:rPr>
          <w:rFonts w:ascii="Times New Roman" w:hAnsi="Times New Roman" w:cs="Times New Roman"/>
          <w:color w:val="000000"/>
          <w:kern w:val="0"/>
          <w:sz w:val="20"/>
          <w:szCs w:val="20"/>
        </w:rPr>
        <w:tab/>
      </w:r>
      <w:r w:rsidRPr="00503B82">
        <w:rPr>
          <w:rFonts w:ascii="Times New Roman" w:hAnsi="Times New Roman" w:cs="Times New Roman"/>
          <w:color w:val="000000"/>
          <w:kern w:val="0"/>
          <w:sz w:val="20"/>
          <w:szCs w:val="20"/>
        </w:rPr>
        <w:t xml:space="preserve">GBD 2016 Headache Collaborators </w:t>
      </w:r>
      <w:r>
        <w:rPr>
          <w:rFonts w:ascii="Times New Roman" w:hAnsi="Times New Roman" w:cs="Times New Roman"/>
          <w:color w:val="000000"/>
          <w:kern w:val="0"/>
          <w:sz w:val="20"/>
          <w:szCs w:val="20"/>
        </w:rPr>
        <w:t xml:space="preserve">(2018) Global, regional, and national burden of migraine and tension-type headache, 1990-2016: a systematic analysis for the Global Burden of Disease Study 2016. </w:t>
      </w:r>
      <w:r>
        <w:rPr>
          <w:rFonts w:ascii="Times New Roman" w:hAnsi="Times New Roman" w:cs="Times New Roman"/>
          <w:color w:val="000000"/>
          <w:kern w:val="0"/>
          <w:sz w:val="20"/>
          <w:szCs w:val="20"/>
        </w:rPr>
        <w:lastRenderedPageBreak/>
        <w:t>Lancet Neurol 17(11):954-76.</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4.</w:t>
      </w:r>
      <w:r>
        <w:rPr>
          <w:rFonts w:ascii="Times New Roman" w:hAnsi="Times New Roman" w:cs="Times New Roman"/>
          <w:color w:val="000000"/>
          <w:kern w:val="0"/>
          <w:sz w:val="20"/>
          <w:szCs w:val="20"/>
        </w:rPr>
        <w:tab/>
      </w:r>
      <w:r w:rsidR="005235DF">
        <w:rPr>
          <w:rFonts w:ascii="Times New Roman" w:hAnsi="Times New Roman" w:cs="Times New Roman"/>
          <w:color w:val="000000"/>
          <w:kern w:val="0"/>
          <w:sz w:val="20"/>
          <w:szCs w:val="20"/>
        </w:rPr>
        <w:t xml:space="preserve">Headache Classification Committee of the International Headache Society (IHS) </w:t>
      </w:r>
      <w:r>
        <w:rPr>
          <w:rFonts w:ascii="Times New Roman" w:hAnsi="Times New Roman" w:cs="Times New Roman"/>
          <w:color w:val="000000"/>
          <w:kern w:val="0"/>
          <w:sz w:val="20"/>
          <w:szCs w:val="20"/>
        </w:rPr>
        <w:t>(2004) The International Classification of Headache Disorders: 2nd edition. Cephalalgia 24 Suppl 1:9-160.</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5.</w:t>
      </w:r>
      <w:r>
        <w:rPr>
          <w:rFonts w:ascii="Times New Roman" w:hAnsi="Times New Roman" w:cs="Times New Roman"/>
          <w:color w:val="000000"/>
          <w:kern w:val="0"/>
          <w:sz w:val="20"/>
          <w:szCs w:val="20"/>
        </w:rPr>
        <w:tab/>
      </w:r>
      <w:r w:rsidR="005235DF">
        <w:rPr>
          <w:rFonts w:ascii="Times New Roman" w:hAnsi="Times New Roman" w:cs="Times New Roman"/>
          <w:color w:val="000000"/>
          <w:kern w:val="0"/>
          <w:sz w:val="20"/>
          <w:szCs w:val="20"/>
        </w:rPr>
        <w:t xml:space="preserve">Headache Classification Committee of the International Headache Society (IHS) </w:t>
      </w:r>
      <w:r>
        <w:rPr>
          <w:rFonts w:ascii="Times New Roman" w:hAnsi="Times New Roman" w:cs="Times New Roman"/>
          <w:color w:val="000000"/>
          <w:kern w:val="0"/>
          <w:sz w:val="20"/>
          <w:szCs w:val="20"/>
        </w:rPr>
        <w:t>(2013) The International Classification of Headache Disorders, 3rd edition (beta version). Cephalalgia 33(9):629-808.</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6.</w:t>
      </w:r>
      <w:r>
        <w:rPr>
          <w:rFonts w:ascii="Times New Roman" w:hAnsi="Times New Roman" w:cs="Times New Roman"/>
          <w:color w:val="000000"/>
          <w:kern w:val="0"/>
          <w:sz w:val="20"/>
          <w:szCs w:val="20"/>
        </w:rPr>
        <w:tab/>
      </w:r>
      <w:r w:rsidR="005235DF">
        <w:rPr>
          <w:rFonts w:ascii="Times New Roman" w:hAnsi="Times New Roman" w:cs="Times New Roman"/>
          <w:color w:val="000000"/>
          <w:kern w:val="0"/>
          <w:sz w:val="20"/>
          <w:szCs w:val="20"/>
        </w:rPr>
        <w:t xml:space="preserve">Headache Classification Committee of the International Headache Society (IHS) </w:t>
      </w:r>
      <w:r>
        <w:rPr>
          <w:rFonts w:ascii="Times New Roman" w:hAnsi="Times New Roman" w:cs="Times New Roman"/>
          <w:color w:val="000000"/>
          <w:kern w:val="0"/>
          <w:sz w:val="20"/>
          <w:szCs w:val="20"/>
        </w:rPr>
        <w:t>(2018) Headache Classification Committee of the International Headache Society (IHS) The International Classification of Headache Disorders, 3rd edition. Cephalalgia 38(1):1-211.</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7.</w:t>
      </w:r>
      <w:r>
        <w:rPr>
          <w:rFonts w:ascii="Times New Roman" w:hAnsi="Times New Roman" w:cs="Times New Roman"/>
          <w:color w:val="000000"/>
          <w:kern w:val="0"/>
          <w:sz w:val="20"/>
          <w:szCs w:val="20"/>
        </w:rPr>
        <w:tab/>
        <w:t>Dong Z, Yin Z, He M, Chen X, Lv X, Yu S (2014) Validation of a guideline-based decision support system for the diagnosis of primary headache disorders based on ICHD-3 beta. J Headache Pain 15:40.</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8.</w:t>
      </w:r>
      <w:r>
        <w:rPr>
          <w:rFonts w:ascii="Times New Roman" w:hAnsi="Times New Roman" w:cs="Times New Roman"/>
          <w:color w:val="000000"/>
          <w:kern w:val="0"/>
          <w:sz w:val="20"/>
          <w:szCs w:val="20"/>
        </w:rPr>
        <w:tab/>
        <w:t>Stovner LJ, Al JM, Birbeck GL, Gururaj G, Jensen R, Katsarava Z</w:t>
      </w:r>
      <w:r>
        <w:rPr>
          <w:rFonts w:ascii="Times New Roman" w:hAnsi="Times New Roman" w:cs="Times New Roman"/>
          <w:i/>
          <w:iCs/>
          <w:color w:val="000000"/>
          <w:kern w:val="0"/>
          <w:sz w:val="20"/>
          <w:szCs w:val="20"/>
        </w:rPr>
        <w:t xml:space="preserve"> et al</w:t>
      </w:r>
      <w:r>
        <w:rPr>
          <w:rFonts w:ascii="Times New Roman" w:hAnsi="Times New Roman" w:cs="Times New Roman"/>
          <w:color w:val="000000"/>
          <w:kern w:val="0"/>
          <w:sz w:val="20"/>
          <w:szCs w:val="20"/>
        </w:rPr>
        <w:t xml:space="preserve"> (2014) The methodology of population surveys of headache prevalence, burden and cost: principles and recommendations from the Global Campaign against Headache. J Headache Pain 15:5.</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 xml:space="preserve"> 9.</w:t>
      </w:r>
      <w:r>
        <w:rPr>
          <w:rFonts w:ascii="Times New Roman" w:hAnsi="Times New Roman" w:cs="Times New Roman"/>
          <w:color w:val="000000"/>
          <w:kern w:val="0"/>
          <w:sz w:val="20"/>
          <w:szCs w:val="20"/>
        </w:rPr>
        <w:tab/>
        <w:t>Hagen K, Zwart JA, Aamodt AH, Nilsen KB, Brathen G, Helde G</w:t>
      </w:r>
      <w:r>
        <w:rPr>
          <w:rFonts w:ascii="Times New Roman" w:hAnsi="Times New Roman" w:cs="Times New Roman"/>
          <w:i/>
          <w:iCs/>
          <w:color w:val="000000"/>
          <w:kern w:val="0"/>
          <w:sz w:val="20"/>
          <w:szCs w:val="20"/>
        </w:rPr>
        <w:t xml:space="preserve"> et al</w:t>
      </w:r>
      <w:r>
        <w:rPr>
          <w:rFonts w:ascii="Times New Roman" w:hAnsi="Times New Roman" w:cs="Times New Roman"/>
          <w:color w:val="000000"/>
          <w:kern w:val="0"/>
          <w:sz w:val="20"/>
          <w:szCs w:val="20"/>
        </w:rPr>
        <w:t xml:space="preserve"> (2008) A face-to-face interview of participants in HUNT 3: the impact of the screening question on headache prevalence. J Headache Pain 9(5):289-94.</w:t>
      </w:r>
    </w:p>
    <w:p w:rsidR="00503B82" w:rsidRDefault="00503B82" w:rsidP="00503B82">
      <w:pPr>
        <w:autoSpaceDE w:val="0"/>
        <w:autoSpaceDN w:val="0"/>
        <w:adjustRightInd w:val="0"/>
        <w:spacing w:line="480" w:lineRule="auto"/>
        <w:rPr>
          <w:rFonts w:ascii="Times New Roman" w:hAnsi="Times New Roman" w:cs="Times New Roman"/>
          <w:kern w:val="0"/>
          <w:sz w:val="24"/>
          <w:szCs w:val="24"/>
        </w:rPr>
      </w:pPr>
      <w:r>
        <w:rPr>
          <w:rFonts w:ascii="Times New Roman" w:hAnsi="Times New Roman" w:cs="Times New Roman"/>
          <w:color w:val="000000"/>
          <w:kern w:val="0"/>
          <w:sz w:val="20"/>
          <w:szCs w:val="20"/>
        </w:rPr>
        <w:t>10.</w:t>
      </w:r>
      <w:r>
        <w:rPr>
          <w:rFonts w:ascii="Times New Roman" w:hAnsi="Times New Roman" w:cs="Times New Roman"/>
          <w:color w:val="000000"/>
          <w:kern w:val="0"/>
          <w:sz w:val="20"/>
          <w:szCs w:val="20"/>
        </w:rPr>
        <w:tab/>
      </w:r>
      <w:r w:rsidR="005235DF" w:rsidRPr="005235DF">
        <w:rPr>
          <w:rFonts w:ascii="Times New Roman" w:hAnsi="Times New Roman" w:cs="Times New Roman"/>
          <w:color w:val="000000"/>
          <w:kern w:val="0"/>
          <w:sz w:val="20"/>
          <w:szCs w:val="20"/>
        </w:rPr>
        <w:t>GBD 201</w:t>
      </w:r>
      <w:r w:rsidR="005235DF">
        <w:rPr>
          <w:rFonts w:ascii="Times New Roman" w:hAnsi="Times New Roman" w:cs="Times New Roman"/>
          <w:color w:val="000000"/>
          <w:kern w:val="0"/>
          <w:sz w:val="20"/>
          <w:szCs w:val="20"/>
        </w:rPr>
        <w:t>6</w:t>
      </w:r>
      <w:r w:rsidR="005235DF" w:rsidRPr="005235DF">
        <w:rPr>
          <w:rFonts w:ascii="Times New Roman" w:hAnsi="Times New Roman" w:cs="Times New Roman"/>
          <w:color w:val="000000"/>
          <w:kern w:val="0"/>
          <w:sz w:val="20"/>
          <w:szCs w:val="20"/>
        </w:rPr>
        <w:t xml:space="preserve"> Neurological Disorders Collaborator Group </w:t>
      </w:r>
      <w:r>
        <w:rPr>
          <w:rFonts w:ascii="Times New Roman" w:hAnsi="Times New Roman" w:cs="Times New Roman"/>
          <w:color w:val="000000"/>
          <w:kern w:val="0"/>
          <w:sz w:val="20"/>
          <w:szCs w:val="20"/>
        </w:rPr>
        <w:t>(2019) Global, regional, and national burden of neurological disorders, 1990-2016: a systematic analysis for the Global Burden of Disease Study 2016. Lancet Neurol 18(5):459-80.</w:t>
      </w:r>
    </w:p>
    <w:p w:rsidR="00DB7C59" w:rsidRDefault="00503B82" w:rsidP="00DB7C59">
      <w:pPr>
        <w:widowControl/>
        <w:jc w:val="left"/>
      </w:pPr>
      <w:r w:rsidRPr="002A3EE6">
        <w:rPr>
          <w:rFonts w:ascii="Times New Roman" w:eastAsia="宋体" w:hAnsi="Times New Roman" w:cs="Times New Roman"/>
          <w:color w:val="000000" w:themeColor="text1"/>
          <w:kern w:val="0"/>
          <w:sz w:val="24"/>
          <w:szCs w:val="24"/>
        </w:rPr>
        <w:fldChar w:fldCharType="end"/>
      </w:r>
      <w:r w:rsidR="00DB7C59">
        <w:br w:type="page"/>
      </w:r>
    </w:p>
    <w:p w:rsidR="00DB7C59" w:rsidRPr="00503B82" w:rsidRDefault="00DB7C59" w:rsidP="00DB7C59">
      <w:pPr>
        <w:autoSpaceDE w:val="0"/>
        <w:autoSpaceDN w:val="0"/>
        <w:adjustRightInd w:val="0"/>
        <w:spacing w:line="480" w:lineRule="auto"/>
        <w:rPr>
          <w:rFonts w:ascii="Times New Roman" w:eastAsia="宋体" w:hAnsi="Times New Roman" w:cs="Times New Roman"/>
          <w:color w:val="000000" w:themeColor="text1"/>
          <w:kern w:val="0"/>
          <w:sz w:val="24"/>
          <w:szCs w:val="24"/>
        </w:rPr>
      </w:pPr>
      <w:r w:rsidRPr="00DB7C59">
        <w:rPr>
          <w:noProof/>
        </w:rPr>
        <w:lastRenderedPageBreak/>
        <w:drawing>
          <wp:anchor distT="0" distB="0" distL="114300" distR="114300" simplePos="0" relativeHeight="251658240" behindDoc="0" locked="0" layoutInCell="1" allowOverlap="1" wp14:anchorId="48099FAB" wp14:editId="343F4846">
            <wp:simplePos x="0" y="0"/>
            <wp:positionH relativeFrom="margin">
              <wp:align>center</wp:align>
            </wp:positionH>
            <wp:positionV relativeFrom="paragraph">
              <wp:posOffset>406400</wp:posOffset>
            </wp:positionV>
            <wp:extent cx="6103688" cy="5760000"/>
            <wp:effectExtent l="0" t="0" r="0" b="0"/>
            <wp:wrapSquare wrapText="bothSides"/>
            <wp:docPr id="1" name="图片 1" descr="D:\9. 论文投稿\5. GBD论文分析&amp;投稿\GBD论文投稿\2. Headache 投稿\1. Headache 投稿J of headache and pain_0729\投稿文件\Figure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9. 论文投稿\5. GBD论文分析&amp;投稿\GBD论文投稿\2. Headache 投稿\1. Headache 投稿J of headache and pain_0729\投稿文件\Figure 2.tif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3688" cy="5760000"/>
                    </a:xfrm>
                    <a:prstGeom prst="rect">
                      <a:avLst/>
                    </a:prstGeom>
                    <a:noFill/>
                    <a:ln>
                      <a:noFill/>
                    </a:ln>
                  </pic:spPr>
                </pic:pic>
              </a:graphicData>
            </a:graphic>
          </wp:anchor>
        </w:drawing>
      </w:r>
      <w:r w:rsidRPr="00503B82">
        <w:rPr>
          <w:rFonts w:ascii="Times New Roman" w:eastAsia="宋体" w:hAnsi="Times New Roman" w:cs="Times New Roman"/>
          <w:b/>
          <w:color w:val="000000" w:themeColor="text1"/>
          <w:kern w:val="0"/>
          <w:sz w:val="24"/>
          <w:szCs w:val="24"/>
        </w:rPr>
        <w:t>Figure</w:t>
      </w:r>
      <w:r w:rsidR="00085D4A">
        <w:rPr>
          <w:rFonts w:ascii="Times New Roman" w:eastAsia="宋体" w:hAnsi="Times New Roman" w:cs="Times New Roman"/>
          <w:b/>
          <w:color w:val="000000" w:themeColor="text1"/>
          <w:kern w:val="0"/>
          <w:sz w:val="24"/>
          <w:szCs w:val="24"/>
        </w:rPr>
        <w:t xml:space="preserve"> S1</w:t>
      </w:r>
      <w:r w:rsidRPr="00503B82">
        <w:rPr>
          <w:rFonts w:ascii="Times New Roman" w:eastAsia="宋体" w:hAnsi="Times New Roman" w:cs="Times New Roman"/>
          <w:b/>
          <w:color w:val="000000" w:themeColor="text1"/>
          <w:kern w:val="0"/>
          <w:sz w:val="24"/>
          <w:szCs w:val="24"/>
        </w:rPr>
        <w:t>:</w:t>
      </w:r>
      <w:r w:rsidRPr="00503B82">
        <w:rPr>
          <w:rFonts w:ascii="Times New Roman" w:eastAsia="宋体" w:hAnsi="Times New Roman" w:cs="Times New Roman"/>
          <w:color w:val="000000" w:themeColor="text1"/>
          <w:kern w:val="0"/>
          <w:sz w:val="24"/>
          <w:szCs w:val="24"/>
        </w:rPr>
        <w:t xml:space="preserve"> Age-sex-specific YLDs number from headache disorders in China.</w:t>
      </w:r>
    </w:p>
    <w:p w:rsidR="00DB7C59" w:rsidRDefault="00DB7C59" w:rsidP="00DB7C59">
      <w:pPr>
        <w:widowControl/>
        <w:jc w:val="left"/>
      </w:pPr>
    </w:p>
    <w:p w:rsidR="00DB7C59" w:rsidRPr="00DB7C59" w:rsidRDefault="00DB7C59" w:rsidP="00DB7C59">
      <w:pPr>
        <w:widowControl/>
        <w:jc w:val="left"/>
        <w:sectPr w:rsidR="00DB7C59" w:rsidRPr="00DB7C59" w:rsidSect="00DC47AA">
          <w:pgSz w:w="11906" w:h="16838"/>
          <w:pgMar w:top="1440" w:right="1797" w:bottom="1440" w:left="1797" w:header="851" w:footer="992" w:gutter="0"/>
          <w:cols w:space="425"/>
          <w:docGrid w:type="linesAndChars" w:linePitch="312"/>
        </w:sectPr>
      </w:pPr>
    </w:p>
    <w:p w:rsidR="00F73996" w:rsidRDefault="00F73996"/>
    <w:tbl>
      <w:tblPr>
        <w:tblW w:w="12333" w:type="dxa"/>
        <w:jc w:val="center"/>
        <w:tblLook w:val="04A0" w:firstRow="1" w:lastRow="0" w:firstColumn="1" w:lastColumn="0" w:noHBand="0" w:noVBand="1"/>
      </w:tblPr>
      <w:tblGrid>
        <w:gridCol w:w="1525"/>
        <w:gridCol w:w="2303"/>
        <w:gridCol w:w="2126"/>
        <w:gridCol w:w="3118"/>
        <w:gridCol w:w="3261"/>
      </w:tblGrid>
      <w:tr w:rsidR="00F73996" w:rsidRPr="00F73996" w:rsidTr="00F73996">
        <w:trPr>
          <w:trHeight w:val="290"/>
          <w:jc w:val="center"/>
        </w:trPr>
        <w:tc>
          <w:tcPr>
            <w:tcW w:w="12333" w:type="dxa"/>
            <w:gridSpan w:val="5"/>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 xml:space="preserve">Table </w:t>
            </w:r>
            <w:r w:rsidR="00085D4A">
              <w:rPr>
                <w:rFonts w:ascii="Times New Roman" w:eastAsia="宋体" w:hAnsi="Times New Roman" w:cs="Times New Roman"/>
                <w:color w:val="000000"/>
                <w:kern w:val="0"/>
                <w:sz w:val="22"/>
              </w:rPr>
              <w:t>S</w:t>
            </w:r>
            <w:r w:rsidRPr="00F73996">
              <w:rPr>
                <w:rFonts w:ascii="Times New Roman" w:eastAsia="宋体" w:hAnsi="Times New Roman" w:cs="Times New Roman"/>
                <w:color w:val="000000"/>
                <w:kern w:val="0"/>
                <w:sz w:val="22"/>
              </w:rPr>
              <w:t>1. Age-standardized prevalence rate and YLD</w:t>
            </w:r>
            <w:r w:rsidR="00AB0C70">
              <w:rPr>
                <w:rFonts w:ascii="Times New Roman" w:eastAsia="宋体" w:hAnsi="Times New Roman" w:cs="Times New Roman"/>
                <w:color w:val="000000"/>
                <w:kern w:val="0"/>
                <w:sz w:val="22"/>
              </w:rPr>
              <w:t>s</w:t>
            </w:r>
            <w:r w:rsidRPr="00F73996">
              <w:rPr>
                <w:rFonts w:ascii="Times New Roman" w:eastAsia="宋体" w:hAnsi="Times New Roman" w:cs="Times New Roman"/>
                <w:color w:val="000000"/>
                <w:kern w:val="0"/>
                <w:sz w:val="22"/>
              </w:rPr>
              <w:t xml:space="preserve"> rate from 1990 to 2017 for total headache disorders by province of China</w:t>
            </w:r>
          </w:p>
        </w:tc>
      </w:tr>
      <w:tr w:rsidR="00F73996" w:rsidRPr="00F73996" w:rsidTr="00F73996">
        <w:trPr>
          <w:trHeight w:val="290"/>
          <w:jc w:val="center"/>
        </w:trPr>
        <w:tc>
          <w:tcPr>
            <w:tcW w:w="1525" w:type="dxa"/>
            <w:vMerge w:val="restart"/>
            <w:tcBorders>
              <w:top w:val="single" w:sz="12" w:space="0" w:color="auto"/>
              <w:left w:val="nil"/>
              <w:bottom w:val="single" w:sz="8" w:space="0" w:color="000000"/>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Region</w:t>
            </w:r>
          </w:p>
        </w:tc>
        <w:tc>
          <w:tcPr>
            <w:tcW w:w="4429" w:type="dxa"/>
            <w:gridSpan w:val="2"/>
            <w:tcBorders>
              <w:top w:val="single" w:sz="12" w:space="0" w:color="auto"/>
              <w:left w:val="nil"/>
              <w:bottom w:val="single" w:sz="4"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YLD</w:t>
            </w:r>
            <w:r w:rsidR="00AB0C70">
              <w:rPr>
                <w:rFonts w:ascii="Times New Roman" w:eastAsia="宋体" w:hAnsi="Times New Roman" w:cs="Times New Roman"/>
                <w:color w:val="000000"/>
                <w:kern w:val="0"/>
                <w:sz w:val="22"/>
              </w:rPr>
              <w:t>s</w:t>
            </w:r>
            <w:r w:rsidRPr="00F73996">
              <w:rPr>
                <w:rFonts w:ascii="Times New Roman" w:eastAsia="宋体" w:hAnsi="Times New Roman" w:cs="Times New Roman"/>
                <w:color w:val="000000"/>
                <w:kern w:val="0"/>
                <w:sz w:val="22"/>
              </w:rPr>
              <w:t xml:space="preserve"> rate per 100,000 (95% UI) </w:t>
            </w:r>
          </w:p>
        </w:tc>
        <w:tc>
          <w:tcPr>
            <w:tcW w:w="6379" w:type="dxa"/>
            <w:gridSpan w:val="2"/>
            <w:tcBorders>
              <w:top w:val="single" w:sz="12" w:space="0" w:color="auto"/>
              <w:left w:val="nil"/>
              <w:bottom w:val="single" w:sz="4"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 xml:space="preserve">Prevalence rate per 100,000 (95% UI) </w:t>
            </w:r>
          </w:p>
        </w:tc>
      </w:tr>
      <w:tr w:rsidR="00F73996" w:rsidRPr="00F73996" w:rsidTr="00F73996">
        <w:trPr>
          <w:trHeight w:val="290"/>
          <w:jc w:val="center"/>
        </w:trPr>
        <w:tc>
          <w:tcPr>
            <w:tcW w:w="1525" w:type="dxa"/>
            <w:vMerge/>
            <w:tcBorders>
              <w:top w:val="single" w:sz="12" w:space="0" w:color="auto"/>
              <w:left w:val="nil"/>
              <w:bottom w:val="single" w:sz="8" w:space="0" w:color="000000"/>
              <w:right w:val="nil"/>
            </w:tcBorders>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2303"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1990</w:t>
            </w:r>
          </w:p>
        </w:tc>
        <w:tc>
          <w:tcPr>
            <w:tcW w:w="2126"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2017</w:t>
            </w:r>
          </w:p>
        </w:tc>
        <w:tc>
          <w:tcPr>
            <w:tcW w:w="3118"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1990</w:t>
            </w:r>
          </w:p>
        </w:tc>
        <w:tc>
          <w:tcPr>
            <w:tcW w:w="3261"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2017</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China</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402.0(258.9 - 580.8)</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401.2(259.1 - 577.3)</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30,860.4(28,665.5 - 33,381.4)</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30,936.3(28,626.6 - 33,430.5)</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Provinces</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Times New Roman" w:hAnsi="Times New Roman" w:cs="Times New Roman"/>
                <w:kern w:val="0"/>
                <w:sz w:val="20"/>
                <w:szCs w:val="20"/>
              </w:rPr>
            </w:pP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Times New Roman" w:hAnsi="Times New Roman" w:cs="Times New Roman"/>
                <w:kern w:val="0"/>
                <w:sz w:val="20"/>
                <w:szCs w:val="20"/>
              </w:rPr>
            </w:pP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Times New Roman" w:hAnsi="Times New Roman" w:cs="Times New Roman"/>
                <w:kern w:val="0"/>
                <w:sz w:val="20"/>
                <w:szCs w:val="20"/>
              </w:rPr>
            </w:pP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Anhui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396.3(254.3 - 573.5)</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399.0(257.8 - 576.5)</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30,766.1(28,536.6 - 33,298.3)</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30,884.8(28,546.5 - 33,443.3)</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Beijing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398.6(256.5 - 570.9)</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395.0(254.4 - 568.8)</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30,738.6(28,565.0 - 33,243.9)</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30,804.0(28,496.6 - 33,326.8)</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Chongqing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395.5(257.2 - 570.0)</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401.2(259.9 - 581.0)</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30,698.4(28,503.5 - 33,214.6)</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30,939.7(28,605.5 - 33,511.4)</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Fujian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400.7(257.0 - 583.3)</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400.8(259.5 - 576.9)</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32,162.3(29,925.0 - 34,837.6)</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b/>
                <w:bCs/>
                <w:color w:val="000000"/>
                <w:kern w:val="0"/>
                <w:sz w:val="22"/>
              </w:rPr>
            </w:pPr>
            <w:r w:rsidRPr="00F73996">
              <w:rPr>
                <w:rFonts w:ascii="Times New Roman" w:eastAsia="宋体" w:hAnsi="Times New Roman" w:cs="Times New Roman"/>
                <w:b/>
                <w:bCs/>
                <w:color w:val="000000"/>
                <w:kern w:val="0"/>
                <w:sz w:val="22"/>
              </w:rPr>
              <w:t>32,468.1(30,079.5 - 35,151.8)</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Gansu</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395.7(258.1 - 572.4)</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398.2(257.8 - 575.9)</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30,705.1(28,494.2 - 33,261.7)</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30,868.9(28,531.2 - 33,429.5)</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Guangdong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398.4(257.6 - 574.8)</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392.5(255.2 - 566.6)</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30,814.7(28,600.1 - 33,358.3)</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30,676.9(28,342.0 - 33,205.4)</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Guangxi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396.0(254.2 - 568.6)</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396.5(255.7 - 575.7)</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30,693.5(28,477.3 - 33,248.9)</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30,807.5(28,469.6 - 33,304.4)</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Guizhou</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394.7(255.4 - 568.3)</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397.6(258.8 - 575.8)</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30,718.9(28,542.9 - 33,237.0)</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30,886.2(28,544.3 - 33,439.0)</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Hainan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396.4(257.1 - 577.8)</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393.6(254.7 - 566.9)</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30,762.7(28,570.2 - 33,252.1)</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30,675.4(28,387.6 - 33,283.8)</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Hebei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399.5(258.4 - 580.2)</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396.1(257.6 - 569.9)</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30,791.6(28,630.3 - 33,305.0)</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30,854.6(28,524.0 - 33,403.2)</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Heilongjiang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526.5(341.2 - 764.9)</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b/>
                <w:bCs/>
                <w:color w:val="000000"/>
                <w:kern w:val="0"/>
                <w:sz w:val="22"/>
              </w:rPr>
            </w:pPr>
            <w:r w:rsidRPr="00F73996">
              <w:rPr>
                <w:rFonts w:ascii="Times New Roman" w:eastAsia="宋体" w:hAnsi="Times New Roman" w:cs="Times New Roman"/>
                <w:b/>
                <w:bCs/>
                <w:color w:val="000000"/>
                <w:kern w:val="0"/>
                <w:sz w:val="22"/>
              </w:rPr>
              <w:t>527.0(339.2 - 758.4)</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33,286.8(31,211.3 - 35,748.5)</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b/>
                <w:bCs/>
                <w:color w:val="000000"/>
                <w:kern w:val="0"/>
                <w:sz w:val="22"/>
              </w:rPr>
            </w:pPr>
            <w:r w:rsidRPr="00F73996">
              <w:rPr>
                <w:rFonts w:ascii="Times New Roman" w:eastAsia="宋体" w:hAnsi="Times New Roman" w:cs="Times New Roman"/>
                <w:b/>
                <w:bCs/>
                <w:color w:val="000000"/>
                <w:kern w:val="0"/>
                <w:sz w:val="22"/>
              </w:rPr>
              <w:t>33,457.9(31,264.4 - 35,868.5)</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Henan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399.5(258.3 - 577.7)</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401.0(258.1 - 577.2)</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30,810.4(28,604.6 - 33,359.7)</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30,933.4(28,644.7 - 33,484.7)</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Hubei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396.0(254.7 - 571.8)</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396.1(254.9 - 568.0)</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30,755.1(28,552.2 - 33,297.3)</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30,810.9(28,495.3 - 33,348.0)</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Hunan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395.7(257.1 - 570.6)</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398.1(257.7 - 575.8)</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30,672.2(28,467.3 - 33,214.2)</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30,825.5(28,521.8 - 33,338.4)</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Inner Mongolia</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396.2(255.9 - 575.8)</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394.8(254.6 - 568.5)</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30,611.7(28,433.4 - 33,109.6)</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30,745.6(28,418.0 - 33,262.8)</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Jiangsu</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398.9(258.3 - 575.4)</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397.8(258.3 - 576.7)</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30,820.8(28,609.5 - 33,311.5)</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30,842.8(28,492.8 - 33,376.4)</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Jiangxi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396.6(255.7 - 575.3)</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398.5(259.0 - 574.4)</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30,741.1(28,546.6 - 33,235.0)</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30,837.3(28,505.2 - 33,273.3)</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Jilin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399.7(258.8 - 572.6)</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399.3(259.2 - 578.5)</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30,720.4(28,515.4 - 33,237.1)</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30,867.6(28,548.1 - 33,368.5)</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Liaoning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399.4(259.8 - 577.5)</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397.6(257.6 - 573.0)</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30,741.9(28,539.8 - 33,291.2)</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30,840.1(28,508.4 - 33,407.6)</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lastRenderedPageBreak/>
              <w:t>Ningxia</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398.2(257.5 - 576.9)</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398.0(256.3 - 575.6)</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30,685.9(28,471.3 - 33,207.3)</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30,841.8(28,510.2 - 33,398.8)</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 xml:space="preserve">Qinghai </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397.6(259.8 - 580.3)</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395.7(257.5 - 571.7)</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30,723.0(28,539.1 - 33,208.2)</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30,780.6(28,477.4 - 33,297.9)</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Shaanxi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398.4(258.1 - 574.8)</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395.9(256.5 - 571.7)</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30,694.6(28,473.3 - 33,210.8)</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30,776.7(28,463.2 - 33,295.9)</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Shandong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400.6(261.2 - 575.6)</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397.5(257.7 - 575.8)</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30,830.5(28,611.2 - 33,353.8)</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30,829.6(28,497.0 - 33,331.4)</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Shanghai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457.9(290.9 - 686.3)</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b/>
                <w:bCs/>
                <w:color w:val="000000"/>
                <w:kern w:val="0"/>
                <w:sz w:val="22"/>
              </w:rPr>
            </w:pPr>
            <w:r w:rsidRPr="00F73996">
              <w:rPr>
                <w:rFonts w:ascii="Times New Roman" w:eastAsia="宋体" w:hAnsi="Times New Roman" w:cs="Times New Roman"/>
                <w:b/>
                <w:bCs/>
                <w:color w:val="000000"/>
                <w:kern w:val="0"/>
                <w:sz w:val="22"/>
              </w:rPr>
              <w:t>455.2(292.6 - 677.6)</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32,235.4(30,040.0 - 34,753.2)</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b/>
                <w:bCs/>
                <w:color w:val="000000"/>
                <w:kern w:val="0"/>
                <w:sz w:val="22"/>
              </w:rPr>
            </w:pPr>
            <w:r w:rsidRPr="00F73996">
              <w:rPr>
                <w:rFonts w:ascii="Times New Roman" w:eastAsia="宋体" w:hAnsi="Times New Roman" w:cs="Times New Roman"/>
                <w:b/>
                <w:bCs/>
                <w:color w:val="000000"/>
                <w:kern w:val="0"/>
                <w:sz w:val="22"/>
              </w:rPr>
              <w:t>32,204.2(29,971.0 - 34,646.2)</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Shanxi</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396.2(257.7 - 575.7)</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397.3(256.5 - 574.7)</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30,684.9(28,488.2 - 33,224.5)</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30,827.5(28,457.1 - 33,314.6)</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Sichuan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396.3(257.8 - 573.6)</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397.7(258.3 - 574.3)</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30,721.2(28,527.0 - 33,265.7)</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30,894.0(28,566.9 - 33,429.5)</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Tianjin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367.8(239.0 - 534.5)</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356.7(234.2 - 513.7)</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29,484.7(26,431.5 - 32,705.3)</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29,173.9(26,142.9 - 32,518.1)</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Tibet</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400.3(258.1 - 574.7)</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396.1(256.8 - 573.3)</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30,924.2(28,722.4 - 33,423.6)</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30,820.7(28,438.8 - 33,351.5)</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Xinjiang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397.6(257.2 - 573.0)</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396.3(257.4 - 573.5)</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30,619.6(28,445.2 - 33,150.1)</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30,783.4(28,481.0 - 33,339.5)</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Yunnan</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397.4(258.7 - 578.1)</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395.9(254.8 - 573.6)</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30,775.7(28,574.5 - 33,350.0)</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30,803.4(28,498.8 - 33,323.4)</w:t>
            </w: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 xml:space="preserve">Zhejiang </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396.0(257.2 - 564.8)</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396.0(255.4 - 571.1)</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30,724.2(28,547.4 - 33,262.9)</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30,777.6(28,428.0 - 33,340.3)</w:t>
            </w:r>
          </w:p>
        </w:tc>
      </w:tr>
      <w:tr w:rsidR="00F73996" w:rsidRPr="00F73996" w:rsidTr="00F73996">
        <w:trPr>
          <w:trHeight w:val="280"/>
          <w:jc w:val="center"/>
        </w:trPr>
        <w:tc>
          <w:tcPr>
            <w:tcW w:w="5954" w:type="dxa"/>
            <w:gridSpan w:val="3"/>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Special Administrative Region</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Times New Roman" w:hAnsi="Times New Roman" w:cs="Times New Roman"/>
                <w:kern w:val="0"/>
                <w:sz w:val="20"/>
                <w:szCs w:val="20"/>
              </w:rPr>
            </w:pPr>
          </w:p>
        </w:tc>
      </w:tr>
      <w:tr w:rsidR="00F73996" w:rsidRPr="00F73996" w:rsidTr="00F73996">
        <w:trPr>
          <w:trHeight w:val="280"/>
          <w:jc w:val="center"/>
        </w:trPr>
        <w:tc>
          <w:tcPr>
            <w:tcW w:w="1525"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Hong Kong</w:t>
            </w:r>
          </w:p>
        </w:tc>
        <w:tc>
          <w:tcPr>
            <w:tcW w:w="2303"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331.1(215.8 - 484.5)</w:t>
            </w:r>
          </w:p>
        </w:tc>
        <w:tc>
          <w:tcPr>
            <w:tcW w:w="2126"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341.7(223.2 - 504.1)</w:t>
            </w:r>
          </w:p>
        </w:tc>
        <w:tc>
          <w:tcPr>
            <w:tcW w:w="3118"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26,878.7(24,416.5 - 29,440.4)</w:t>
            </w:r>
          </w:p>
        </w:tc>
        <w:tc>
          <w:tcPr>
            <w:tcW w:w="3261"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27,636.2(25,092.8 - 30,380.0)</w:t>
            </w:r>
          </w:p>
        </w:tc>
      </w:tr>
      <w:tr w:rsidR="00F73996" w:rsidRPr="00F73996" w:rsidTr="00F73996">
        <w:trPr>
          <w:trHeight w:val="290"/>
          <w:jc w:val="center"/>
        </w:trPr>
        <w:tc>
          <w:tcPr>
            <w:tcW w:w="1525"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Macao</w:t>
            </w:r>
          </w:p>
        </w:tc>
        <w:tc>
          <w:tcPr>
            <w:tcW w:w="2303"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405.8(263.5 - 586.5)</w:t>
            </w:r>
          </w:p>
        </w:tc>
        <w:tc>
          <w:tcPr>
            <w:tcW w:w="2126"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b/>
                <w:bCs/>
                <w:color w:val="000000"/>
                <w:kern w:val="0"/>
                <w:sz w:val="22"/>
              </w:rPr>
            </w:pPr>
            <w:r w:rsidRPr="00F73996">
              <w:rPr>
                <w:rFonts w:ascii="Times New Roman" w:eastAsia="宋体" w:hAnsi="Times New Roman" w:cs="Times New Roman"/>
                <w:b/>
                <w:bCs/>
                <w:color w:val="000000"/>
                <w:kern w:val="0"/>
                <w:sz w:val="22"/>
              </w:rPr>
              <w:t>404.1(262.9 - 581.2)</w:t>
            </w:r>
          </w:p>
        </w:tc>
        <w:tc>
          <w:tcPr>
            <w:tcW w:w="3118"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31,005.3(28,801.3 - 33,511.2)</w:t>
            </w:r>
          </w:p>
        </w:tc>
        <w:tc>
          <w:tcPr>
            <w:tcW w:w="3261"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center"/>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31,031.5(28,712.1 - 33,601.0)</w:t>
            </w:r>
          </w:p>
        </w:tc>
      </w:tr>
      <w:tr w:rsidR="00F73996" w:rsidRPr="00F73996" w:rsidTr="00F73996">
        <w:trPr>
          <w:trHeight w:val="290"/>
          <w:jc w:val="center"/>
        </w:trPr>
        <w:tc>
          <w:tcPr>
            <w:tcW w:w="12333" w:type="dxa"/>
            <w:gridSpan w:val="5"/>
            <w:tcBorders>
              <w:top w:val="single" w:sz="8" w:space="0" w:color="auto"/>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Note: YLD</w:t>
            </w:r>
            <w:r w:rsidR="00AB0C70">
              <w:rPr>
                <w:rFonts w:ascii="Times New Roman" w:eastAsia="宋体" w:hAnsi="Times New Roman" w:cs="Times New Roman"/>
                <w:color w:val="000000"/>
                <w:kern w:val="0"/>
                <w:sz w:val="22"/>
              </w:rPr>
              <w:t>s</w:t>
            </w:r>
            <w:r w:rsidRPr="00F73996">
              <w:rPr>
                <w:rFonts w:ascii="Times New Roman" w:eastAsia="宋体" w:hAnsi="Times New Roman" w:cs="Times New Roman"/>
                <w:color w:val="000000"/>
                <w:kern w:val="0"/>
                <w:sz w:val="22"/>
              </w:rPr>
              <w:t xml:space="preserve"> = years lived with disability</w:t>
            </w:r>
          </w:p>
        </w:tc>
      </w:tr>
      <w:tr w:rsidR="00F73996" w:rsidRPr="00F73996" w:rsidTr="00F73996">
        <w:trPr>
          <w:trHeight w:val="280"/>
          <w:jc w:val="center"/>
        </w:trPr>
        <w:tc>
          <w:tcPr>
            <w:tcW w:w="12333" w:type="dxa"/>
            <w:gridSpan w:val="5"/>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Age-standardized rate (1/100,000); Data shown as ra</w:t>
            </w:r>
            <w:r w:rsidR="00EF3E55">
              <w:rPr>
                <w:rFonts w:ascii="Times New Roman" w:eastAsia="宋体" w:hAnsi="Times New Roman" w:cs="Times New Roman"/>
                <w:color w:val="000000"/>
                <w:kern w:val="0"/>
                <w:sz w:val="22"/>
              </w:rPr>
              <w:t xml:space="preserve">te (95% uncertainty interval); </w:t>
            </w:r>
            <w:r w:rsidRPr="00F73996">
              <w:rPr>
                <w:rFonts w:ascii="Times New Roman" w:eastAsia="宋体" w:hAnsi="Times New Roman" w:cs="Times New Roman"/>
                <w:color w:val="000000"/>
                <w:kern w:val="0"/>
                <w:sz w:val="22"/>
              </w:rPr>
              <w:t>The highest rate were highlighted in bold.</w:t>
            </w:r>
          </w:p>
        </w:tc>
      </w:tr>
    </w:tbl>
    <w:p w:rsidR="00F73996" w:rsidRDefault="00F73996"/>
    <w:p w:rsidR="00F73996" w:rsidRDefault="00F73996">
      <w:pPr>
        <w:widowControl/>
        <w:jc w:val="left"/>
      </w:pPr>
      <w:r>
        <w:br w:type="page"/>
      </w:r>
    </w:p>
    <w:tbl>
      <w:tblPr>
        <w:tblW w:w="12401" w:type="dxa"/>
        <w:jc w:val="center"/>
        <w:tblLook w:val="04A0" w:firstRow="1" w:lastRow="0" w:firstColumn="1" w:lastColumn="0" w:noHBand="0" w:noVBand="1"/>
      </w:tblPr>
      <w:tblGrid>
        <w:gridCol w:w="1592"/>
        <w:gridCol w:w="1023"/>
        <w:gridCol w:w="2091"/>
        <w:gridCol w:w="2091"/>
        <w:gridCol w:w="2839"/>
        <w:gridCol w:w="2839"/>
      </w:tblGrid>
      <w:tr w:rsidR="00F73996" w:rsidRPr="00F73996" w:rsidTr="00F73996">
        <w:trPr>
          <w:trHeight w:val="290"/>
          <w:jc w:val="center"/>
        </w:trPr>
        <w:tc>
          <w:tcPr>
            <w:tcW w:w="12401" w:type="dxa"/>
            <w:gridSpan w:val="6"/>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lastRenderedPageBreak/>
              <w:t xml:space="preserve">Table </w:t>
            </w:r>
            <w:r w:rsidR="00085D4A">
              <w:rPr>
                <w:rFonts w:ascii="Times New Roman" w:eastAsia="宋体" w:hAnsi="Times New Roman" w:cs="Times New Roman"/>
                <w:color w:val="000000"/>
                <w:kern w:val="0"/>
                <w:sz w:val="22"/>
              </w:rPr>
              <w:t>S</w:t>
            </w:r>
            <w:bookmarkStart w:id="0" w:name="_GoBack"/>
            <w:bookmarkEnd w:id="0"/>
            <w:r w:rsidRPr="00F73996">
              <w:rPr>
                <w:rFonts w:ascii="Times New Roman" w:eastAsia="宋体" w:hAnsi="Times New Roman" w:cs="Times New Roman"/>
                <w:color w:val="000000"/>
                <w:kern w:val="0"/>
                <w:sz w:val="22"/>
              </w:rPr>
              <w:t>2. Age-standardized prevalence rate and YLD</w:t>
            </w:r>
            <w:r w:rsidR="00AB0C70">
              <w:rPr>
                <w:rFonts w:ascii="Times New Roman" w:eastAsia="宋体" w:hAnsi="Times New Roman" w:cs="Times New Roman"/>
                <w:color w:val="000000"/>
                <w:kern w:val="0"/>
                <w:sz w:val="22"/>
              </w:rPr>
              <w:t>s</w:t>
            </w:r>
            <w:r w:rsidRPr="00F73996">
              <w:rPr>
                <w:rFonts w:ascii="Times New Roman" w:eastAsia="宋体" w:hAnsi="Times New Roman" w:cs="Times New Roman"/>
                <w:color w:val="000000"/>
                <w:kern w:val="0"/>
                <w:sz w:val="22"/>
              </w:rPr>
              <w:t xml:space="preserve"> rate from 1990 to 2017 for specific headache disorders by province of China</w:t>
            </w:r>
          </w:p>
        </w:tc>
      </w:tr>
      <w:tr w:rsidR="00F73996" w:rsidRPr="00F73996" w:rsidTr="00F73996">
        <w:trPr>
          <w:trHeight w:val="340"/>
          <w:jc w:val="center"/>
        </w:trPr>
        <w:tc>
          <w:tcPr>
            <w:tcW w:w="1592" w:type="dxa"/>
            <w:vMerge w:val="restart"/>
            <w:tcBorders>
              <w:top w:val="single" w:sz="12" w:space="0" w:color="auto"/>
              <w:left w:val="nil"/>
              <w:bottom w:val="single" w:sz="8" w:space="0" w:color="000000"/>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Region</w:t>
            </w:r>
          </w:p>
        </w:tc>
        <w:tc>
          <w:tcPr>
            <w:tcW w:w="949" w:type="dxa"/>
            <w:tcBorders>
              <w:top w:val="single" w:sz="12" w:space="0" w:color="auto"/>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 xml:space="preserve">　</w:t>
            </w:r>
          </w:p>
        </w:tc>
        <w:tc>
          <w:tcPr>
            <w:tcW w:w="4182" w:type="dxa"/>
            <w:gridSpan w:val="2"/>
            <w:tcBorders>
              <w:top w:val="single" w:sz="12" w:space="0" w:color="auto"/>
              <w:left w:val="nil"/>
              <w:bottom w:val="single" w:sz="4" w:space="0" w:color="auto"/>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YLD</w:t>
            </w:r>
            <w:r w:rsidR="00AB0C70">
              <w:rPr>
                <w:rFonts w:ascii="Times New Roman" w:eastAsia="宋体" w:hAnsi="Times New Roman" w:cs="Times New Roman"/>
                <w:color w:val="000000"/>
                <w:kern w:val="0"/>
                <w:sz w:val="26"/>
                <w:szCs w:val="26"/>
              </w:rPr>
              <w:t>s</w:t>
            </w:r>
            <w:r w:rsidRPr="00F73996">
              <w:rPr>
                <w:rFonts w:ascii="Times New Roman" w:eastAsia="宋体" w:hAnsi="Times New Roman" w:cs="Times New Roman"/>
                <w:color w:val="000000"/>
                <w:kern w:val="0"/>
                <w:sz w:val="26"/>
                <w:szCs w:val="26"/>
              </w:rPr>
              <w:t xml:space="preserve"> rate per 100,000 (95% UI) </w:t>
            </w:r>
          </w:p>
        </w:tc>
        <w:tc>
          <w:tcPr>
            <w:tcW w:w="5678" w:type="dxa"/>
            <w:gridSpan w:val="2"/>
            <w:tcBorders>
              <w:top w:val="single" w:sz="12" w:space="0" w:color="auto"/>
              <w:left w:val="nil"/>
              <w:bottom w:val="single" w:sz="4" w:space="0" w:color="auto"/>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 xml:space="preserve">Prevalence rate per 100,000 (95% UI) </w:t>
            </w:r>
          </w:p>
        </w:tc>
      </w:tr>
      <w:tr w:rsidR="00F73996" w:rsidRPr="00F73996" w:rsidTr="00F73996">
        <w:trPr>
          <w:trHeight w:val="340"/>
          <w:jc w:val="center"/>
        </w:trPr>
        <w:tc>
          <w:tcPr>
            <w:tcW w:w="1592" w:type="dxa"/>
            <w:vMerge/>
            <w:tcBorders>
              <w:top w:val="single" w:sz="12" w:space="0" w:color="auto"/>
              <w:left w:val="nil"/>
              <w:bottom w:val="single" w:sz="8" w:space="0" w:color="000000"/>
              <w:right w:val="nil"/>
            </w:tcBorders>
            <w:vAlign w:val="center"/>
            <w:hideMark/>
          </w:tcPr>
          <w:p w:rsidR="00F73996" w:rsidRPr="00F73996" w:rsidRDefault="00F73996" w:rsidP="00F73996">
            <w:pPr>
              <w:widowControl/>
              <w:jc w:val="left"/>
              <w:rPr>
                <w:rFonts w:ascii="Times New Roman" w:eastAsia="宋体" w:hAnsi="Times New Roman" w:cs="Times New Roman"/>
                <w:color w:val="000000"/>
                <w:kern w:val="0"/>
                <w:sz w:val="26"/>
                <w:szCs w:val="26"/>
              </w:rPr>
            </w:pPr>
          </w:p>
        </w:tc>
        <w:tc>
          <w:tcPr>
            <w:tcW w:w="949" w:type="dxa"/>
            <w:tcBorders>
              <w:top w:val="nil"/>
              <w:left w:val="nil"/>
              <w:bottom w:val="single" w:sz="8" w:space="0" w:color="auto"/>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 xml:space="preserve">　</w:t>
            </w:r>
          </w:p>
        </w:tc>
        <w:tc>
          <w:tcPr>
            <w:tcW w:w="2091" w:type="dxa"/>
            <w:tcBorders>
              <w:top w:val="nil"/>
              <w:left w:val="nil"/>
              <w:bottom w:val="single" w:sz="8" w:space="0" w:color="auto"/>
              <w:right w:val="nil"/>
            </w:tcBorders>
            <w:shd w:val="clear" w:color="auto" w:fill="auto"/>
            <w:noWrap/>
            <w:vAlign w:val="bottom"/>
            <w:hideMark/>
          </w:tcPr>
          <w:p w:rsidR="00F73996" w:rsidRPr="00F73996" w:rsidRDefault="00F73996" w:rsidP="00F73996">
            <w:pPr>
              <w:widowControl/>
              <w:jc w:val="center"/>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1990</w:t>
            </w:r>
          </w:p>
        </w:tc>
        <w:tc>
          <w:tcPr>
            <w:tcW w:w="2091" w:type="dxa"/>
            <w:tcBorders>
              <w:top w:val="nil"/>
              <w:left w:val="nil"/>
              <w:bottom w:val="single" w:sz="8" w:space="0" w:color="auto"/>
              <w:right w:val="nil"/>
            </w:tcBorders>
            <w:shd w:val="clear" w:color="auto" w:fill="auto"/>
            <w:noWrap/>
            <w:vAlign w:val="bottom"/>
            <w:hideMark/>
          </w:tcPr>
          <w:p w:rsidR="00F73996" w:rsidRPr="00F73996" w:rsidRDefault="00F73996" w:rsidP="00F73996">
            <w:pPr>
              <w:widowControl/>
              <w:jc w:val="center"/>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2017</w:t>
            </w:r>
          </w:p>
        </w:tc>
        <w:tc>
          <w:tcPr>
            <w:tcW w:w="2839" w:type="dxa"/>
            <w:tcBorders>
              <w:top w:val="nil"/>
              <w:left w:val="nil"/>
              <w:bottom w:val="single" w:sz="8" w:space="0" w:color="auto"/>
              <w:right w:val="nil"/>
            </w:tcBorders>
            <w:shd w:val="clear" w:color="auto" w:fill="auto"/>
            <w:noWrap/>
            <w:vAlign w:val="bottom"/>
            <w:hideMark/>
          </w:tcPr>
          <w:p w:rsidR="00F73996" w:rsidRPr="00F73996" w:rsidRDefault="00F73996" w:rsidP="00F73996">
            <w:pPr>
              <w:widowControl/>
              <w:jc w:val="center"/>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1990</w:t>
            </w:r>
          </w:p>
        </w:tc>
        <w:tc>
          <w:tcPr>
            <w:tcW w:w="2839" w:type="dxa"/>
            <w:tcBorders>
              <w:top w:val="nil"/>
              <w:left w:val="nil"/>
              <w:bottom w:val="single" w:sz="8" w:space="0" w:color="auto"/>
              <w:right w:val="nil"/>
            </w:tcBorders>
            <w:shd w:val="clear" w:color="auto" w:fill="auto"/>
            <w:noWrap/>
            <w:vAlign w:val="bottom"/>
            <w:hideMark/>
          </w:tcPr>
          <w:p w:rsidR="00F73996" w:rsidRPr="00F73996" w:rsidRDefault="00F73996" w:rsidP="00F73996">
            <w:pPr>
              <w:widowControl/>
              <w:jc w:val="center"/>
              <w:rPr>
                <w:rFonts w:ascii="Times New Roman" w:eastAsia="宋体" w:hAnsi="Times New Roman" w:cs="Times New Roman"/>
                <w:color w:val="000000"/>
                <w:kern w:val="0"/>
                <w:sz w:val="26"/>
                <w:szCs w:val="26"/>
              </w:rPr>
            </w:pPr>
            <w:r w:rsidRPr="00F73996">
              <w:rPr>
                <w:rFonts w:ascii="Times New Roman" w:eastAsia="宋体" w:hAnsi="Times New Roman" w:cs="Times New Roman"/>
                <w:color w:val="000000"/>
                <w:kern w:val="0"/>
                <w:sz w:val="26"/>
                <w:szCs w:val="26"/>
              </w:rPr>
              <w:t>2017</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China</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332.0(206.3 - 495.0)</w:t>
            </w:r>
          </w:p>
        </w:tc>
        <w:tc>
          <w:tcPr>
            <w:tcW w:w="2091"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331.1(207.0 - 494.6)</w:t>
            </w:r>
          </w:p>
        </w:tc>
        <w:tc>
          <w:tcPr>
            <w:tcW w:w="2839"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9267.5(8601.9 - 10007.7)</w:t>
            </w:r>
          </w:p>
        </w:tc>
        <w:tc>
          <w:tcPr>
            <w:tcW w:w="2839"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9211.2(8527.0 - 9921.4)</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70.0(39.5 - 112.5)</w:t>
            </w:r>
          </w:p>
        </w:tc>
        <w:tc>
          <w:tcPr>
            <w:tcW w:w="2091"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70.1(39.4 - 113.3)</w:t>
            </w:r>
          </w:p>
        </w:tc>
        <w:tc>
          <w:tcPr>
            <w:tcW w:w="2839"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25098.8(22595.0 - 28046.4)</w:t>
            </w:r>
          </w:p>
        </w:tc>
        <w:tc>
          <w:tcPr>
            <w:tcW w:w="2839"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25232.7(22610.8 - 28147.9)</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Provinces</w:t>
            </w:r>
          </w:p>
        </w:tc>
        <w:tc>
          <w:tcPr>
            <w:tcW w:w="949"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2091"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Times New Roman" w:hAnsi="Times New Roman" w:cs="Times New Roman"/>
                <w:kern w:val="0"/>
                <w:sz w:val="20"/>
                <w:szCs w:val="20"/>
              </w:rPr>
            </w:pPr>
          </w:p>
        </w:tc>
        <w:tc>
          <w:tcPr>
            <w:tcW w:w="2091"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Times New Roman" w:hAnsi="Times New Roman" w:cs="Times New Roman"/>
                <w:kern w:val="0"/>
                <w:sz w:val="20"/>
                <w:szCs w:val="20"/>
              </w:rPr>
            </w:pPr>
          </w:p>
        </w:tc>
        <w:tc>
          <w:tcPr>
            <w:tcW w:w="2839"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Times New Roman" w:hAnsi="Times New Roman" w:cs="Times New Roman"/>
                <w:kern w:val="0"/>
                <w:sz w:val="20"/>
                <w:szCs w:val="20"/>
              </w:rPr>
            </w:pPr>
          </w:p>
        </w:tc>
        <w:tc>
          <w:tcPr>
            <w:tcW w:w="2839"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Times New Roman" w:hAnsi="Times New Roman" w:cs="Times New Roman"/>
                <w:kern w:val="0"/>
                <w:sz w:val="20"/>
                <w:szCs w:val="20"/>
              </w:rPr>
            </w:pP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Anhui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326.4(203.8 - 489.4)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328.8(205.5 - 491.2)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9111.0(8440.8 - 9838.7)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9138.5(8456.4 - 9842.1)</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69.9(38.8 - 111.6)</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70.1(39.1 - 111.9)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25097.9(22625.3 - 28038.5)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25225.9(22605.2 - 28116.2)</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Beijing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328.5(204.1 - 491.0)</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325.2(202.5 - 487.1)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9137.9(8471.3 - 9866.9)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9044.1(8368.1 - 9736.3)</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70.0(39.1 - 112.6)</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69.8(39.1 - 112.0)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25054.6(22567.9 - 27977.2)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25197.9(22593.2 - 28082.1)</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Chongqing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325.7(202.4 - 484.7)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330.9(206.5 - 492.7)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9083.7(8417.7 - 9809.5)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9177.7(8493.3 - 9887.4)</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69.9(38.9 - 112.0)</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70.3(39.0 - 114.0)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25047.4(22560.5 - 27982.1)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25262.5(22636.9 - 28154.9)</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Fujian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327.9(203.8 - 491.9)</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327.4(203.2 - 490.6)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9120.9(8449.7 - 9850.9)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9049.8(8377.7 - 9742.1)</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72.9(40.4 - 118.1)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73.4(40.6 - 120.0)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26776.4(24143.2 - 29837.1)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27212.2(24492.7 - 30360.1)</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Gansu</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325.9(203.6 - 488.1)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328.1(206.5 - 489.3)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9107.7(8440.9 - 9837.7)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9116.1(8435.8 - 9817.1)</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69.7(38.9 - 110.6)</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70.0(38.9 - 112.5)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25037.2(22548.1 - 27969.5)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25225.8(22607.6 - 28122.4)</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Guangdong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328.3(203.6 - 492.8)</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322.8(203.3 - 484.9)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9148.5(8477.2 - 9878.2)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8958.3(8297.4 - 9644.5)</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70.1(39.6 - 111.3)</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69.7(38.5 - 113.6)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25125.9(22651.5 - 28066.6)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25116.8(22516.6 - 27993.5)</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Guangxi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326.1(201.2 - 485.4)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326.5(204.7 - 493.5)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9079.4(8415.1 - 9802.7)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9050.0(8375.6 - 9742.8)</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69.9(38.6 - 112.1)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70.1(39.1 - 112.8)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25042.7(22555.2 - 27968.6)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25198.2(22592.8 - 28089.2)</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Guizhou</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325.1(203.0 - 484.3)</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327.6(204.8 - 490.0)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9110.9(8444.1 - 9839.2)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9114.6(8431.9 - 9819.6)</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69.6(38.9 - 111.1)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70.0(39.0 - 113.0)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25051.7(22564.2 - 27982.7)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25239.9(22628.6 - 28140.5)</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Hainan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326.5(203.4 - 489.4)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323.7(203.9 - 487.1)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9105.3(8440.4 - 9828.8)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8956.2(8288.7 - 9647.6)</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69.9(39.0 - 112.3)</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69.8(38.9 - 111.8)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25099.5(22628.5 - 28031.3)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25116.1(22517.9 - 27985.7)</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Hebei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329.3(204.4 - 494.5)</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326.2(202.8 - 487.8)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9159.8(8487.6 - 9893.2)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9093.5(8417.2 - 9789.5)</w:t>
            </w:r>
          </w:p>
        </w:tc>
      </w:tr>
      <w:tr w:rsidR="00F73996" w:rsidRPr="00F73996" w:rsidTr="00F73996">
        <w:trPr>
          <w:trHeight w:val="28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70.2(38.8 - 112.2)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69.9(39.0 - 112.8)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25091.2(22607.7 - 28031.4)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25218.5(22605.7 - 28117.7)</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lastRenderedPageBreak/>
              <w:t>Heilongjiang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456.7(286.5 - 674.7)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456.9(285.7 - 675.9)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13207.2(12238.1 - 14240.5)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13194.5(12257.2 - 14195.0)</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69.8(38.9 - 111.3)</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70.0(38.8 - 112.1)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25012.4(22516.2 - 27948.5)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25223.8(22609.8 - 28123.5)</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Henan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329.3(204.8 - 491.2)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330.7(206.8 - 495.0)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9158.0(8485.4 - 9889.6)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9176.0(8494.9 - 9885.1)</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70.2(39.2 - 111.7)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70.3(39.5 - 113.4)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25117.9(22642.1 - 28056.3)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25256.1(22635.8 - 28142.3)</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Hubei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326.1(202.8 - 487.9)</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326.3(204.1 - 487.2)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9119.8(8451.0 - 9849.2)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9076.1(8402.9 - 9772.4)</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69.9(38.9 - 111.4)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69.8(39.0 - 111.8)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25081.0(22598.5 - 28015.5)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25189.0(22576.5 - 28079.1)</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Hunan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325.9(203.8 - 485.0)</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328.0(206.1 - 491.7)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9075.0(8408.8 - 9802.7)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9081.1(8403.8 - 9776.9)</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69.8(38.5 - 112.1)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70.0(39.2 - 113.1)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25021.6(22527.8 - 27954.3)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25196.0(22582.5 - 28092.2)</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Inner Mongolia</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326.5(201.7 - 489.5)</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324.8(201.8 - 484.0)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9075.4(8411.0 - 9809.4)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8994.8(8324.9 - 9684.6)</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69.8(39.2 - 112.4)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69.9(39.1 - 112.7)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24956.0(22467.2 - 27887.3)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25163.9(22559.5 - 28053.2)</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Jiangsu</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328.8(204.0 - 495.2)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327.8(203.2 - 492.0)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9169.5(8497.0 - 9899.8)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9091.6(8419.1 - 9788.6)</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70.1(38.5 - 112.1)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70.0(39.1 - 112.4)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25128.1(22652.3 - 28065.5)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25207.5(22594.2 - 28103.7)</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Jiangxi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326.7(201.8 - 487.8)</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328.3(205.4 - 489.6)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9112.7(8444.0 - 9841.5)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9099.0(8422.6 - 9798.0)</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69.9(39.3 - 111.3)</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70.1(38.9 - 113.9)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25071.6(22589.6 - 28005.3)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25200.9(22588.4 - 28089.9)</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Jilin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329.6(205.8 - 490.3)</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329.2(204.8 - 490.0)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9152.2(8482.8 - 9888.6)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9104.0(8424.9 - 9802.9)</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70.1(39.6 - 111.9)</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70.2(39.2 - 113.6)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25029.9(22532.7 - 27964.9)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25231.7(22617.2 - 28131.9)</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Liaoning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329.4(205.6 - 492.8)</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327.5(206.6 - 495.1)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9159.6(8489.5 - 9894.8)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9079.9(8404.7 - 9775.3)</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70.0(39.0 - 111.7)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70.1(38.7 - 113.3)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25046.5(22552.6 - 27982.2)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25213.1(22599.5 - 28112.3)</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Ningxia</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328.3(203.2 - 489.6)</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327.8(205.5 - 496.2)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9124.5(8457.9 - 9859.8)</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9078.1(8400.1 - 9777.0)</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69.9(39.3 - 111.4)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70.2(39.2 - 112.3)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25007.2(22513.1 - 27942.4)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25215.5(22603.2 - 28114.2)</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 xml:space="preserve">Qinghai </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327.6(204.6 - 491.7)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325.7(204.7 - 488.6)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9105.9(8441.4 - 9833.0)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9015.9(8342.6 - 9709.3)</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70.0(39.1 - 111.9)</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70.0(38.8 - 111.9)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25055.2(22558.1 - 27982.4)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25188.2(22585.3 - 28074.3)</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Shaanxi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328.4(203.5 - 491.2)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325.9(204.2 - 488.3)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9113.1(8446.3 - 9844.5)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9037.2(8365.6 - 9728.5)</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70.0(39.4 - 112.2)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70.1(39.2 - 112.7)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25018.8(22528.6 - 27950.9)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25175.5(22568.2 - 28062.6)</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Shandong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330.3(206.3 - 493.4)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327.4(205.0 - 490.6)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9183.5(8510.0 - 9916.6)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9072.1(8400.0 - 9764.9)</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70.3(39.5 - 112.6)</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70.1(39.3 - 112.9)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25121.3(22640.1 - 28062.6)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25207.3(22597.5 - 28105.2)</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lastRenderedPageBreak/>
              <w:t>Shanghai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387.9(236.0 - 603.2)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385.5(234.8 - 592.4)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11362.3(10567.3 - 12235.5)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11245.3(10434.4 - 12079.3)</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70.0(38.9 - 112.9)</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69.8(38.9 - 113.0)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25096.8(22609.6 - 28019.1)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25155.4(22549.4 - 28042.2)</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Shanxi</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326.3(203.5 - 486.6)</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327.3(203.2 - 489.2)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9091.0(8424.6 - 9819.4)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9067.3(8390.8 - 9765.4)</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69.9(39.0 - 111.7)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70.0(38.7 - 112.9)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25027.3(22533.9 - 27959.9)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25204.2(22591.4 - 28103.9)</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Sichuan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326.4(204.5 - 487.7)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327.7(204.0 - 489.1)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9098.4(8432.2 - 9825.1)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9126.4(8445.8 - 9828.8)</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69.9(39.2 - 112.0)</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70.0(39.4 - 112.1)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25059.7(22574.4 - 27995.0)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25239.3(22621.8 - 28137.1)</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Tianjin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298.7(186.9 - 450.0)</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288.3(180.9 - 434.5)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8114.3(7068.4 - 9272.7)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7794.7(6842.2 - 8907.3)</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69.1(37.9 - 109.5)</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68.4(37.6 - 109.4)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24386.0(21048.7 - 27870.1)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24267.6(20884.9 - 28044.1)</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Tibet</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330.1(207.7 - 491.1)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326.0(203.9 - 488.0)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9238.5(8564.8 - 9970.6)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9038.5(8367.2 - 9727.2)</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70.1(38.8 - 112.5)</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70.0(39.5 - 112.6)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25186.7(22702.4 - 28121.5)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25216.8(22615.2 - 28104.5)</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Xinjiang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327.7(203.6 - 487.7)</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326.3(202.7 - 487.0)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9096.8(8430.6 - 9834.9)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25179.7(22563.9 - 28076.1)</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69.9(39.1 - 111.2)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70.0(39.4 - 113.0)</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24949.6(22463.9 - 27884.7)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9037.9(8362.3 - 9737.5)</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Yunnan</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327.4(204.4 - 490.8)</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325.9(204.6 - 491.9)</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9141.5(8472.5 - 9871.2)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9044.2(8370.2 - 9736.1)</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70.0(39.1 - 111.9)</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70.0(39.2 - 113.5)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25090.2(22604.2 - 28022.5)</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25194.4(22586.6 - 28087.6)</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 xml:space="preserve">Zhejiang </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326.2(203.1 - 487.1)</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326.0(203.2 - 485.4)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9115.8(8445.6 - 9848.4)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9032.8(8361.9 - 9724.0)</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69.8(38.8 - 110.9)</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69.9(39.1 - 112.6)</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25053.4(22569.2 - 27993.7)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25174.7(22564.0 - 28068.9)</w:t>
            </w:r>
          </w:p>
        </w:tc>
      </w:tr>
      <w:tr w:rsidR="00F73996" w:rsidRPr="00F73996" w:rsidTr="00F73996">
        <w:trPr>
          <w:trHeight w:val="290"/>
          <w:jc w:val="center"/>
        </w:trPr>
        <w:tc>
          <w:tcPr>
            <w:tcW w:w="4632" w:type="dxa"/>
            <w:gridSpan w:val="3"/>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Special Administrative Region</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center"/>
              <w:rPr>
                <w:rFonts w:ascii="Times New Roman" w:eastAsia="Times New Roman" w:hAnsi="Times New Roman" w:cs="Times New Roman"/>
                <w:kern w:val="0"/>
                <w:sz w:val="20"/>
                <w:szCs w:val="20"/>
              </w:rPr>
            </w:pPr>
          </w:p>
        </w:tc>
        <w:tc>
          <w:tcPr>
            <w:tcW w:w="2839" w:type="dxa"/>
            <w:tcBorders>
              <w:top w:val="nil"/>
              <w:left w:val="nil"/>
              <w:bottom w:val="nil"/>
              <w:right w:val="nil"/>
            </w:tcBorders>
            <w:shd w:val="clear" w:color="auto" w:fill="auto"/>
            <w:noWrap/>
            <w:vAlign w:val="bottom"/>
            <w:hideMark/>
          </w:tcPr>
          <w:p w:rsidR="00F73996" w:rsidRPr="00F73996" w:rsidRDefault="00F73996" w:rsidP="00F73996">
            <w:pPr>
              <w:widowControl/>
              <w:jc w:val="center"/>
              <w:rPr>
                <w:rFonts w:ascii="Times New Roman" w:eastAsia="Times New Roman" w:hAnsi="Times New Roman" w:cs="Times New Roman"/>
                <w:kern w:val="0"/>
                <w:sz w:val="20"/>
                <w:szCs w:val="20"/>
              </w:rPr>
            </w:pP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Hong Kong</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265.4(165.2 - 405.4)</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275.2(171.7 - 425.4)</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7109.9(6326.4 - 7975.7)</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7422.4(6569.5 - 8326.2)</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65.7(36.7 - 104.2)</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66.6(36.8 - 106.1)</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22204.2(19505.8 - 25003.2)</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22833.2(19973.3 - 25953.0)</w:t>
            </w:r>
          </w:p>
        </w:tc>
      </w:tr>
      <w:tr w:rsidR="00F73996" w:rsidRPr="00F73996" w:rsidTr="00F73996">
        <w:trPr>
          <w:trHeight w:val="290"/>
          <w:jc w:val="center"/>
        </w:trPr>
        <w:tc>
          <w:tcPr>
            <w:tcW w:w="1592" w:type="dxa"/>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Macao</w:t>
            </w:r>
          </w:p>
        </w:tc>
        <w:tc>
          <w:tcPr>
            <w:tcW w:w="94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Migraine</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335.0(208.6 - 504.0)</w:t>
            </w:r>
          </w:p>
        </w:tc>
        <w:tc>
          <w:tcPr>
            <w:tcW w:w="2091"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333.6(208.8 - 501.3)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9279.2(8593.9 - 10015.3)</w:t>
            </w:r>
          </w:p>
        </w:tc>
        <w:tc>
          <w:tcPr>
            <w:tcW w:w="2839" w:type="dxa"/>
            <w:tcBorders>
              <w:top w:val="nil"/>
              <w:left w:val="nil"/>
              <w:bottom w:val="nil"/>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9237.2(8554.9 - 9952.4)</w:t>
            </w:r>
          </w:p>
        </w:tc>
      </w:tr>
      <w:tr w:rsidR="00F73996" w:rsidRPr="00F73996" w:rsidTr="00F73996">
        <w:trPr>
          <w:trHeight w:val="300"/>
          <w:jc w:val="center"/>
        </w:trPr>
        <w:tc>
          <w:tcPr>
            <w:tcW w:w="1592" w:type="dxa"/>
            <w:tcBorders>
              <w:top w:val="nil"/>
              <w:left w:val="nil"/>
              <w:bottom w:val="single" w:sz="12" w:space="0" w:color="auto"/>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 xml:space="preserve">　</w:t>
            </w:r>
          </w:p>
        </w:tc>
        <w:tc>
          <w:tcPr>
            <w:tcW w:w="949" w:type="dxa"/>
            <w:tcBorders>
              <w:top w:val="nil"/>
              <w:left w:val="nil"/>
              <w:bottom w:val="single" w:sz="12" w:space="0" w:color="auto"/>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TTH</w:t>
            </w:r>
          </w:p>
        </w:tc>
        <w:tc>
          <w:tcPr>
            <w:tcW w:w="2091" w:type="dxa"/>
            <w:tcBorders>
              <w:top w:val="nil"/>
              <w:left w:val="nil"/>
              <w:bottom w:val="single" w:sz="12" w:space="0" w:color="auto"/>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70.8(39.7 - 113.5)</w:t>
            </w:r>
          </w:p>
        </w:tc>
        <w:tc>
          <w:tcPr>
            <w:tcW w:w="2091" w:type="dxa"/>
            <w:tcBorders>
              <w:top w:val="nil"/>
              <w:left w:val="nil"/>
              <w:bottom w:val="single" w:sz="12" w:space="0" w:color="auto"/>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70.5(39.3 - 113.9)</w:t>
            </w:r>
          </w:p>
        </w:tc>
        <w:tc>
          <w:tcPr>
            <w:tcW w:w="2839" w:type="dxa"/>
            <w:tcBorders>
              <w:top w:val="nil"/>
              <w:left w:val="nil"/>
              <w:bottom w:val="single" w:sz="12" w:space="0" w:color="auto"/>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25243.0(22778.6 - 28201.1)</w:t>
            </w:r>
          </w:p>
        </w:tc>
        <w:tc>
          <w:tcPr>
            <w:tcW w:w="2839" w:type="dxa"/>
            <w:tcBorders>
              <w:top w:val="nil"/>
              <w:left w:val="nil"/>
              <w:bottom w:val="single" w:sz="12" w:space="0" w:color="auto"/>
              <w:right w:val="nil"/>
            </w:tcBorders>
            <w:shd w:val="clear" w:color="auto" w:fill="auto"/>
            <w:noWrap/>
            <w:vAlign w:val="center"/>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25315.9(22683.9 - 28214.2)</w:t>
            </w:r>
          </w:p>
        </w:tc>
      </w:tr>
      <w:tr w:rsidR="00F73996" w:rsidRPr="00F73996" w:rsidTr="00F73996">
        <w:trPr>
          <w:trHeight w:val="300"/>
          <w:jc w:val="center"/>
        </w:trPr>
        <w:tc>
          <w:tcPr>
            <w:tcW w:w="12401" w:type="dxa"/>
            <w:gridSpan w:val="6"/>
            <w:tcBorders>
              <w:top w:val="single" w:sz="12" w:space="0" w:color="auto"/>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Note: YLD</w:t>
            </w:r>
            <w:r w:rsidR="00AB0C70">
              <w:rPr>
                <w:rFonts w:ascii="Times New Roman" w:eastAsia="宋体" w:hAnsi="Times New Roman" w:cs="Times New Roman"/>
                <w:color w:val="000000"/>
                <w:kern w:val="0"/>
                <w:sz w:val="22"/>
              </w:rPr>
              <w:t>s</w:t>
            </w:r>
            <w:r w:rsidRPr="00F73996">
              <w:rPr>
                <w:rFonts w:ascii="Times New Roman" w:eastAsia="宋体" w:hAnsi="Times New Roman" w:cs="Times New Roman"/>
                <w:color w:val="000000"/>
                <w:kern w:val="0"/>
                <w:sz w:val="22"/>
              </w:rPr>
              <w:t xml:space="preserve"> = years lived with disability</w:t>
            </w:r>
          </w:p>
        </w:tc>
      </w:tr>
      <w:tr w:rsidR="00F73996" w:rsidRPr="00F73996" w:rsidTr="00F73996">
        <w:trPr>
          <w:trHeight w:val="290"/>
          <w:jc w:val="center"/>
        </w:trPr>
        <w:tc>
          <w:tcPr>
            <w:tcW w:w="12401" w:type="dxa"/>
            <w:gridSpan w:val="6"/>
            <w:tcBorders>
              <w:top w:val="nil"/>
              <w:left w:val="nil"/>
              <w:bottom w:val="nil"/>
              <w:right w:val="nil"/>
            </w:tcBorders>
            <w:shd w:val="clear" w:color="auto" w:fill="auto"/>
            <w:noWrap/>
            <w:vAlign w:val="bottom"/>
            <w:hideMark/>
          </w:tcPr>
          <w:p w:rsidR="00F73996" w:rsidRPr="00F73996" w:rsidRDefault="00F73996" w:rsidP="00F73996">
            <w:pPr>
              <w:widowControl/>
              <w:jc w:val="left"/>
              <w:rPr>
                <w:rFonts w:ascii="Times New Roman" w:eastAsia="宋体" w:hAnsi="Times New Roman" w:cs="Times New Roman"/>
                <w:color w:val="000000"/>
                <w:kern w:val="0"/>
                <w:sz w:val="22"/>
              </w:rPr>
            </w:pPr>
            <w:r w:rsidRPr="00F73996">
              <w:rPr>
                <w:rFonts w:ascii="Times New Roman" w:eastAsia="宋体" w:hAnsi="Times New Roman" w:cs="Times New Roman"/>
                <w:color w:val="000000"/>
                <w:kern w:val="0"/>
                <w:sz w:val="22"/>
              </w:rPr>
              <w:t>Age-standardized rate (1/100,000) and data shown as rate (95% uncertainty interval)</w:t>
            </w:r>
          </w:p>
        </w:tc>
      </w:tr>
    </w:tbl>
    <w:p w:rsidR="00F73996" w:rsidRPr="00F73996" w:rsidRDefault="00F73996"/>
    <w:sectPr w:rsidR="00F73996" w:rsidRPr="00F73996" w:rsidSect="00DC47AA">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4CC" w:rsidRDefault="00E544CC" w:rsidP="00640FD4">
      <w:r>
        <w:separator/>
      </w:r>
    </w:p>
  </w:endnote>
  <w:endnote w:type="continuationSeparator" w:id="0">
    <w:p w:rsidR="00E544CC" w:rsidRDefault="00E544CC" w:rsidP="00640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4CC" w:rsidRDefault="00E544CC" w:rsidP="00640FD4">
      <w:r>
        <w:separator/>
      </w:r>
    </w:p>
  </w:footnote>
  <w:footnote w:type="continuationSeparator" w:id="0">
    <w:p w:rsidR="00E544CC" w:rsidRDefault="00E544CC" w:rsidP="00640F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NE.Ref{0FD60ECF-05F8-4A5B-9016-BC7CA663D8B0}" w:val=" ADDIN NE.Ref.{0FD60ECF-05F8-4A5B-9016-BC7CA663D8B0}&lt;Citation&gt;&lt;Group&gt;&lt;References&gt;&lt;Item&gt;&lt;ID&gt;1625&lt;/ID&gt;&lt;UID&gt;{52A7C853-4A5F-4BB8-AF86-BC085DD3C087}&lt;/UID&gt;&lt;Title&gt;The World Health Report 2001&lt;/Title&gt;&lt;Template&gt;Web Page&lt;/Template&gt;&lt;Star&gt;0&lt;/Star&gt;&lt;Tag&gt;0&lt;/Tag&gt;&lt;Author&gt;WHO&lt;/Author&gt;&lt;Year&gt;0&lt;/Year&gt;&lt;Details&gt;&lt;_volume&gt;2001&lt;/_volume&gt;&lt;_url&gt;http://www.who.int/_x000d__x000a_whr/2001/en/index.html&lt;/_url&gt;&lt;_author_aff&gt;Geneva: World Health Organization&lt;/_author_aff&gt;&lt;_accessed&gt;62803658&lt;/_accessed&gt;&lt;_created&gt;62803658&lt;/_created&gt;&lt;_modified&gt;62803658&lt;/_modified&gt;&lt;/Details&gt;&lt;Extra&gt;&lt;DBUID&gt;{F96A950B-833F-4880-A151-76DA2D6A2879}&lt;/DBUID&gt;&lt;/Extra&gt;&lt;/Item&gt;&lt;/References&gt;&lt;/Group&gt;&lt;/Citation&gt;_x000a_"/>
    <w:docVar w:name="ne_docsoft" w:val="MSWord"/>
    <w:docVar w:name="ne_docversion" w:val="NoteExpress 2.0"/>
    <w:docVar w:name="ne_stylename" w:val="Environmental Health New"/>
  </w:docVars>
  <w:rsids>
    <w:rsidRoot w:val="00E47E53"/>
    <w:rsid w:val="00085D4A"/>
    <w:rsid w:val="001F078A"/>
    <w:rsid w:val="003129D2"/>
    <w:rsid w:val="00503B82"/>
    <w:rsid w:val="005235DF"/>
    <w:rsid w:val="005D56C8"/>
    <w:rsid w:val="00640FD4"/>
    <w:rsid w:val="0064174A"/>
    <w:rsid w:val="00711943"/>
    <w:rsid w:val="00A31376"/>
    <w:rsid w:val="00AB0C70"/>
    <w:rsid w:val="00B87A3D"/>
    <w:rsid w:val="00BC0F8C"/>
    <w:rsid w:val="00C109A0"/>
    <w:rsid w:val="00CD4C1A"/>
    <w:rsid w:val="00CE5C89"/>
    <w:rsid w:val="00DB7C59"/>
    <w:rsid w:val="00DC47AA"/>
    <w:rsid w:val="00E42F55"/>
    <w:rsid w:val="00E47E53"/>
    <w:rsid w:val="00E544CC"/>
    <w:rsid w:val="00EF3E55"/>
    <w:rsid w:val="00F739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FF32C8-BF03-4726-AFF0-E628222B2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40F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40FD4"/>
    <w:rPr>
      <w:sz w:val="18"/>
      <w:szCs w:val="18"/>
    </w:rPr>
  </w:style>
  <w:style w:type="paragraph" w:styleId="a4">
    <w:name w:val="footer"/>
    <w:basedOn w:val="a"/>
    <w:link w:val="Char0"/>
    <w:uiPriority w:val="99"/>
    <w:unhideWhenUsed/>
    <w:rsid w:val="00640FD4"/>
    <w:pPr>
      <w:tabs>
        <w:tab w:val="center" w:pos="4153"/>
        <w:tab w:val="right" w:pos="8306"/>
      </w:tabs>
      <w:snapToGrid w:val="0"/>
      <w:jc w:val="left"/>
    </w:pPr>
    <w:rPr>
      <w:sz w:val="18"/>
      <w:szCs w:val="18"/>
    </w:rPr>
  </w:style>
  <w:style w:type="character" w:customStyle="1" w:styleId="Char0">
    <w:name w:val="页脚 Char"/>
    <w:basedOn w:val="a0"/>
    <w:link w:val="a4"/>
    <w:uiPriority w:val="99"/>
    <w:rsid w:val="00640F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946443">
      <w:bodyDiv w:val="1"/>
      <w:marLeft w:val="0"/>
      <w:marRight w:val="0"/>
      <w:marTop w:val="0"/>
      <w:marBottom w:val="0"/>
      <w:divBdr>
        <w:top w:val="none" w:sz="0" w:space="0" w:color="auto"/>
        <w:left w:val="none" w:sz="0" w:space="0" w:color="auto"/>
        <w:bottom w:val="none" w:sz="0" w:space="0" w:color="auto"/>
        <w:right w:val="none" w:sz="0" w:space="0" w:color="auto"/>
      </w:divBdr>
    </w:div>
    <w:div w:id="600920915">
      <w:bodyDiv w:val="1"/>
      <w:marLeft w:val="0"/>
      <w:marRight w:val="0"/>
      <w:marTop w:val="0"/>
      <w:marBottom w:val="0"/>
      <w:divBdr>
        <w:top w:val="none" w:sz="0" w:space="0" w:color="auto"/>
        <w:left w:val="none" w:sz="0" w:space="0" w:color="auto"/>
        <w:bottom w:val="none" w:sz="0" w:space="0" w:color="auto"/>
        <w:right w:val="none" w:sz="0" w:space="0" w:color="auto"/>
      </w:divBdr>
    </w:div>
    <w:div w:id="884372057">
      <w:bodyDiv w:val="1"/>
      <w:marLeft w:val="0"/>
      <w:marRight w:val="0"/>
      <w:marTop w:val="0"/>
      <w:marBottom w:val="0"/>
      <w:divBdr>
        <w:top w:val="none" w:sz="0" w:space="0" w:color="auto"/>
        <w:left w:val="none" w:sz="0" w:space="0" w:color="auto"/>
        <w:bottom w:val="none" w:sz="0" w:space="0" w:color="auto"/>
        <w:right w:val="none" w:sz="0" w:space="0" w:color="auto"/>
      </w:divBdr>
    </w:div>
    <w:div w:id="157708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11</Pages>
  <Words>2911</Words>
  <Characters>16599</Characters>
  <Application>Microsoft Office Word</Application>
  <DocSecurity>0</DocSecurity>
  <Lines>138</Lines>
  <Paragraphs>38</Paragraphs>
  <ScaleCrop>false</ScaleCrop>
  <Company/>
  <LinksUpToDate>false</LinksUpToDate>
  <CharactersWithSpaces>19472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 宇</dc:creator>
  <cp:keywords/>
  <dc:description>NE.Rep</dc:description>
  <cp:lastModifiedBy>王 宇</cp:lastModifiedBy>
  <cp:revision>10</cp:revision>
  <dcterms:created xsi:type="dcterms:W3CDTF">2019-05-30T07:10:00Z</dcterms:created>
  <dcterms:modified xsi:type="dcterms:W3CDTF">2019-10-15T05:07:00Z</dcterms:modified>
</cp:coreProperties>
</file>