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F57D1" w14:textId="77777777" w:rsidR="00F00FCA" w:rsidRPr="00306899" w:rsidRDefault="00F00FCA" w:rsidP="00F00FCA">
      <w:pPr>
        <w:pStyle w:val="Heading3"/>
        <w:keepNext w:val="0"/>
        <w:keepLines w:val="0"/>
        <w:widowContro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t xml:space="preserve">Supp Fig 1. 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  <w:t>Acute medication use – proportion of patients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eastAsia="en-GB"/>
        </w:rPr>
        <w:t>a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in the 183 days before and after erenumab initiation</w:t>
      </w:r>
    </w:p>
    <w:tbl>
      <w:tblPr>
        <w:tblStyle w:val="TableGrid"/>
        <w:tblW w:w="12895" w:type="dxa"/>
        <w:tblLayout w:type="fixed"/>
        <w:tblLook w:val="04A0" w:firstRow="1" w:lastRow="0" w:firstColumn="1" w:lastColumn="0" w:noHBand="0" w:noVBand="1"/>
      </w:tblPr>
      <w:tblGrid>
        <w:gridCol w:w="12895"/>
      </w:tblGrid>
      <w:tr w:rsidR="00F00FCA" w:rsidRPr="00306899" w14:paraId="2918BA7B" w14:textId="77777777" w:rsidTr="00A85F99">
        <w:tc>
          <w:tcPr>
            <w:tcW w:w="12895" w:type="dxa"/>
          </w:tcPr>
          <w:p w14:paraId="1FF8DBE6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OnabotulinumtoxinA Users Subgroup (n=720)</w:t>
            </w:r>
          </w:p>
        </w:tc>
      </w:tr>
      <w:tr w:rsidR="00F00FCA" w:rsidRPr="00306899" w14:paraId="6535007F" w14:textId="77777777" w:rsidTr="00A85F99">
        <w:tc>
          <w:tcPr>
            <w:tcW w:w="12895" w:type="dxa"/>
          </w:tcPr>
          <w:p w14:paraId="34B6D5CE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5002B72D" wp14:editId="133A1FA1">
                  <wp:extent cx="8950494" cy="413956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27"/>
                          <a:stretch/>
                        </pic:blipFill>
                        <pic:spPr bwMode="auto">
                          <a:xfrm>
                            <a:off x="0" y="0"/>
                            <a:ext cx="8950494" cy="413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0FEF9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en-GB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  <w:lang w:val="en-GB" w:eastAsia="en-GB"/>
        </w:rPr>
        <w:t>a</w:t>
      </w:r>
      <w:r w:rsidRPr="00306899">
        <w:rPr>
          <w:rFonts w:ascii="Times New Roman" w:hAnsi="Times New Roman" w:cs="Times New Roman"/>
          <w:color w:val="000000" w:themeColor="text1"/>
          <w:lang w:val="en-GB" w:eastAsia="en-GB"/>
        </w:rPr>
        <w:t>Note that the results for ergots are not included due to insufficient data.</w:t>
      </w:r>
    </w:p>
    <w:p w14:paraId="4D227371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en-GB"/>
        </w:rPr>
      </w:pPr>
      <w:r w:rsidRPr="00306899">
        <w:rPr>
          <w:rFonts w:ascii="Times New Roman" w:hAnsi="Times New Roman" w:cs="Times New Roman"/>
          <w:color w:val="000000" w:themeColor="text1"/>
          <w:lang w:val="en-GB" w:eastAsia="en-GB"/>
        </w:rPr>
        <w:t>The McNemar test was performed.</w:t>
      </w:r>
    </w:p>
    <w:p w14:paraId="3DB39FDA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en-GB"/>
        </w:rPr>
      </w:pPr>
      <w:r w:rsidRPr="00306899">
        <w:rPr>
          <w:rFonts w:ascii="Times New Roman" w:hAnsi="Times New Roman" w:cs="Times New Roman"/>
          <w:color w:val="000000" w:themeColor="text1"/>
          <w:lang w:val="en-GB" w:eastAsia="en-GB"/>
        </w:rPr>
        <w:t>NSAID, Non-steroidal anti-inflammatory drug.</w:t>
      </w:r>
    </w:p>
    <w:p w14:paraId="2F0833F4" w14:textId="77777777" w:rsidR="005A2BBC" w:rsidRDefault="005A2BBC">
      <w:pPr>
        <w:rPr>
          <w:rFonts w:ascii="Times New Roman" w:eastAsia="Times New Roman" w:hAnsi="Times New Roman" w:cs="Times New Roman"/>
          <w:b/>
          <w:color w:val="000000" w:themeColor="text1"/>
          <w:lang w:val="en-US" w:eastAsia="en-GB"/>
        </w:rPr>
      </w:pPr>
      <w:bookmarkStart w:id="0" w:name="_Supp_Fig_4."/>
      <w:bookmarkEnd w:id="0"/>
      <w:r>
        <w:rPr>
          <w:rFonts w:ascii="Times New Roman" w:eastAsia="Times New Roman" w:hAnsi="Times New Roman" w:cs="Times New Roman"/>
          <w:b/>
          <w:color w:val="000000" w:themeColor="text1"/>
          <w:lang w:eastAsia="en-GB"/>
        </w:rPr>
        <w:br w:type="page"/>
      </w:r>
    </w:p>
    <w:p w14:paraId="68BDF599" w14:textId="77777777" w:rsidR="00F00FCA" w:rsidRPr="00306899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>Supp Fig 2.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Healthcare resource utilization – proportion of patients in the 183 days before and after erenumab initiation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13178"/>
      </w:tblGrid>
      <w:tr w:rsidR="00F00FCA" w:rsidRPr="00306899" w14:paraId="1124B570" w14:textId="77777777" w:rsidTr="00A85F99">
        <w:tc>
          <w:tcPr>
            <w:tcW w:w="13178" w:type="dxa"/>
          </w:tcPr>
          <w:p w14:paraId="5A83E63E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Overall Population (n=3171)</w:t>
            </w:r>
          </w:p>
        </w:tc>
      </w:tr>
      <w:tr w:rsidR="00F00FCA" w:rsidRPr="00306899" w14:paraId="70FD3668" w14:textId="77777777" w:rsidTr="00A85F99">
        <w:tc>
          <w:tcPr>
            <w:tcW w:w="13178" w:type="dxa"/>
          </w:tcPr>
          <w:p w14:paraId="48514628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37DC14A4" wp14:editId="1110B76A">
                  <wp:extent cx="8007607" cy="391584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64"/>
                          <a:stretch/>
                        </pic:blipFill>
                        <pic:spPr bwMode="auto">
                          <a:xfrm>
                            <a:off x="0" y="0"/>
                            <a:ext cx="8012235" cy="391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D37BB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306899">
        <w:rPr>
          <w:rFonts w:ascii="Times New Roman" w:hAnsi="Times New Roman" w:cs="Times New Roman"/>
          <w:color w:val="000000" w:themeColor="text1"/>
        </w:rPr>
        <w:t>Neurologist or headache specialist visits are a subset of the office visits.</w:t>
      </w:r>
    </w:p>
    <w:p w14:paraId="24EFD5D4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en-GB"/>
        </w:rPr>
      </w:pPr>
      <w:r w:rsidRPr="00306899">
        <w:rPr>
          <w:rFonts w:ascii="Times New Roman" w:hAnsi="Times New Roman" w:cs="Times New Roman"/>
          <w:color w:val="000000" w:themeColor="text1"/>
          <w:lang w:val="en-GB" w:eastAsia="en-GB"/>
        </w:rPr>
        <w:t>The McNemar test was performed.</w:t>
      </w:r>
    </w:p>
    <w:p w14:paraId="1FEAF824" w14:textId="77777777" w:rsidR="005A2BBC" w:rsidRDefault="005A2BBC">
      <w:pPr>
        <w:rPr>
          <w:rFonts w:ascii="Times New Roman" w:eastAsiaTheme="majorEastAsia" w:hAnsi="Times New Roman" w:cs="Times New Roman"/>
          <w:b/>
          <w:color w:val="000000" w:themeColor="text1"/>
          <w:lang w:val="en-US" w:eastAsia="en-GB"/>
        </w:rPr>
      </w:pPr>
      <w:bookmarkStart w:id="1" w:name="_Supp_Fig_5."/>
      <w:bookmarkEnd w:id="1"/>
      <w:r>
        <w:rPr>
          <w:rFonts w:ascii="Times New Roman" w:hAnsi="Times New Roman" w:cs="Times New Roman"/>
          <w:b/>
          <w:color w:val="000000" w:themeColor="text1"/>
          <w:lang w:eastAsia="en-GB"/>
        </w:rPr>
        <w:br w:type="page"/>
      </w:r>
    </w:p>
    <w:p w14:paraId="143E338E" w14:textId="77777777" w:rsidR="00F00FCA" w:rsidRPr="00F00FCA" w:rsidRDefault="00F00FCA" w:rsidP="00F00FCA">
      <w:pPr>
        <w:pStyle w:val="Heading3"/>
        <w:keepNext w:val="0"/>
        <w:keepLines w:val="0"/>
        <w:widowControl w:val="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 xml:space="preserve">Supp Fig 3.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Acute medication use – mean number of claims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  <w:lang w:eastAsia="en-GB"/>
        </w:rPr>
        <w:t xml:space="preserve">a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in the 183 days before and after erenumab initiation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13178"/>
      </w:tblGrid>
      <w:tr w:rsidR="00F00FCA" w:rsidRPr="00306899" w14:paraId="5F740DFE" w14:textId="77777777" w:rsidTr="00A85F99">
        <w:tc>
          <w:tcPr>
            <w:tcW w:w="13178" w:type="dxa"/>
          </w:tcPr>
          <w:p w14:paraId="314C8416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OnabotulinumtoxinA Users Subgroup (n=720)</w:t>
            </w:r>
          </w:p>
        </w:tc>
      </w:tr>
      <w:tr w:rsidR="00F00FCA" w:rsidRPr="00306899" w14:paraId="5E84BB63" w14:textId="77777777" w:rsidTr="00A85F99">
        <w:tc>
          <w:tcPr>
            <w:tcW w:w="13178" w:type="dxa"/>
          </w:tcPr>
          <w:p w14:paraId="0249A67D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49591D32" wp14:editId="7AC1F023">
                  <wp:extent cx="8078015" cy="426783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30"/>
                          <a:stretch/>
                        </pic:blipFill>
                        <pic:spPr bwMode="auto">
                          <a:xfrm>
                            <a:off x="0" y="0"/>
                            <a:ext cx="8078015" cy="426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5A4BA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06899">
        <w:rPr>
          <w:rFonts w:ascii="Times New Roman" w:hAnsi="Times New Roman" w:cs="Times New Roman"/>
          <w:noProof/>
          <w:color w:val="000000" w:themeColor="text1"/>
          <w:vertAlign w:val="superscript"/>
        </w:rPr>
        <w:t>a</w:t>
      </w:r>
      <w:r w:rsidRPr="00306899">
        <w:rPr>
          <w:rFonts w:ascii="Times New Roman" w:hAnsi="Times New Roman" w:cs="Times New Roman"/>
          <w:noProof/>
          <w:color w:val="000000" w:themeColor="text1"/>
        </w:rPr>
        <w:t>Use of non-migraine specific acute medications (NSAIDs, opioids, and barbiturates) required a migraine diagnosis on or before 7 days of the medication claim to proxy migraine-specific acute medication.</w:t>
      </w:r>
    </w:p>
    <w:p w14:paraId="4A5D434B" w14:textId="77777777" w:rsidR="00F00FCA" w:rsidRPr="00306899" w:rsidRDefault="00F00FCA" w:rsidP="00F00FCA">
      <w:pPr>
        <w:widowControl w:val="0"/>
        <w:spacing w:after="60" w:line="240" w:lineRule="auto"/>
        <w:rPr>
          <w:rFonts w:ascii="Times New Roman" w:hAnsi="Times New Roman" w:cs="Times New Roman"/>
          <w:b/>
        </w:rPr>
      </w:pPr>
      <w:r w:rsidRPr="00306899">
        <w:rPr>
          <w:rFonts w:ascii="Times New Roman" w:hAnsi="Times New Roman" w:cs="Times New Roman"/>
        </w:rPr>
        <w:t xml:space="preserve">Negative binomial model with repeated measure was used. </w:t>
      </w:r>
    </w:p>
    <w:p w14:paraId="76EB7846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06899">
        <w:rPr>
          <w:rFonts w:ascii="Times New Roman" w:hAnsi="Times New Roman" w:cs="Times New Roman"/>
          <w:noProof/>
          <w:color w:val="000000" w:themeColor="text1"/>
        </w:rPr>
        <w:t>CI, confidence interval; ER, emergency room; IPTW, inverse probability of treatment weighting; NSAID, nonsteroidal anti-inflammatory drug; RR, rate ratio.</w:t>
      </w:r>
    </w:p>
    <w:p w14:paraId="42720213" w14:textId="77777777" w:rsidR="00F00FCA" w:rsidRPr="00306899" w:rsidRDefault="00F00FCA" w:rsidP="00F00FCA">
      <w:pPr>
        <w:pStyle w:val="Heading3"/>
        <w:keepNext w:val="0"/>
        <w:keepLines w:val="0"/>
        <w:widowContro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2" w:name="_Supp_Fig_6."/>
      <w:bookmarkEnd w:id="2"/>
      <w:r w:rsidRPr="00306899">
        <w:rPr>
          <w:rFonts w:ascii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>Supp Fig 4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  <w:t xml:space="preserve">.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Healthcare resource utilization – mean number of visits in the 183 days before and after erenumab initiation</w:t>
      </w: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13320"/>
      </w:tblGrid>
      <w:tr w:rsidR="00F00FCA" w:rsidRPr="00306899" w14:paraId="1B79ED5A" w14:textId="77777777" w:rsidTr="00A85F99">
        <w:tc>
          <w:tcPr>
            <w:tcW w:w="13320" w:type="dxa"/>
          </w:tcPr>
          <w:p w14:paraId="2AC67B6E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OnabotulinumtoxinA Users Subgroup (n=720)</w:t>
            </w:r>
          </w:p>
        </w:tc>
      </w:tr>
      <w:tr w:rsidR="00F00FCA" w:rsidRPr="00306899" w14:paraId="4009330E" w14:textId="77777777" w:rsidTr="00A85F99">
        <w:tc>
          <w:tcPr>
            <w:tcW w:w="13320" w:type="dxa"/>
          </w:tcPr>
          <w:p w14:paraId="2F9346A0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7D265AE8" wp14:editId="437A8193">
                  <wp:extent cx="8205746" cy="378519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008"/>
                          <a:stretch/>
                        </pic:blipFill>
                        <pic:spPr bwMode="auto">
                          <a:xfrm>
                            <a:off x="0" y="0"/>
                            <a:ext cx="8233343" cy="3797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86C24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306899">
        <w:rPr>
          <w:rFonts w:ascii="Times New Roman" w:hAnsi="Times New Roman" w:cs="Times New Roman"/>
          <w:color w:val="000000" w:themeColor="text1"/>
        </w:rPr>
        <w:t>Neurologist or headache specialist visits are a subset of the office visits.</w:t>
      </w:r>
    </w:p>
    <w:p w14:paraId="44596291" w14:textId="77777777" w:rsidR="00F00FCA" w:rsidRPr="00306899" w:rsidRDefault="00F00FCA" w:rsidP="00F00FCA">
      <w:pPr>
        <w:widowControl w:val="0"/>
        <w:spacing w:after="60" w:line="240" w:lineRule="auto"/>
        <w:rPr>
          <w:rFonts w:ascii="Times New Roman" w:hAnsi="Times New Roman" w:cs="Times New Roman"/>
          <w:b/>
        </w:rPr>
      </w:pPr>
      <w:r w:rsidRPr="00306899">
        <w:rPr>
          <w:rFonts w:ascii="Times New Roman" w:hAnsi="Times New Roman" w:cs="Times New Roman"/>
        </w:rPr>
        <w:t xml:space="preserve">Negative binomial model with repeated measure was used. </w:t>
      </w:r>
    </w:p>
    <w:p w14:paraId="34272513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06899">
        <w:rPr>
          <w:rFonts w:ascii="Times New Roman" w:hAnsi="Times New Roman" w:cs="Times New Roman"/>
          <w:noProof/>
          <w:color w:val="000000" w:themeColor="text1"/>
        </w:rPr>
        <w:t>CI, confidence interval; ER, emergency room; IPTW, inverse probability of treatment weighting; NSAID, nonsteroidal anti-inflammatory drug; RR, rate ratio.</w:t>
      </w:r>
    </w:p>
    <w:p w14:paraId="5CC61FEB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37C3684B" w14:textId="77777777" w:rsidR="005A2BBC" w:rsidRDefault="005A2BBC">
      <w:pPr>
        <w:rPr>
          <w:rFonts w:ascii="Times New Roman" w:eastAsiaTheme="majorEastAsia" w:hAnsi="Times New Roman" w:cs="Times New Roman"/>
          <w:b/>
          <w:color w:val="000000" w:themeColor="text1"/>
          <w:lang w:val="en-US" w:eastAsia="en-GB"/>
        </w:rPr>
      </w:pPr>
      <w:bookmarkStart w:id="3" w:name="_Supp_Fig_7."/>
      <w:bookmarkEnd w:id="3"/>
      <w:r>
        <w:rPr>
          <w:rFonts w:ascii="Times New Roman" w:hAnsi="Times New Roman" w:cs="Times New Roman"/>
          <w:b/>
          <w:color w:val="000000" w:themeColor="text1"/>
          <w:lang w:eastAsia="en-GB"/>
        </w:rPr>
        <w:br w:type="page"/>
      </w:r>
    </w:p>
    <w:p w14:paraId="5E84CAA1" w14:textId="77777777" w:rsidR="00F00FCA" w:rsidRPr="00306899" w:rsidRDefault="00F00FCA" w:rsidP="00F00FCA">
      <w:pPr>
        <w:pStyle w:val="Heading3"/>
        <w:keepNext w:val="0"/>
        <w:keepLines w:val="0"/>
        <w:widowControl w:val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306899">
        <w:rPr>
          <w:rFonts w:ascii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 xml:space="preserve">Supp Fig 5. 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  <w:t xml:space="preserve">Healthcare resource utilization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– proportion of patients in the 183 days before and after erenumab initiation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13238"/>
      </w:tblGrid>
      <w:tr w:rsidR="00F00FCA" w:rsidRPr="00306899" w14:paraId="6B2E06FE" w14:textId="77777777" w:rsidTr="00A85F99">
        <w:tc>
          <w:tcPr>
            <w:tcW w:w="13178" w:type="dxa"/>
          </w:tcPr>
          <w:p w14:paraId="275E63F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OnabotulinumtoxinA Users Subgroup (n=720)</w:t>
            </w:r>
          </w:p>
        </w:tc>
      </w:tr>
      <w:tr w:rsidR="00F00FCA" w:rsidRPr="00306899" w14:paraId="2CCA9E00" w14:textId="77777777" w:rsidTr="00A85F99">
        <w:tc>
          <w:tcPr>
            <w:tcW w:w="13178" w:type="dxa"/>
          </w:tcPr>
          <w:p w14:paraId="5FCF3FAC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4DC9B1A7" wp14:editId="4DB137EC">
                  <wp:extent cx="8269356" cy="396445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490"/>
                          <a:stretch/>
                        </pic:blipFill>
                        <pic:spPr bwMode="auto">
                          <a:xfrm>
                            <a:off x="0" y="0"/>
                            <a:ext cx="8282385" cy="3970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C2AC8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306899">
        <w:rPr>
          <w:rFonts w:ascii="Times New Roman" w:hAnsi="Times New Roman" w:cs="Times New Roman"/>
          <w:color w:val="000000" w:themeColor="text1"/>
        </w:rPr>
        <w:t>Neurologist or headache specialist visits are a subset of the office visits.</w:t>
      </w:r>
    </w:p>
    <w:p w14:paraId="77A2311D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en-GB"/>
        </w:rPr>
      </w:pPr>
      <w:r w:rsidRPr="00306899">
        <w:rPr>
          <w:rFonts w:ascii="Times New Roman" w:hAnsi="Times New Roman" w:cs="Times New Roman"/>
          <w:color w:val="000000" w:themeColor="text1"/>
          <w:lang w:val="en-GB" w:eastAsia="en-GB"/>
        </w:rPr>
        <w:t>The McNemar test was performed.</w:t>
      </w:r>
    </w:p>
    <w:p w14:paraId="24432C7C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00E49C5" w14:textId="77777777" w:rsidR="005A2BBC" w:rsidRDefault="005A2BBC">
      <w:pPr>
        <w:rPr>
          <w:rFonts w:ascii="Times New Roman" w:eastAsiaTheme="majorEastAsia" w:hAnsi="Times New Roman" w:cs="Times New Roman"/>
          <w:b/>
          <w:color w:val="000000" w:themeColor="text1"/>
          <w:lang w:val="en-US" w:eastAsia="en-GB"/>
        </w:rPr>
      </w:pPr>
      <w:bookmarkStart w:id="4" w:name="_Supp_Fig_8."/>
      <w:bookmarkEnd w:id="4"/>
      <w:r>
        <w:rPr>
          <w:rFonts w:ascii="Times New Roman" w:hAnsi="Times New Roman" w:cs="Times New Roman"/>
          <w:b/>
          <w:color w:val="000000" w:themeColor="text1"/>
          <w:lang w:eastAsia="en-GB"/>
        </w:rPr>
        <w:br w:type="page"/>
      </w:r>
    </w:p>
    <w:p w14:paraId="7F30D14C" w14:textId="77777777" w:rsidR="00F00FCA" w:rsidRPr="00F00FCA" w:rsidRDefault="00F00FCA" w:rsidP="00F00FCA">
      <w:pPr>
        <w:pStyle w:val="Heading3"/>
        <w:keepNext w:val="0"/>
        <w:keepLines w:val="0"/>
        <w:widowContro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06899">
        <w:rPr>
          <w:rFonts w:ascii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>Supp Fig 6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  <w:t>. Composite endpoint</w:t>
      </w:r>
      <w:r w:rsidRPr="00F00FCA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eastAsia="en-GB"/>
        </w:rPr>
        <w:t xml:space="preserve">a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in the 183 days before and after erenumab initiation</w:t>
      </w:r>
    </w:p>
    <w:tbl>
      <w:tblPr>
        <w:tblStyle w:val="TableGrid"/>
        <w:tblW w:w="12186" w:type="dxa"/>
        <w:tblLook w:val="04A0" w:firstRow="1" w:lastRow="0" w:firstColumn="1" w:lastColumn="0" w:noHBand="0" w:noVBand="1"/>
      </w:tblPr>
      <w:tblGrid>
        <w:gridCol w:w="12793"/>
      </w:tblGrid>
      <w:tr w:rsidR="00F00FCA" w:rsidRPr="00306899" w14:paraId="654D307C" w14:textId="77777777" w:rsidTr="00A85F99">
        <w:tc>
          <w:tcPr>
            <w:tcW w:w="12186" w:type="dxa"/>
          </w:tcPr>
          <w:p w14:paraId="0EDA3C6F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GB"/>
              </w:rPr>
              <w:t>OnabotulinumtoxinA Users Subgroup (n=720)</w:t>
            </w:r>
          </w:p>
        </w:tc>
      </w:tr>
      <w:tr w:rsidR="00F00FCA" w:rsidRPr="00306899" w14:paraId="78348266" w14:textId="77777777" w:rsidTr="00A85F99">
        <w:tc>
          <w:tcPr>
            <w:tcW w:w="12186" w:type="dxa"/>
          </w:tcPr>
          <w:p w14:paraId="5D49EDCC" w14:textId="77777777" w:rsidR="00F00FCA" w:rsidRPr="00306899" w:rsidRDefault="00F00FCA" w:rsidP="00A85F99">
            <w:pPr>
              <w:widowControl w:val="0"/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sz w:val="22"/>
                <w:szCs w:val="22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iCs/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2BB33ED" wp14:editId="02C3C0C0">
                  <wp:extent cx="7986395" cy="310896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6395" cy="3108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7B7459" w14:textId="77777777" w:rsidR="00F00FCA" w:rsidRPr="00306899" w:rsidRDefault="00F00FCA" w:rsidP="00F00FCA">
      <w:pPr>
        <w:widowControl w:val="0"/>
        <w:spacing w:after="0" w:line="240" w:lineRule="auto"/>
        <w:ind w:left="357"/>
        <w:rPr>
          <w:rFonts w:ascii="Times New Roman" w:hAnsi="Times New Roman" w:cs="Times New Roman"/>
          <w:color w:val="000000" w:themeColor="text1"/>
          <w:lang w:val="en-GB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306899">
        <w:rPr>
          <w:rFonts w:ascii="Times New Roman" w:hAnsi="Times New Roman" w:cs="Times New Roman"/>
          <w:color w:val="000000" w:themeColor="text1"/>
          <w:lang w:val="en-GB"/>
        </w:rPr>
        <w:t xml:space="preserve">Outpatient visit with a diagnosis of migraine and an associated acute medication claim, hospital admission or emergency room visit with a primary diagnosis for migraine. </w:t>
      </w:r>
      <w:r w:rsidRPr="00306899">
        <w:rPr>
          <w:rFonts w:ascii="Times New Roman" w:hAnsi="Times New Roman" w:cs="Times New Roman"/>
          <w:color w:val="000000" w:themeColor="text1"/>
        </w:rPr>
        <w:t xml:space="preserve">Any events occurred ≤3 days apart were counted only once. </w:t>
      </w:r>
      <w:r w:rsidRPr="00306899">
        <w:rPr>
          <w:rFonts w:ascii="Times New Roman" w:hAnsi="Times New Roman" w:cs="Times New Roman"/>
          <w:color w:val="000000" w:themeColor="text1"/>
          <w:lang w:val="en-GB"/>
        </w:rPr>
        <w:t>McNemar test for binary endpoint and Negative binomial model with repeated measure for count data were used.</w:t>
      </w:r>
    </w:p>
    <w:p w14:paraId="482B4662" w14:textId="77777777" w:rsidR="00F00FCA" w:rsidRPr="00306899" w:rsidRDefault="00F00FCA" w:rsidP="00F00FCA">
      <w:pPr>
        <w:widowControl w:val="0"/>
        <w:spacing w:after="0" w:line="240" w:lineRule="auto"/>
        <w:ind w:left="357"/>
        <w:rPr>
          <w:rFonts w:ascii="Times New Roman" w:hAnsi="Times New Roman" w:cs="Times New Roman"/>
          <w:color w:val="000000" w:themeColor="text1"/>
          <w:lang w:val="en-GB"/>
        </w:rPr>
      </w:pPr>
      <w:r w:rsidRPr="00306899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b</w:t>
      </w:r>
      <w:r w:rsidRPr="00306899">
        <w:rPr>
          <w:rFonts w:ascii="Times New Roman" w:hAnsi="Times New Roman" w:cs="Times New Roman"/>
          <w:color w:val="000000" w:themeColor="text1"/>
          <w:lang w:val="en-GB"/>
        </w:rPr>
        <w:t>Number of events are plotted as relative risk and 95% confidence intervals.</w:t>
      </w:r>
    </w:p>
    <w:p w14:paraId="3F380574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b/>
          <w:iCs/>
          <w:color w:val="000000" w:themeColor="text1"/>
          <w:lang w:eastAsia="en-GB"/>
        </w:rPr>
        <w:sectPr w:rsidR="00F00FCA" w:rsidRPr="00306899" w:rsidSect="006E2F2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3360389" w14:textId="77777777" w:rsidR="00F00FCA" w:rsidRPr="00306899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</w:pPr>
      <w:bookmarkStart w:id="5" w:name="_Supp_Table_1._2"/>
      <w:bookmarkEnd w:id="5"/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 xml:space="preserve">Supp Table 1.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Diagnosis codes</w:t>
      </w:r>
    </w:p>
    <w:tbl>
      <w:tblPr>
        <w:tblW w:w="9925" w:type="dxa"/>
        <w:tblInd w:w="-5" w:type="dxa"/>
        <w:tblLook w:val="04A0" w:firstRow="1" w:lastRow="0" w:firstColumn="1" w:lastColumn="0" w:noHBand="0" w:noVBand="1"/>
      </w:tblPr>
      <w:tblGrid>
        <w:gridCol w:w="2520"/>
        <w:gridCol w:w="7405"/>
      </w:tblGrid>
      <w:tr w:rsidR="00F00FCA" w:rsidRPr="00306899" w14:paraId="57B11AF4" w14:textId="77777777" w:rsidTr="00A85F99">
        <w:trPr>
          <w:trHeight w:val="28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29B27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color w:val="000000" w:themeColor="text1"/>
                <w:lang w:val="en-GB" w:eastAsia="en-GB"/>
              </w:rPr>
              <w:t>Disease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6EEB9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b/>
                <w:color w:val="000000" w:themeColor="text1"/>
                <w:lang w:val="en-GB" w:eastAsia="en-GB"/>
              </w:rPr>
              <w:t>ICD10</w:t>
            </w:r>
          </w:p>
        </w:tc>
      </w:tr>
      <w:tr w:rsidR="00F00FCA" w:rsidRPr="00306899" w14:paraId="51637D14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3E446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Stroke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91EE8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G450, G451, G452, G453, G458, G459, H340, I60, I61, I62, I63</w:t>
            </w:r>
          </w:p>
        </w:tc>
      </w:tr>
      <w:tr w:rsidR="00F00FCA" w:rsidRPr="00306899" w14:paraId="4FDE9538" w14:textId="77777777" w:rsidTr="00A85F99">
        <w:trPr>
          <w:trHeight w:val="174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3716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CV Disease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4A7D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E85, I0981, I10, I11, I110, I12, I120, I13, I130, I132, I15, I16, I20, I21, I22, I25, I2511, I25110, I25111, I25118, I25119, I252, I257, I2570, I25700, I25701, I25708, I25709, I2571, I25710, I25711, I25718, I25719, I2572, I25720, I25721, I25728, I25729, I2573, I25730, I25731, I25738, I25739, I2575, I25750, I25751, I25758, I25759, I2576, I25760, I25761, I25768, I25769, I2579, I25790, I25791, I25798, I25799, I34, I340, I35, I350, I351, I36, I37, I480, I481, I482, I4891, I50, I700, I739, N183, N184, N185, N186</w:t>
            </w:r>
          </w:p>
        </w:tc>
      </w:tr>
      <w:tr w:rsidR="00F00FCA" w:rsidRPr="00306899" w14:paraId="23ACE0F5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F7031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Depression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FE263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F0631, F0632, F251, F313, F314, F315, F3175, F3176, F32, F33, F341, F4321, F4323</w:t>
            </w:r>
          </w:p>
        </w:tc>
      </w:tr>
      <w:tr w:rsidR="00F00FCA" w:rsidRPr="00306899" w14:paraId="7E1CEB46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EED8C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Anxiety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BE5D5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F064, F40, F41, F4322, F4323</w:t>
            </w:r>
          </w:p>
        </w:tc>
      </w:tr>
      <w:tr w:rsidR="00F00FCA" w:rsidRPr="00306899" w14:paraId="1BBC0D18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AE6E6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Insomnia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8D2CF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A8183, F510, G470, Z7381</w:t>
            </w:r>
          </w:p>
        </w:tc>
      </w:tr>
      <w:tr w:rsidR="00F00FCA" w:rsidRPr="00306899" w14:paraId="5DF6FD29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F068C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Epilepsy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ADE82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G40</w:t>
            </w:r>
          </w:p>
        </w:tc>
      </w:tr>
      <w:tr w:rsidR="00F00FCA" w:rsidRPr="00306899" w14:paraId="3781309C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B0939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Constipation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DCF29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K560, K564, K566, K567, K590, K5939, 3E1H78Z.</w:t>
            </w:r>
          </w:p>
        </w:tc>
      </w:tr>
      <w:tr w:rsidR="00F00FCA" w:rsidRPr="00306899" w14:paraId="77096161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2ACE8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Gastroparesis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03120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K3184</w:t>
            </w:r>
          </w:p>
        </w:tc>
      </w:tr>
      <w:tr w:rsidR="00F00FCA" w:rsidRPr="00306899" w14:paraId="06ECC170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9AE64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IBS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3F863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K58, K580, K581, K582, K588, K589</w:t>
            </w:r>
          </w:p>
        </w:tc>
      </w:tr>
      <w:tr w:rsidR="00F00FCA" w:rsidRPr="00306899" w14:paraId="33597164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5A680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Endometriosis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15AEA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N80</w:t>
            </w:r>
          </w:p>
        </w:tc>
      </w:tr>
      <w:tr w:rsidR="00F00FCA" w:rsidRPr="00306899" w14:paraId="536C1E3C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FCD84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Obesity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BFFAB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E6601, E6609, E661, E662, E668, E669</w:t>
            </w:r>
          </w:p>
        </w:tc>
      </w:tr>
      <w:tr w:rsidR="00F00FCA" w:rsidRPr="00306899" w14:paraId="0CBD5001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0B8D6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lastRenderedPageBreak/>
              <w:t>Migraine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FF029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G43</w:t>
            </w:r>
          </w:p>
        </w:tc>
      </w:tr>
      <w:tr w:rsidR="00F00FCA" w:rsidRPr="00306899" w14:paraId="6FB11F4C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2FA8C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CM w/o aura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2B1F0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G437</w:t>
            </w:r>
          </w:p>
        </w:tc>
      </w:tr>
      <w:tr w:rsidR="00F00FCA" w:rsidRPr="00306899" w14:paraId="2FF17D21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AA203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Brain Injury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65397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S0</w:t>
            </w:r>
          </w:p>
        </w:tc>
      </w:tr>
      <w:tr w:rsidR="00F00FCA" w:rsidRPr="00306899" w14:paraId="60759120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A3A72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Menstrual Migraine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110FD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G4382, G4383</w:t>
            </w:r>
          </w:p>
        </w:tc>
      </w:tr>
      <w:tr w:rsidR="00F00FCA" w:rsidRPr="00306899" w14:paraId="67B82740" w14:textId="77777777" w:rsidTr="00A85F99">
        <w:trPr>
          <w:trHeight w:val="29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D62F3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Fibromyalgia</w:t>
            </w:r>
          </w:p>
        </w:tc>
        <w:tc>
          <w:tcPr>
            <w:tcW w:w="7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9D473" w14:textId="77777777" w:rsidR="00F00FCA" w:rsidRPr="00306899" w:rsidRDefault="00F00FCA" w:rsidP="00A85F99">
            <w:pPr>
              <w:widowControl w:val="0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  <w:lang w:val="en-GB" w:eastAsia="en-GB"/>
              </w:rPr>
              <w:t>M797</w:t>
            </w:r>
          </w:p>
        </w:tc>
      </w:tr>
    </w:tbl>
    <w:p w14:paraId="1EC6BC89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eastAsia="en-GB"/>
        </w:rPr>
      </w:pPr>
      <w:r w:rsidRPr="00306899">
        <w:rPr>
          <w:rFonts w:ascii="Times New Roman" w:hAnsi="Times New Roman" w:cs="Times New Roman"/>
          <w:color w:val="000000" w:themeColor="text1"/>
          <w:lang w:eastAsia="en-GB"/>
        </w:rPr>
        <w:t xml:space="preserve">CM, chronic migraine; CV, cardiovascular; </w:t>
      </w:r>
      <w:r w:rsidRPr="00306899">
        <w:rPr>
          <w:rFonts w:ascii="Times New Roman" w:hAnsi="Times New Roman" w:cs="Times New Roman"/>
          <w:color w:val="000000" w:themeColor="text1"/>
        </w:rPr>
        <w:t>IBS, irritable bowel syndrome</w:t>
      </w:r>
      <w:r w:rsidRPr="00306899">
        <w:rPr>
          <w:rFonts w:ascii="Times New Roman" w:hAnsi="Times New Roman" w:cs="Times New Roman"/>
          <w:color w:val="000000" w:themeColor="text1"/>
          <w:lang w:eastAsia="en-GB"/>
        </w:rPr>
        <w:t>; w/o, without.</w:t>
      </w:r>
    </w:p>
    <w:p w14:paraId="493B9807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</w:rPr>
      </w:pPr>
      <w:r w:rsidRPr="00306899">
        <w:rPr>
          <w:rFonts w:ascii="Times New Roman" w:hAnsi="Times New Roman" w:cs="Times New Roman"/>
          <w:color w:val="000000" w:themeColor="text1"/>
        </w:rPr>
        <w:t>Note: The medication codes are provided in the accompanying excel sheet.</w:t>
      </w:r>
    </w:p>
    <w:p w14:paraId="0E443098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6908E7D8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15B34541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197484CA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2616F960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5A698FFF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1EC6055A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2DC80DC3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6EC4B0ED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0AC4720E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2D58439A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2E262D7C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09ABACEA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1A154FB2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3E9F2C77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7B79B209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06AFF730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color w:val="000000" w:themeColor="text1"/>
          <w:lang w:eastAsia="en-GB"/>
        </w:rPr>
      </w:pPr>
    </w:p>
    <w:p w14:paraId="27AA9FEA" w14:textId="77777777" w:rsidR="005A2BBC" w:rsidRDefault="005A2BBC">
      <w:pPr>
        <w:rPr>
          <w:rFonts w:ascii="Times New Roman" w:eastAsia="Times New Roman" w:hAnsi="Times New Roman" w:cs="Times New Roman"/>
          <w:b/>
          <w:color w:val="000000" w:themeColor="text1"/>
          <w:lang w:val="en-US" w:eastAsia="en-GB"/>
        </w:rPr>
      </w:pPr>
      <w:bookmarkStart w:id="6" w:name="_Supp_Table_2._1"/>
      <w:bookmarkEnd w:id="6"/>
      <w:r>
        <w:rPr>
          <w:rFonts w:ascii="Times New Roman" w:eastAsia="Times New Roman" w:hAnsi="Times New Roman" w:cs="Times New Roman"/>
          <w:b/>
          <w:color w:val="000000" w:themeColor="text1"/>
          <w:lang w:eastAsia="en-GB"/>
        </w:rPr>
        <w:br w:type="page"/>
      </w:r>
    </w:p>
    <w:p w14:paraId="57C5A5AE" w14:textId="77777777" w:rsidR="00F00FCA" w:rsidRPr="00306899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>Supp Table 2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. Elixhauser Comorbidities (≥5%)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0FCA" w:rsidRPr="00306899" w14:paraId="0B3802BE" w14:textId="77777777" w:rsidTr="00A85F99">
        <w:tc>
          <w:tcPr>
            <w:tcW w:w="4675" w:type="dxa"/>
            <w:vAlign w:val="center"/>
          </w:tcPr>
          <w:p w14:paraId="5471DD9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Elixhauser Comorbidities with Any Comorbidities: N (%)</w:t>
            </w:r>
          </w:p>
        </w:tc>
        <w:tc>
          <w:tcPr>
            <w:tcW w:w="4675" w:type="dxa"/>
            <w:vAlign w:val="bottom"/>
          </w:tcPr>
          <w:p w14:paraId="2F4F2B2C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2588 (81.6%)</w:t>
            </w:r>
          </w:p>
        </w:tc>
      </w:tr>
      <w:tr w:rsidR="00F00FCA" w:rsidRPr="00306899" w14:paraId="314881AD" w14:textId="77777777" w:rsidTr="00A85F99">
        <w:tc>
          <w:tcPr>
            <w:tcW w:w="4675" w:type="dxa"/>
            <w:vAlign w:val="center"/>
          </w:tcPr>
          <w:p w14:paraId="7ECDD8A2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Elixhauser disease groups: </w:t>
            </w:r>
          </w:p>
        </w:tc>
        <w:tc>
          <w:tcPr>
            <w:tcW w:w="4675" w:type="dxa"/>
            <w:vAlign w:val="bottom"/>
          </w:tcPr>
          <w:p w14:paraId="39FCC61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 (%)</w:t>
            </w:r>
          </w:p>
        </w:tc>
      </w:tr>
      <w:tr w:rsidR="00F00FCA" w:rsidRPr="00306899" w14:paraId="53A65004" w14:textId="77777777" w:rsidTr="00A85F99">
        <w:tc>
          <w:tcPr>
            <w:tcW w:w="4675" w:type="dxa"/>
            <w:vAlign w:val="bottom"/>
          </w:tcPr>
          <w:p w14:paraId="45A3A676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4675" w:type="dxa"/>
            <w:vAlign w:val="bottom"/>
          </w:tcPr>
          <w:p w14:paraId="3235C3D3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1325 (41.8%)</w:t>
            </w:r>
          </w:p>
        </w:tc>
      </w:tr>
      <w:tr w:rsidR="00F00FCA" w:rsidRPr="00306899" w14:paraId="6A776A7A" w14:textId="77777777" w:rsidTr="00A85F99">
        <w:tc>
          <w:tcPr>
            <w:tcW w:w="4675" w:type="dxa"/>
            <w:vAlign w:val="bottom"/>
          </w:tcPr>
          <w:p w14:paraId="2E58858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Uncomplicated Hypertension</w:t>
            </w:r>
          </w:p>
        </w:tc>
        <w:tc>
          <w:tcPr>
            <w:tcW w:w="4675" w:type="dxa"/>
            <w:vAlign w:val="bottom"/>
          </w:tcPr>
          <w:p w14:paraId="1507E20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1143 (36.0%)</w:t>
            </w:r>
          </w:p>
        </w:tc>
      </w:tr>
      <w:tr w:rsidR="00F00FCA" w:rsidRPr="00306899" w14:paraId="09AE6CA3" w14:textId="77777777" w:rsidTr="00A85F99">
        <w:tc>
          <w:tcPr>
            <w:tcW w:w="4675" w:type="dxa"/>
            <w:vAlign w:val="bottom"/>
          </w:tcPr>
          <w:p w14:paraId="023CCA27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Hypothyroidism</w:t>
            </w:r>
          </w:p>
        </w:tc>
        <w:tc>
          <w:tcPr>
            <w:tcW w:w="4675" w:type="dxa"/>
            <w:vAlign w:val="bottom"/>
          </w:tcPr>
          <w:p w14:paraId="7123E8FF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 (24.4%)</w:t>
            </w:r>
          </w:p>
        </w:tc>
      </w:tr>
      <w:tr w:rsidR="00F00FCA" w:rsidRPr="00306899" w14:paraId="0429F2DB" w14:textId="77777777" w:rsidTr="00A85F99">
        <w:tc>
          <w:tcPr>
            <w:tcW w:w="4675" w:type="dxa"/>
            <w:vAlign w:val="bottom"/>
          </w:tcPr>
          <w:p w14:paraId="038A664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Chronic Pulmonary Disease</w:t>
            </w:r>
          </w:p>
        </w:tc>
        <w:tc>
          <w:tcPr>
            <w:tcW w:w="4675" w:type="dxa"/>
            <w:vAlign w:val="bottom"/>
          </w:tcPr>
          <w:p w14:paraId="6F82B36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 (24.0%)</w:t>
            </w:r>
          </w:p>
        </w:tc>
      </w:tr>
      <w:tr w:rsidR="00F00FCA" w:rsidRPr="00306899" w14:paraId="533B9EC8" w14:textId="77777777" w:rsidTr="00A85F99">
        <w:tc>
          <w:tcPr>
            <w:tcW w:w="4675" w:type="dxa"/>
            <w:vAlign w:val="bottom"/>
          </w:tcPr>
          <w:p w14:paraId="58566D16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4675" w:type="dxa"/>
            <w:vAlign w:val="bottom"/>
          </w:tcPr>
          <w:p w14:paraId="06A3C14F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 (21.8%)</w:t>
            </w:r>
          </w:p>
        </w:tc>
      </w:tr>
      <w:tr w:rsidR="00F00FCA" w:rsidRPr="00306899" w14:paraId="05A690C6" w14:textId="77777777" w:rsidTr="00A85F99">
        <w:tc>
          <w:tcPr>
            <w:tcW w:w="4675" w:type="dxa"/>
            <w:vAlign w:val="bottom"/>
          </w:tcPr>
          <w:p w14:paraId="31474981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Cardiac Arrhythmias</w:t>
            </w:r>
          </w:p>
        </w:tc>
        <w:tc>
          <w:tcPr>
            <w:tcW w:w="4675" w:type="dxa"/>
            <w:vAlign w:val="bottom"/>
          </w:tcPr>
          <w:p w14:paraId="16DBB474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 (14.1%)</w:t>
            </w:r>
          </w:p>
        </w:tc>
      </w:tr>
      <w:tr w:rsidR="00F00FCA" w:rsidRPr="00306899" w14:paraId="21C7DA58" w14:textId="77777777" w:rsidTr="00A85F99">
        <w:tc>
          <w:tcPr>
            <w:tcW w:w="4675" w:type="dxa"/>
            <w:vAlign w:val="bottom"/>
          </w:tcPr>
          <w:p w14:paraId="620CAC1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Rheumatoid Arthritis/Collagen Vascular Diseases</w:t>
            </w:r>
          </w:p>
        </w:tc>
        <w:tc>
          <w:tcPr>
            <w:tcW w:w="4675" w:type="dxa"/>
            <w:vAlign w:val="bottom"/>
          </w:tcPr>
          <w:p w14:paraId="1B338025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 (13.6%)</w:t>
            </w:r>
          </w:p>
        </w:tc>
      </w:tr>
      <w:tr w:rsidR="00F00FCA" w:rsidRPr="00306899" w14:paraId="23073868" w14:textId="77777777" w:rsidTr="00A85F99">
        <w:tc>
          <w:tcPr>
            <w:tcW w:w="4675" w:type="dxa"/>
            <w:vAlign w:val="bottom"/>
          </w:tcPr>
          <w:p w14:paraId="0B101FB7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Uncomplicated Diabetes </w:t>
            </w:r>
          </w:p>
        </w:tc>
        <w:tc>
          <w:tcPr>
            <w:tcW w:w="4675" w:type="dxa"/>
            <w:vAlign w:val="bottom"/>
          </w:tcPr>
          <w:p w14:paraId="049D565F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 (13.3%)</w:t>
            </w:r>
          </w:p>
        </w:tc>
      </w:tr>
      <w:tr w:rsidR="00F00FCA" w:rsidRPr="00306899" w14:paraId="2F3555BA" w14:textId="77777777" w:rsidTr="00A85F99">
        <w:tc>
          <w:tcPr>
            <w:tcW w:w="4675" w:type="dxa"/>
            <w:vAlign w:val="bottom"/>
          </w:tcPr>
          <w:p w14:paraId="670BA29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Fluid and Electrolyte Disorders</w:t>
            </w:r>
          </w:p>
        </w:tc>
        <w:tc>
          <w:tcPr>
            <w:tcW w:w="4675" w:type="dxa"/>
            <w:vAlign w:val="bottom"/>
          </w:tcPr>
          <w:p w14:paraId="4469F052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 (11.0%)</w:t>
            </w:r>
          </w:p>
        </w:tc>
      </w:tr>
      <w:tr w:rsidR="00F00FCA" w:rsidRPr="00306899" w14:paraId="41996B6C" w14:textId="77777777" w:rsidTr="00A85F99">
        <w:tc>
          <w:tcPr>
            <w:tcW w:w="4675" w:type="dxa"/>
            <w:vAlign w:val="bottom"/>
          </w:tcPr>
          <w:p w14:paraId="2C26958A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Complicated Diabetes</w:t>
            </w:r>
          </w:p>
        </w:tc>
        <w:tc>
          <w:tcPr>
            <w:tcW w:w="4675" w:type="dxa"/>
            <w:vAlign w:val="bottom"/>
          </w:tcPr>
          <w:p w14:paraId="5F43A83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 (9.2%)</w:t>
            </w:r>
          </w:p>
        </w:tc>
      </w:tr>
      <w:tr w:rsidR="00F00FCA" w:rsidRPr="00306899" w14:paraId="50E5074B" w14:textId="77777777" w:rsidTr="00A85F99">
        <w:tc>
          <w:tcPr>
            <w:tcW w:w="4675" w:type="dxa"/>
            <w:vAlign w:val="bottom"/>
          </w:tcPr>
          <w:p w14:paraId="35BAEA7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Neurological Disorders</w:t>
            </w:r>
          </w:p>
        </w:tc>
        <w:tc>
          <w:tcPr>
            <w:tcW w:w="4675" w:type="dxa"/>
            <w:vAlign w:val="bottom"/>
          </w:tcPr>
          <w:p w14:paraId="5EC1EE6F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 (8.9%)</w:t>
            </w:r>
          </w:p>
        </w:tc>
      </w:tr>
      <w:tr w:rsidR="00F00FCA" w:rsidRPr="00306899" w14:paraId="7A851FAC" w14:textId="77777777" w:rsidTr="00A85F99">
        <w:tc>
          <w:tcPr>
            <w:tcW w:w="4675" w:type="dxa"/>
            <w:vAlign w:val="bottom"/>
          </w:tcPr>
          <w:p w14:paraId="7D55A275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Deficiency Anemia</w:t>
            </w:r>
          </w:p>
        </w:tc>
        <w:tc>
          <w:tcPr>
            <w:tcW w:w="4675" w:type="dxa"/>
            <w:vAlign w:val="bottom"/>
          </w:tcPr>
          <w:p w14:paraId="59465704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(8.6%)</w:t>
            </w:r>
          </w:p>
        </w:tc>
      </w:tr>
      <w:tr w:rsidR="00F00FCA" w:rsidRPr="00306899" w14:paraId="76F089D8" w14:textId="77777777" w:rsidTr="00A85F99">
        <w:tc>
          <w:tcPr>
            <w:tcW w:w="4675" w:type="dxa"/>
            <w:vAlign w:val="bottom"/>
          </w:tcPr>
          <w:p w14:paraId="601D06EA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4675" w:type="dxa"/>
            <w:vAlign w:val="bottom"/>
          </w:tcPr>
          <w:p w14:paraId="549F1B8B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 (8.4%)</w:t>
            </w:r>
          </w:p>
        </w:tc>
      </w:tr>
      <w:tr w:rsidR="00F00FCA" w:rsidRPr="00306899" w14:paraId="07781004" w14:textId="77777777" w:rsidTr="00A85F99">
        <w:tc>
          <w:tcPr>
            <w:tcW w:w="4675" w:type="dxa"/>
            <w:vAlign w:val="bottom"/>
          </w:tcPr>
          <w:p w14:paraId="04E52852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Peripheral Vascular Disease</w:t>
            </w:r>
          </w:p>
        </w:tc>
        <w:tc>
          <w:tcPr>
            <w:tcW w:w="4675" w:type="dxa"/>
            <w:vAlign w:val="bottom"/>
          </w:tcPr>
          <w:p w14:paraId="66488736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 (6.8%)</w:t>
            </w:r>
          </w:p>
        </w:tc>
      </w:tr>
      <w:tr w:rsidR="00F00FCA" w:rsidRPr="00306899" w14:paraId="25FD56CF" w14:textId="77777777" w:rsidTr="00A85F99">
        <w:tc>
          <w:tcPr>
            <w:tcW w:w="4675" w:type="dxa"/>
            <w:vAlign w:val="bottom"/>
          </w:tcPr>
          <w:p w14:paraId="240B246C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Renal Failure</w:t>
            </w:r>
          </w:p>
        </w:tc>
        <w:tc>
          <w:tcPr>
            <w:tcW w:w="4675" w:type="dxa"/>
            <w:vAlign w:val="bottom"/>
          </w:tcPr>
          <w:p w14:paraId="5A811B33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 (6.1%)</w:t>
            </w:r>
          </w:p>
        </w:tc>
      </w:tr>
      <w:tr w:rsidR="00F00FCA" w:rsidRPr="00306899" w14:paraId="449AA7FD" w14:textId="77777777" w:rsidTr="00A85F99">
        <w:tc>
          <w:tcPr>
            <w:tcW w:w="4675" w:type="dxa"/>
            <w:vAlign w:val="bottom"/>
          </w:tcPr>
          <w:p w14:paraId="02F81087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Liver Disease</w:t>
            </w:r>
          </w:p>
        </w:tc>
        <w:tc>
          <w:tcPr>
            <w:tcW w:w="4675" w:type="dxa"/>
            <w:vAlign w:val="bottom"/>
          </w:tcPr>
          <w:p w14:paraId="019ECFE8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(6.0%)</w:t>
            </w:r>
          </w:p>
        </w:tc>
      </w:tr>
      <w:tr w:rsidR="00F00FCA" w:rsidRPr="00306899" w14:paraId="144CC984" w14:textId="77777777" w:rsidTr="00A85F99">
        <w:tc>
          <w:tcPr>
            <w:tcW w:w="4675" w:type="dxa"/>
            <w:vAlign w:val="bottom"/>
          </w:tcPr>
          <w:p w14:paraId="7C2B61ED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Valvular Disease</w:t>
            </w:r>
          </w:p>
        </w:tc>
        <w:tc>
          <w:tcPr>
            <w:tcW w:w="4675" w:type="dxa"/>
            <w:vAlign w:val="bottom"/>
          </w:tcPr>
          <w:p w14:paraId="2758CA12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(5.9%)</w:t>
            </w:r>
          </w:p>
        </w:tc>
      </w:tr>
      <w:tr w:rsidR="00F00FCA" w:rsidRPr="00306899" w14:paraId="053287BD" w14:textId="77777777" w:rsidTr="00A85F99">
        <w:tc>
          <w:tcPr>
            <w:tcW w:w="4675" w:type="dxa"/>
            <w:vAlign w:val="bottom"/>
          </w:tcPr>
          <w:p w14:paraId="60DB9089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Complicated Hypertension</w:t>
            </w:r>
          </w:p>
        </w:tc>
        <w:tc>
          <w:tcPr>
            <w:tcW w:w="4675" w:type="dxa"/>
            <w:vAlign w:val="bottom"/>
          </w:tcPr>
          <w:p w14:paraId="6244D1D3" w14:textId="77777777" w:rsidR="00F00FCA" w:rsidRPr="00306899" w:rsidRDefault="00F00FCA" w:rsidP="00A85F99">
            <w:pPr>
              <w:pStyle w:val="Heading3"/>
              <w:keepNext w:val="0"/>
              <w:keepLines w:val="0"/>
              <w:widowControl w:val="0"/>
              <w:spacing w:line="480" w:lineRule="auto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 5.7%)</w:t>
            </w:r>
          </w:p>
        </w:tc>
      </w:tr>
    </w:tbl>
    <w:p w14:paraId="7E8E0957" w14:textId="77777777" w:rsidR="00F00FCA" w:rsidRPr="00306899" w:rsidRDefault="00F00FCA" w:rsidP="00F00FCA">
      <w:pPr>
        <w:widowControl w:val="0"/>
        <w:spacing w:line="480" w:lineRule="auto"/>
        <w:rPr>
          <w:rFonts w:ascii="Times New Roman" w:hAnsi="Times New Roman" w:cs="Times New Roman"/>
          <w:lang w:eastAsia="en-GB"/>
        </w:rPr>
      </w:pPr>
      <w:r w:rsidRPr="00306899">
        <w:rPr>
          <w:rFonts w:ascii="Times New Roman" w:hAnsi="Times New Roman" w:cs="Times New Roman"/>
          <w:color w:val="000000" w:themeColor="text1"/>
          <w:lang w:eastAsia="en-GB"/>
        </w:rPr>
        <w:t xml:space="preserve">The Elixhauser comorbidity index measures the baseline comorbidity based on inpatient and outpatient administrative claims data. </w:t>
      </w:r>
    </w:p>
    <w:p w14:paraId="2A094AD7" w14:textId="77777777" w:rsidR="005A2BBC" w:rsidRDefault="005A2BBC">
      <w:pPr>
        <w:rPr>
          <w:rFonts w:ascii="Times New Roman" w:eastAsia="Times New Roman" w:hAnsi="Times New Roman" w:cs="Times New Roman"/>
          <w:b/>
          <w:color w:val="000000" w:themeColor="text1"/>
          <w:lang w:val="en-US" w:eastAsia="en-GB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en-GB"/>
        </w:rPr>
        <w:br w:type="page"/>
      </w:r>
    </w:p>
    <w:p w14:paraId="4188D3E0" w14:textId="77777777" w:rsidR="00F00FCA" w:rsidRPr="00F00FCA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 xml:space="preserve">Supp Table 3.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Baseline preventive drugs used in the 12 mo</w:t>
      </w:r>
      <w:bookmarkStart w:id="7" w:name="_GoBack"/>
      <w:bookmarkEnd w:id="7"/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nth pre-index period </w:t>
      </w:r>
    </w:p>
    <w:tbl>
      <w:tblPr>
        <w:tblW w:w="99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103"/>
        <w:gridCol w:w="2410"/>
        <w:gridCol w:w="2410"/>
      </w:tblGrid>
      <w:tr w:rsidR="00F00FCA" w:rsidRPr="00306899" w14:paraId="51CFA816" w14:textId="77777777" w:rsidTr="00A85F99">
        <w:trPr>
          <w:trHeight w:val="654"/>
        </w:trPr>
        <w:tc>
          <w:tcPr>
            <w:tcW w:w="5103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93513F0" w14:textId="77777777" w:rsidR="00F00FCA" w:rsidRPr="00306899" w:rsidRDefault="00F00FCA" w:rsidP="00A85F99">
            <w:pPr>
              <w:widowControl w:val="0"/>
              <w:spacing w:after="264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44AB6AE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Erenumab cohort</w:t>
            </w:r>
          </w:p>
          <w:p w14:paraId="014EF88C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N = 3171</w:t>
            </w:r>
          </w:p>
        </w:tc>
        <w:tc>
          <w:tcPr>
            <w:tcW w:w="2410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DA1C35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OnabotA subgroup           N = 720</w:t>
            </w:r>
          </w:p>
        </w:tc>
      </w:tr>
      <w:tr w:rsidR="00F00FCA" w:rsidRPr="00306899" w14:paraId="56DD3563" w14:textId="77777777" w:rsidTr="00A85F99">
        <w:trPr>
          <w:trHeight w:val="313"/>
        </w:trPr>
        <w:tc>
          <w:tcPr>
            <w:tcW w:w="5103" w:type="dxa"/>
            <w:tcBorders>
              <w:top w:val="single" w:sz="12" w:space="0" w:color="0460A9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70443D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Number of preventive drug classes used, n (%)</w:t>
            </w:r>
          </w:p>
        </w:tc>
        <w:tc>
          <w:tcPr>
            <w:tcW w:w="2410" w:type="dxa"/>
            <w:tcBorders>
              <w:top w:val="single" w:sz="12" w:space="0" w:color="0460A9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F68F6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12" w:space="0" w:color="0460A9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E7776B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</w:p>
        </w:tc>
      </w:tr>
      <w:tr w:rsidR="00F00FCA" w:rsidRPr="00306899" w14:paraId="5569B2D4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55F7FE" w14:textId="77777777" w:rsidR="00F00FCA" w:rsidRPr="00306899" w:rsidRDefault="00F00FCA" w:rsidP="00A85F99">
            <w:pPr>
              <w:widowControl w:val="0"/>
              <w:spacing w:after="0" w:line="480" w:lineRule="auto"/>
              <w:ind w:firstLine="55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0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17D41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902 (28.5)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306A4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0</w:t>
            </w:r>
          </w:p>
        </w:tc>
      </w:tr>
      <w:tr w:rsidR="00F00FCA" w:rsidRPr="00306899" w14:paraId="6CF9DEBC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FE6015" w14:textId="77777777" w:rsidR="00F00FCA" w:rsidRPr="00306899" w:rsidRDefault="00F00FCA" w:rsidP="00A85F99">
            <w:pPr>
              <w:widowControl w:val="0"/>
              <w:spacing w:after="0" w:line="480" w:lineRule="auto"/>
              <w:ind w:firstLine="55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1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B8E32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1110 (35.0)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EEA9ED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201 (27.9)</w:t>
            </w:r>
          </w:p>
        </w:tc>
      </w:tr>
      <w:tr w:rsidR="00F00FCA" w:rsidRPr="00306899" w14:paraId="75098C6C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E2B2E1" w14:textId="77777777" w:rsidR="00F00FCA" w:rsidRPr="00306899" w:rsidRDefault="00F00FCA" w:rsidP="00A85F99">
            <w:pPr>
              <w:widowControl w:val="0"/>
              <w:spacing w:after="0" w:line="480" w:lineRule="auto"/>
              <w:ind w:firstLine="55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2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F540D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751 (23.7)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C4A56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255 (35.4)</w:t>
            </w:r>
          </w:p>
        </w:tc>
      </w:tr>
      <w:tr w:rsidR="00F00FCA" w:rsidRPr="00306899" w14:paraId="2F4B784B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5CF3B0" w14:textId="77777777" w:rsidR="00F00FCA" w:rsidRPr="00306899" w:rsidRDefault="00F00FCA" w:rsidP="00A85F99">
            <w:pPr>
              <w:widowControl w:val="0"/>
              <w:spacing w:after="0" w:line="480" w:lineRule="auto"/>
              <w:ind w:firstLine="55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3+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FD628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408 (12.9)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B8D83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264 (36.7)</w:t>
            </w:r>
          </w:p>
        </w:tc>
      </w:tr>
      <w:tr w:rsidR="00F00FCA" w:rsidRPr="00306899" w14:paraId="66A6A116" w14:textId="77777777" w:rsidTr="00A85F99">
        <w:trPr>
          <w:trHeight w:val="313"/>
        </w:trPr>
        <w:tc>
          <w:tcPr>
            <w:tcW w:w="9923" w:type="dxa"/>
            <w:gridSpan w:val="3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52A591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Preventive medications used in 12 months pre-index period, n (%)</w:t>
            </w:r>
          </w:p>
        </w:tc>
      </w:tr>
      <w:tr w:rsidR="00F00FCA" w:rsidRPr="00306899" w14:paraId="4B015375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EBB1C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 xml:space="preserve">Anticonvulsant 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DCED2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1338 (42.2)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82ABB0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348 (48.3)</w:t>
            </w:r>
          </w:p>
        </w:tc>
      </w:tr>
      <w:tr w:rsidR="00F00FCA" w:rsidRPr="00306899" w14:paraId="34EA1EF7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B8526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Antidepressant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5FCDE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920 (29.0)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6A311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248 (34.4)</w:t>
            </w:r>
          </w:p>
        </w:tc>
      </w:tr>
      <w:tr w:rsidR="00F00FCA" w:rsidRPr="00306899" w14:paraId="7136C5EE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2BAE1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OnabotA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B818B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720 (22.7)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98E930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720 (100)</w:t>
            </w:r>
          </w:p>
        </w:tc>
      </w:tr>
      <w:tr w:rsidR="00F00FCA" w:rsidRPr="00306899" w14:paraId="4D205558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42017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Beta blocker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5FEA1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597 (18.8)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A48F7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164 (22.8)</w:t>
            </w:r>
          </w:p>
        </w:tc>
      </w:tr>
      <w:tr w:rsidR="00F00FCA" w:rsidRPr="00306899" w14:paraId="3113436A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6E2A3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Calcium channel blocker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E186F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274 (8.6)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03A66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73 (10.1)</w:t>
            </w:r>
          </w:p>
        </w:tc>
      </w:tr>
      <w:tr w:rsidR="00F00FCA" w:rsidRPr="00306899" w14:paraId="5360F3C0" w14:textId="77777777" w:rsidTr="00A85F99">
        <w:trPr>
          <w:trHeight w:val="313"/>
        </w:trPr>
        <w:tc>
          <w:tcPr>
            <w:tcW w:w="5103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E015D" w14:textId="77777777" w:rsidR="00F00FCA" w:rsidRPr="00306899" w:rsidRDefault="00F00FCA" w:rsidP="00A85F99">
            <w:pPr>
              <w:widowControl w:val="0"/>
              <w:spacing w:after="0" w:line="480" w:lineRule="auto"/>
              <w:ind w:firstLine="549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ACE inhibitor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572E0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61 (1.9)</w:t>
            </w:r>
          </w:p>
        </w:tc>
        <w:tc>
          <w:tcPr>
            <w:tcW w:w="2410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8E2CFE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19 (2.6)</w:t>
            </w:r>
          </w:p>
        </w:tc>
      </w:tr>
    </w:tbl>
    <w:p w14:paraId="4973E0BF" w14:textId="77777777" w:rsidR="00F00FCA" w:rsidRPr="00306899" w:rsidRDefault="00F00FCA" w:rsidP="00F00FCA">
      <w:pPr>
        <w:widowControl w:val="0"/>
        <w:spacing w:line="480" w:lineRule="auto"/>
        <w:rPr>
          <w:rFonts w:ascii="Times New Roman" w:hAnsi="Times New Roman" w:cs="Times New Roman"/>
          <w:color w:val="000000" w:themeColor="text1"/>
          <w:lang w:eastAsia="en-GB"/>
        </w:rPr>
      </w:pPr>
      <w:r w:rsidRPr="00306899">
        <w:rPr>
          <w:rFonts w:ascii="Times New Roman" w:hAnsi="Times New Roman" w:cs="Times New Roman"/>
          <w:color w:val="000000" w:themeColor="text1"/>
          <w:lang w:eastAsia="en-GB"/>
        </w:rPr>
        <w:t xml:space="preserve">ACE, </w:t>
      </w:r>
      <w:r w:rsidRPr="00306899">
        <w:rPr>
          <w:rFonts w:ascii="Times New Roman" w:eastAsia="Times New Roman" w:hAnsi="Times New Roman" w:cs="Times New Roman"/>
          <w:bCs/>
          <w:color w:val="000000" w:themeColor="text1"/>
          <w:lang w:eastAsia="en-GB"/>
        </w:rPr>
        <w:t xml:space="preserve">Angiotensin-converting enzyme; </w:t>
      </w:r>
      <w:r w:rsidRPr="00306899">
        <w:rPr>
          <w:rFonts w:ascii="Times New Roman" w:hAnsi="Times New Roman" w:cs="Times New Roman"/>
          <w:color w:val="000000" w:themeColor="text1"/>
          <w:lang w:eastAsia="en-GB"/>
        </w:rPr>
        <w:t>onabotA, onabotulinumtoxinA.</w:t>
      </w:r>
    </w:p>
    <w:p w14:paraId="7D81CA9C" w14:textId="77777777" w:rsidR="00F00FCA" w:rsidRPr="00306899" w:rsidRDefault="00F00FCA" w:rsidP="00F00FCA">
      <w:pPr>
        <w:widowControl w:val="0"/>
        <w:spacing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</w:p>
    <w:p w14:paraId="7746D0F5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lang w:eastAsia="en-GB"/>
        </w:rPr>
      </w:pPr>
      <w:bookmarkStart w:id="8" w:name="_Supp_Table_3._1"/>
      <w:bookmarkEnd w:id="8"/>
    </w:p>
    <w:p w14:paraId="72CB44CE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lang w:eastAsia="en-GB"/>
        </w:rPr>
      </w:pPr>
    </w:p>
    <w:p w14:paraId="7B1B9223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lang w:eastAsia="en-GB"/>
        </w:rPr>
      </w:pPr>
    </w:p>
    <w:p w14:paraId="6BC239EE" w14:textId="77777777" w:rsidR="00F00FCA" w:rsidRPr="00306899" w:rsidRDefault="00F00FCA" w:rsidP="00F00FCA">
      <w:pPr>
        <w:widowControl w:val="0"/>
        <w:rPr>
          <w:rFonts w:ascii="Times New Roman" w:hAnsi="Times New Roman" w:cs="Times New Roman"/>
          <w:lang w:eastAsia="en-GB"/>
        </w:rPr>
      </w:pPr>
    </w:p>
    <w:p w14:paraId="15354AFC" w14:textId="77777777" w:rsidR="005A2BBC" w:rsidRDefault="005A2BBC">
      <w:pPr>
        <w:rPr>
          <w:rFonts w:ascii="Times New Roman" w:eastAsia="Times New Roman" w:hAnsi="Times New Roman" w:cs="Times New Roman"/>
          <w:b/>
          <w:color w:val="000000" w:themeColor="text1"/>
          <w:lang w:val="en-US" w:eastAsia="en-GB"/>
        </w:rPr>
      </w:pPr>
      <w:bookmarkStart w:id="9" w:name="_Supp_Table_4._2"/>
      <w:bookmarkEnd w:id="9"/>
      <w:r>
        <w:rPr>
          <w:rFonts w:ascii="Times New Roman" w:eastAsia="Times New Roman" w:hAnsi="Times New Roman" w:cs="Times New Roman"/>
          <w:b/>
          <w:color w:val="000000" w:themeColor="text1"/>
          <w:lang w:eastAsia="en-GB"/>
        </w:rPr>
        <w:br w:type="page"/>
      </w:r>
    </w:p>
    <w:p w14:paraId="388A7233" w14:textId="77777777" w:rsidR="00F00FCA" w:rsidRPr="00F00FCA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en-GB"/>
        </w:rPr>
        <w:lastRenderedPageBreak/>
        <w:t xml:space="preserve">Supp Table 4. </w:t>
      </w:r>
      <w:r w:rsidRPr="00F00FCA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Number of acute medications by generic and drug class in the 183 days before and after erenumab initiation </w:t>
      </w:r>
    </w:p>
    <w:tbl>
      <w:tblPr>
        <w:tblW w:w="1031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1"/>
        <w:gridCol w:w="1846"/>
        <w:gridCol w:w="1336"/>
        <w:gridCol w:w="1619"/>
        <w:gridCol w:w="182"/>
        <w:gridCol w:w="762"/>
        <w:gridCol w:w="1432"/>
        <w:gridCol w:w="1434"/>
      </w:tblGrid>
      <w:tr w:rsidR="00F00FCA" w:rsidRPr="00306899" w14:paraId="2D04E4BC" w14:textId="77777777" w:rsidTr="00A85F99">
        <w:trPr>
          <w:trHeight w:val="654"/>
        </w:trPr>
        <w:tc>
          <w:tcPr>
            <w:tcW w:w="1701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24BE16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OnabotA subgroup</w:t>
            </w:r>
          </w:p>
        </w:tc>
        <w:tc>
          <w:tcPr>
            <w:tcW w:w="3182" w:type="dxa"/>
            <w:gridSpan w:val="2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412DBD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Baseline</w:t>
            </w:r>
          </w:p>
        </w:tc>
        <w:tc>
          <w:tcPr>
            <w:tcW w:w="2563" w:type="dxa"/>
            <w:gridSpan w:val="3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</w:tcPr>
          <w:p w14:paraId="0288ECD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Follow-up</w:t>
            </w:r>
          </w:p>
        </w:tc>
        <w:tc>
          <w:tcPr>
            <w:tcW w:w="1432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</w:tcPr>
          <w:p w14:paraId="59F3129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</w:p>
        </w:tc>
        <w:tc>
          <w:tcPr>
            <w:tcW w:w="1432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</w:tcPr>
          <w:p w14:paraId="5D1C9820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</w:p>
        </w:tc>
      </w:tr>
      <w:tr w:rsidR="00F00FCA" w:rsidRPr="00306899" w14:paraId="42EEEA19" w14:textId="77777777" w:rsidTr="00A85F99">
        <w:trPr>
          <w:trHeight w:val="654"/>
        </w:trPr>
        <w:tc>
          <w:tcPr>
            <w:tcW w:w="1701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FC7C35C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N = 720</w:t>
            </w:r>
          </w:p>
        </w:tc>
        <w:tc>
          <w:tcPr>
            <w:tcW w:w="1846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9E69B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Number</w:t>
            </w:r>
          </w:p>
        </w:tc>
        <w:tc>
          <w:tcPr>
            <w:tcW w:w="1336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149EA9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%</w:t>
            </w:r>
          </w:p>
        </w:tc>
        <w:tc>
          <w:tcPr>
            <w:tcW w:w="1619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vAlign w:val="center"/>
          </w:tcPr>
          <w:p w14:paraId="6BB998A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Number</w:t>
            </w:r>
          </w:p>
        </w:tc>
        <w:tc>
          <w:tcPr>
            <w:tcW w:w="944" w:type="dxa"/>
            <w:gridSpan w:val="2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  <w:vAlign w:val="center"/>
          </w:tcPr>
          <w:p w14:paraId="4A21BA19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%</w:t>
            </w:r>
          </w:p>
        </w:tc>
        <w:tc>
          <w:tcPr>
            <w:tcW w:w="1432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</w:tcPr>
          <w:p w14:paraId="0AED27ED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OR</w:t>
            </w: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perscript"/>
                <w:lang w:val="en-GB" w:eastAsia="en-GB"/>
              </w:rPr>
              <w:t>a</w:t>
            </w:r>
          </w:p>
          <w:p w14:paraId="4721769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(95% CI)</w:t>
            </w:r>
          </w:p>
        </w:tc>
        <w:tc>
          <w:tcPr>
            <w:tcW w:w="1432" w:type="dxa"/>
            <w:tcBorders>
              <w:top w:val="single" w:sz="12" w:space="0" w:color="0460A9"/>
              <w:left w:val="nil"/>
              <w:bottom w:val="single" w:sz="12" w:space="0" w:color="0460A9"/>
              <w:right w:val="nil"/>
            </w:tcBorders>
          </w:tcPr>
          <w:p w14:paraId="69CEF08B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P value</w:t>
            </w:r>
          </w:p>
        </w:tc>
      </w:tr>
      <w:tr w:rsidR="00F00FCA" w:rsidRPr="00306899" w14:paraId="1139F31E" w14:textId="77777777" w:rsidTr="00A85F99">
        <w:trPr>
          <w:trHeight w:val="340"/>
        </w:trPr>
        <w:tc>
          <w:tcPr>
            <w:tcW w:w="10312" w:type="dxa"/>
            <w:gridSpan w:val="8"/>
            <w:tcBorders>
              <w:top w:val="single" w:sz="12" w:space="0" w:color="0460A9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97A69C" w14:textId="77777777" w:rsidR="00F00FCA" w:rsidRPr="00306899" w:rsidRDefault="00F00FCA" w:rsidP="00A85F99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Number of generic drugs used</w:t>
            </w:r>
          </w:p>
          <w:p w14:paraId="6EDF8D3B" w14:textId="77777777" w:rsidR="00F00FCA" w:rsidRPr="00306899" w:rsidRDefault="00F00FCA" w:rsidP="00A85F99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</w:p>
        </w:tc>
      </w:tr>
      <w:tr w:rsidR="00F00FCA" w:rsidRPr="00306899" w14:paraId="75B14E9F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3081EA" w14:textId="77777777" w:rsidR="00F00FCA" w:rsidRPr="00306899" w:rsidRDefault="00F00FCA" w:rsidP="00A85F99">
            <w:pPr>
              <w:widowControl w:val="0"/>
              <w:spacing w:after="0" w:line="480" w:lineRule="auto"/>
              <w:ind w:firstLine="417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0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AF4DACE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170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E7AE0C9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23.6%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0B0E519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228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3F5CEE2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31.7%</w:t>
            </w:r>
          </w:p>
        </w:tc>
        <w:tc>
          <w:tcPr>
            <w:tcW w:w="1432" w:type="dxa"/>
            <w:vMerge w:val="restart"/>
            <w:tcBorders>
              <w:top w:val="single" w:sz="4" w:space="0" w:color="646464"/>
              <w:left w:val="nil"/>
              <w:right w:val="nil"/>
            </w:tcBorders>
            <w:vAlign w:val="center"/>
          </w:tcPr>
          <w:p w14:paraId="6B289E36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0.51</w:t>
            </w:r>
          </w:p>
          <w:p w14:paraId="104A743B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(0.41-0.63)</w:t>
            </w:r>
          </w:p>
        </w:tc>
        <w:tc>
          <w:tcPr>
            <w:tcW w:w="1432" w:type="dxa"/>
            <w:vMerge w:val="restart"/>
            <w:tcBorders>
              <w:top w:val="single" w:sz="4" w:space="0" w:color="646464"/>
              <w:left w:val="nil"/>
              <w:right w:val="nil"/>
            </w:tcBorders>
            <w:vAlign w:val="center"/>
          </w:tcPr>
          <w:p w14:paraId="1359C39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&lt;0.0001</w:t>
            </w:r>
          </w:p>
        </w:tc>
      </w:tr>
      <w:tr w:rsidR="00F00FCA" w:rsidRPr="00306899" w14:paraId="189347D1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2210A4" w14:textId="77777777" w:rsidR="00F00FCA" w:rsidRPr="00306899" w:rsidRDefault="00F00FCA" w:rsidP="00A85F99">
            <w:pPr>
              <w:widowControl w:val="0"/>
              <w:spacing w:after="0" w:line="480" w:lineRule="auto"/>
              <w:ind w:firstLine="417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1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BE52630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260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F6EBA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36.1%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2BBA8AC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268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2E6AE7D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37.2%</w:t>
            </w: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564CB3A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57956011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F00FCA" w:rsidRPr="00306899" w14:paraId="41D6B817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36D605" w14:textId="77777777" w:rsidR="00F00FCA" w:rsidRPr="00306899" w:rsidRDefault="00F00FCA" w:rsidP="00A85F99">
            <w:pPr>
              <w:widowControl w:val="0"/>
              <w:spacing w:after="0" w:line="480" w:lineRule="auto"/>
              <w:ind w:firstLine="417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2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BD676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152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4343E8C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21.1%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335044D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125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296CFC7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17.4%</w:t>
            </w: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551E2258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00185DE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F00FCA" w:rsidRPr="00306899" w14:paraId="615B7B74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61100A" w14:textId="77777777" w:rsidR="00F00FCA" w:rsidRPr="00306899" w:rsidRDefault="00F00FCA" w:rsidP="00A85F99">
            <w:pPr>
              <w:widowControl w:val="0"/>
              <w:spacing w:after="0" w:line="480" w:lineRule="auto"/>
              <w:ind w:firstLine="417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3+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7B1344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138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42EC60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19.2%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516F022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2AB1B02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13.8%</w:t>
            </w:r>
          </w:p>
        </w:tc>
        <w:tc>
          <w:tcPr>
            <w:tcW w:w="1432" w:type="dxa"/>
            <w:vMerge/>
            <w:tcBorders>
              <w:left w:val="nil"/>
              <w:bottom w:val="single" w:sz="4" w:space="0" w:color="646464"/>
              <w:right w:val="nil"/>
            </w:tcBorders>
          </w:tcPr>
          <w:p w14:paraId="7DBFFE9D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bottom w:val="single" w:sz="4" w:space="0" w:color="646464"/>
              <w:right w:val="nil"/>
            </w:tcBorders>
          </w:tcPr>
          <w:p w14:paraId="4997D88D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F00FCA" w:rsidRPr="00306899" w14:paraId="32530831" w14:textId="77777777" w:rsidTr="00A85F99">
        <w:trPr>
          <w:gridAfter w:val="3"/>
          <w:wAfter w:w="3628" w:type="dxa"/>
          <w:trHeight w:val="340"/>
        </w:trPr>
        <w:tc>
          <w:tcPr>
            <w:tcW w:w="6684" w:type="dxa"/>
            <w:gridSpan w:val="5"/>
            <w:tcBorders>
              <w:top w:val="single" w:sz="4" w:space="0" w:color="646464"/>
              <w:left w:val="nil"/>
              <w:bottom w:val="single" w:sz="4" w:space="0" w:color="646464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9BF001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Number of drug classes used</w:t>
            </w:r>
          </w:p>
        </w:tc>
      </w:tr>
      <w:tr w:rsidR="00F00FCA" w:rsidRPr="00306899" w14:paraId="146481F7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E11A0" w14:textId="77777777" w:rsidR="00F00FCA" w:rsidRPr="00306899" w:rsidRDefault="00F00FCA" w:rsidP="00A85F99">
            <w:pPr>
              <w:widowControl w:val="0"/>
              <w:spacing w:after="0" w:line="480" w:lineRule="auto"/>
              <w:ind w:firstLine="40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0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7A6E81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170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922805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23.6%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5BA2561B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228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7DCE351A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31.7%</w:t>
            </w:r>
          </w:p>
        </w:tc>
        <w:tc>
          <w:tcPr>
            <w:tcW w:w="1432" w:type="dxa"/>
            <w:vMerge w:val="restart"/>
            <w:tcBorders>
              <w:top w:val="single" w:sz="4" w:space="0" w:color="646464"/>
              <w:left w:val="nil"/>
              <w:right w:val="nil"/>
            </w:tcBorders>
            <w:vAlign w:val="center"/>
          </w:tcPr>
          <w:p w14:paraId="6AD82AD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0.56</w:t>
            </w:r>
          </w:p>
          <w:p w14:paraId="01F078D0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  <w:t>(0.46-0.70)</w:t>
            </w:r>
          </w:p>
        </w:tc>
        <w:tc>
          <w:tcPr>
            <w:tcW w:w="1432" w:type="dxa"/>
            <w:vMerge w:val="restart"/>
            <w:tcBorders>
              <w:top w:val="single" w:sz="4" w:space="0" w:color="646464"/>
              <w:left w:val="nil"/>
              <w:right w:val="nil"/>
            </w:tcBorders>
            <w:vAlign w:val="center"/>
          </w:tcPr>
          <w:p w14:paraId="01577D09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&lt;0.0001</w:t>
            </w:r>
          </w:p>
        </w:tc>
      </w:tr>
      <w:tr w:rsidR="00F00FCA" w:rsidRPr="00306899" w14:paraId="547A971C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A93F9" w14:textId="77777777" w:rsidR="00F00FCA" w:rsidRPr="00306899" w:rsidRDefault="00F00FCA" w:rsidP="00A85F99">
            <w:pPr>
              <w:widowControl w:val="0"/>
              <w:spacing w:after="0" w:line="480" w:lineRule="auto"/>
              <w:ind w:firstLine="40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1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6BADD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307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7F8592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42.6%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5D805341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305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1F06BFA7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42.4%</w:t>
            </w: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60F337BE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6DAE583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F00FCA" w:rsidRPr="00306899" w14:paraId="762AFC27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3ED4D" w14:textId="77777777" w:rsidR="00F00FCA" w:rsidRPr="00306899" w:rsidRDefault="00F00FCA" w:rsidP="00A85F99">
            <w:pPr>
              <w:widowControl w:val="0"/>
              <w:spacing w:after="0" w:line="480" w:lineRule="auto"/>
              <w:ind w:firstLine="40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2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7B3A4E5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166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C9E43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23.1%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79442781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123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46AC7BCB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17.1%</w:t>
            </w: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6216055E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right w:val="nil"/>
            </w:tcBorders>
          </w:tcPr>
          <w:p w14:paraId="01D8D333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F00FCA" w:rsidRPr="00306899" w14:paraId="47105F83" w14:textId="77777777" w:rsidTr="00A85F99">
        <w:trPr>
          <w:trHeight w:val="340"/>
        </w:trPr>
        <w:tc>
          <w:tcPr>
            <w:tcW w:w="1701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85FF3" w14:textId="77777777" w:rsidR="00F00FCA" w:rsidRPr="00306899" w:rsidRDefault="00F00FCA" w:rsidP="00A85F99">
            <w:pPr>
              <w:widowControl w:val="0"/>
              <w:spacing w:after="0" w:line="480" w:lineRule="auto"/>
              <w:ind w:firstLine="408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  <w:t>3+</w:t>
            </w:r>
          </w:p>
        </w:tc>
        <w:tc>
          <w:tcPr>
            <w:tcW w:w="184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425E0E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1336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C316F1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GB"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10.7%</w:t>
            </w:r>
          </w:p>
        </w:tc>
        <w:tc>
          <w:tcPr>
            <w:tcW w:w="1619" w:type="dxa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0F7F53D2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944" w:type="dxa"/>
            <w:gridSpan w:val="2"/>
            <w:tcBorders>
              <w:top w:val="single" w:sz="4" w:space="0" w:color="646464"/>
              <w:left w:val="nil"/>
              <w:bottom w:val="single" w:sz="4" w:space="0" w:color="646464"/>
              <w:right w:val="nil"/>
            </w:tcBorders>
          </w:tcPr>
          <w:p w14:paraId="22BF5504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  <w:r w:rsidRPr="00306899">
              <w:rPr>
                <w:rFonts w:ascii="Times New Roman" w:hAnsi="Times New Roman" w:cs="Times New Roman"/>
                <w:color w:val="000000" w:themeColor="text1"/>
              </w:rPr>
              <w:t>8.9%</w:t>
            </w:r>
          </w:p>
        </w:tc>
        <w:tc>
          <w:tcPr>
            <w:tcW w:w="1432" w:type="dxa"/>
            <w:vMerge/>
            <w:tcBorders>
              <w:left w:val="nil"/>
              <w:bottom w:val="single" w:sz="4" w:space="0" w:color="646464"/>
              <w:right w:val="nil"/>
            </w:tcBorders>
          </w:tcPr>
          <w:p w14:paraId="212D36FF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  <w:tc>
          <w:tcPr>
            <w:tcW w:w="1432" w:type="dxa"/>
            <w:vMerge/>
            <w:tcBorders>
              <w:left w:val="nil"/>
              <w:bottom w:val="single" w:sz="4" w:space="0" w:color="646464"/>
              <w:right w:val="nil"/>
            </w:tcBorders>
          </w:tcPr>
          <w:p w14:paraId="5EA3A57C" w14:textId="77777777" w:rsidR="00F00FCA" w:rsidRPr="00306899" w:rsidRDefault="00F00FCA" w:rsidP="00A85F99">
            <w:pPr>
              <w:widowControl w:val="0"/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GB"/>
              </w:rPr>
            </w:pPr>
          </w:p>
        </w:tc>
      </w:tr>
    </w:tbl>
    <w:p w14:paraId="5A2CF9C8" w14:textId="77777777" w:rsidR="00F00FCA" w:rsidRPr="00306899" w:rsidRDefault="00F00FCA" w:rsidP="00F00FC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lang w:eastAsia="en-GB"/>
        </w:rPr>
      </w:pPr>
      <w:r w:rsidRPr="00306899">
        <w:rPr>
          <w:rFonts w:ascii="Times New Roman" w:hAnsi="Times New Roman" w:cs="Times New Roman"/>
          <w:color w:val="000000" w:themeColor="text1"/>
          <w:lang w:eastAsia="en-GB"/>
        </w:rPr>
        <w:t>OR, odds ratio; SD, standard deviation.</w:t>
      </w:r>
    </w:p>
    <w:p w14:paraId="0A775BA8" w14:textId="77777777" w:rsidR="00F00FCA" w:rsidRPr="00306899" w:rsidRDefault="00F00FCA" w:rsidP="00F00FCA">
      <w:pPr>
        <w:pStyle w:val="Heading3"/>
        <w:keepNext w:val="0"/>
        <w:keepLines w:val="0"/>
        <w:widowControl w:val="0"/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306899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eastAsia="en-GB"/>
        </w:rPr>
        <w:t>a</w:t>
      </w:r>
      <w:r w:rsidRPr="00306899">
        <w:rPr>
          <w:rFonts w:ascii="Times New Roman" w:hAnsi="Times New Roman" w:cs="Times New Roman"/>
          <w:color w:val="000000" w:themeColor="text1"/>
          <w:sz w:val="22"/>
          <w:szCs w:val="22"/>
          <w:lang w:eastAsia="en-GB"/>
        </w:rPr>
        <w:t>Proportional odds model with repeated measure was used.</w:t>
      </w:r>
    </w:p>
    <w:p w14:paraId="2003E206" w14:textId="77777777" w:rsidR="00D76956" w:rsidRDefault="00D76956"/>
    <w:sectPr w:rsidR="00D769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70997" w14:textId="77777777" w:rsidR="00000000" w:rsidRDefault="005A2BBC">
      <w:pPr>
        <w:spacing w:after="0" w:line="240" w:lineRule="auto"/>
      </w:pPr>
      <w:r>
        <w:separator/>
      </w:r>
    </w:p>
  </w:endnote>
  <w:endnote w:type="continuationSeparator" w:id="0">
    <w:p w14:paraId="3279AD8D" w14:textId="77777777" w:rsidR="00000000" w:rsidRDefault="005A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93C84" w14:textId="77777777" w:rsidR="005A2BBC" w:rsidRDefault="005A2B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30B2F" w14:textId="77777777" w:rsidR="005A2BBC" w:rsidRDefault="005A2B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1AC98" w14:textId="77777777" w:rsidR="005A2BBC" w:rsidRDefault="005A2B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0F95B" w14:textId="77777777" w:rsidR="00000000" w:rsidRDefault="005A2BBC">
      <w:pPr>
        <w:spacing w:after="0" w:line="240" w:lineRule="auto"/>
      </w:pPr>
      <w:r>
        <w:separator/>
      </w:r>
    </w:p>
  </w:footnote>
  <w:footnote w:type="continuationSeparator" w:id="0">
    <w:p w14:paraId="7977E7D0" w14:textId="77777777" w:rsidR="00000000" w:rsidRDefault="005A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BD8F9" w14:textId="77777777" w:rsidR="005A2BBC" w:rsidRDefault="005A2B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57D2E" w14:textId="77777777" w:rsidR="004367FF" w:rsidRDefault="005A2BBC" w:rsidP="00E53C2F">
    <w:pPr>
      <w:pStyle w:val="Header"/>
      <w:jc w:val="center"/>
    </w:pPr>
  </w:p>
  <w:p w14:paraId="23404BBE" w14:textId="77777777" w:rsidR="004367FF" w:rsidRDefault="005A2B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BE593" w14:textId="77777777" w:rsidR="005A2BBC" w:rsidRDefault="005A2B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visionView w:comment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CA"/>
    <w:rsid w:val="0047260B"/>
    <w:rsid w:val="00557E23"/>
    <w:rsid w:val="005A2BBC"/>
    <w:rsid w:val="00877AD3"/>
    <w:rsid w:val="00D76956"/>
    <w:rsid w:val="00F0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6C80C"/>
  <w15:docId w15:val="{36A82731-2856-4A7D-AAEA-5886F67D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FC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0F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00FCA"/>
    <w:pPr>
      <w:spacing w:after="0" w:line="240" w:lineRule="auto"/>
    </w:pPr>
    <w:rPr>
      <w:rFonts w:ascii="Arial" w:eastAsia="SimSun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FCA"/>
    <w:pPr>
      <w:tabs>
        <w:tab w:val="center" w:pos="4513"/>
        <w:tab w:val="right" w:pos="9026"/>
      </w:tabs>
      <w:spacing w:after="0" w:line="240" w:lineRule="auto"/>
    </w:pPr>
    <w:rPr>
      <w:rFonts w:ascii="Arial" w:eastAsia="SimSun" w:hAnsi="Arial" w:cs="Arial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00FCA"/>
    <w:rPr>
      <w:rFonts w:ascii="Arial" w:eastAsia="SimSun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0FCA"/>
    <w:pPr>
      <w:tabs>
        <w:tab w:val="center" w:pos="4513"/>
        <w:tab w:val="right" w:pos="9026"/>
      </w:tabs>
      <w:spacing w:after="0" w:line="240" w:lineRule="auto"/>
    </w:pPr>
    <w:rPr>
      <w:rFonts w:ascii="Arial" w:eastAsia="SimSun" w:hAnsi="Arial" w:cs="Arial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00FCA"/>
    <w:rPr>
      <w:rFonts w:ascii="Arial" w:eastAsia="SimSun" w:hAnsi="Arial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4E42CBF6147E46BA89B6D24F899F65" ma:contentTypeVersion="13" ma:contentTypeDescription="Create a new document." ma:contentTypeScope="" ma:versionID="dda6d43a44935cca0ae64da2f2e28ebe">
  <xsd:schema xmlns:xsd="http://www.w3.org/2001/XMLSchema" xmlns:xs="http://www.w3.org/2001/XMLSchema" xmlns:p="http://schemas.microsoft.com/office/2006/metadata/properties" xmlns:ns3="ac6ca7fa-760a-4f9d-8176-a20dc6b20ad5" xmlns:ns4="ce688059-b1e9-46c9-a8f3-59cb65776573" targetNamespace="http://schemas.microsoft.com/office/2006/metadata/properties" ma:root="true" ma:fieldsID="93d92f0b08a06dc99cbfbefce2a03d3e" ns3:_="" ns4:_="">
    <xsd:import namespace="ac6ca7fa-760a-4f9d-8176-a20dc6b20ad5"/>
    <xsd:import namespace="ce688059-b1e9-46c9-a8f3-59cb657765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ca7fa-760a-4f9d-8176-a20dc6b20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88059-b1e9-46c9-a8f3-59cb65776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0F4B99-08FB-47A2-A9A0-3353B298B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ca7fa-760a-4f9d-8176-a20dc6b20ad5"/>
    <ds:schemaRef ds:uri="ce688059-b1e9-46c9-a8f3-59cb6577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054BE5-C8AF-4814-80B6-CD800DF66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98F16-1D74-4B89-B631-444B4407FB83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e688059-b1e9-46c9-a8f3-59cb65776573"/>
    <ds:schemaRef ds:uri="http://purl.org/dc/elements/1.1/"/>
    <ds:schemaRef ds:uri="http://schemas.microsoft.com/office/2006/metadata/properties"/>
    <ds:schemaRef ds:uri="ac6ca7fa-760a-4f9d-8176-a20dc6b20ad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Boyes, Bronwyn (Ext)</cp:lastModifiedBy>
  <cp:revision>2</cp:revision>
  <dcterms:created xsi:type="dcterms:W3CDTF">2021-05-10T08:12:00Z</dcterms:created>
  <dcterms:modified xsi:type="dcterms:W3CDTF">2021-05-10T08:12:00Z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2021-05-10T08:09:49Z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d4522bbf-fb5c-488e-8088-ad0af431eeb8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0x0101002F4E42CBF6147E46BA89B6D24F899F65</vt:lpwstr>
  </property>
</Properties>
</file>