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BF" w:rsidRPr="00024B6B" w:rsidRDefault="003D6091">
      <w:pPr>
        <w:rPr>
          <w:b/>
          <w:u w:val="single"/>
          <w:lang w:val="en-US"/>
        </w:rPr>
      </w:pPr>
      <w:r w:rsidRPr="00024B6B">
        <w:rPr>
          <w:b/>
          <w:u w:val="single"/>
          <w:lang w:val="en-US"/>
        </w:rPr>
        <w:t>Supplemental material</w:t>
      </w:r>
    </w:p>
    <w:p w:rsidR="00213096" w:rsidRPr="00024B6B" w:rsidRDefault="00213096">
      <w:pPr>
        <w:rPr>
          <w:b/>
          <w:lang w:val="en-US"/>
        </w:rPr>
      </w:pPr>
    </w:p>
    <w:p w:rsidR="00213096" w:rsidRPr="00024B6B" w:rsidRDefault="00213096" w:rsidP="00213096">
      <w:pPr>
        <w:pStyle w:val="Titel"/>
        <w:rPr>
          <w:rFonts w:ascii="Arial" w:hAnsi="Arial" w:cs="Arial"/>
          <w:b/>
          <w:sz w:val="24"/>
          <w:szCs w:val="24"/>
          <w:lang w:val="en-US"/>
        </w:rPr>
      </w:pPr>
      <w:r w:rsidRPr="00024B6B">
        <w:rPr>
          <w:rFonts w:ascii="Arial" w:hAnsi="Arial" w:cs="Arial"/>
          <w:b/>
          <w:sz w:val="24"/>
          <w:szCs w:val="24"/>
          <w:lang w:val="en-US"/>
        </w:rPr>
        <w:t xml:space="preserve">Meewis et al. (2021) Post-traumatic trigeminal neuropathy: </w:t>
      </w:r>
      <w:r w:rsidR="00AD5485">
        <w:rPr>
          <w:rFonts w:ascii="Arial" w:hAnsi="Arial" w:cs="Arial"/>
          <w:b/>
          <w:sz w:val="24"/>
          <w:szCs w:val="24"/>
          <w:lang w:val="en-US"/>
        </w:rPr>
        <w:t>c</w:t>
      </w:r>
      <w:r w:rsidRPr="00024B6B">
        <w:rPr>
          <w:rFonts w:ascii="Arial" w:hAnsi="Arial" w:cs="Arial"/>
          <w:b/>
          <w:sz w:val="24"/>
          <w:szCs w:val="24"/>
          <w:lang w:val="en-US"/>
        </w:rPr>
        <w:t>orrelation between objective and subjective assessments and a prediction model for neurosensory recovery</w:t>
      </w:r>
    </w:p>
    <w:p w:rsidR="00213096" w:rsidRPr="00024B6B" w:rsidRDefault="00213096">
      <w:pPr>
        <w:rPr>
          <w:u w:val="single"/>
          <w:lang w:val="en-US"/>
        </w:rPr>
      </w:pPr>
    </w:p>
    <w:p w:rsidR="003D6091" w:rsidRPr="00024B6B" w:rsidRDefault="003D6091">
      <w:pPr>
        <w:rPr>
          <w:u w:val="single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>Table S1. Medical Research Council Scale for sensory recovery</w:t>
      </w:r>
    </w:p>
    <w:p w:rsidR="003D6091" w:rsidRPr="00024B6B" w:rsidRDefault="003D6091">
      <w:pPr>
        <w:rPr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>Figure S1. Sunderland Clinical classification system (Miloro Modification)</w:t>
      </w:r>
    </w:p>
    <w:p w:rsidR="000752BF" w:rsidRPr="00024B6B" w:rsidRDefault="000752BF">
      <w:pPr>
        <w:rPr>
          <w:rFonts w:ascii="Arial" w:hAnsi="Arial" w:cs="Arial"/>
          <w:lang w:val="en-US"/>
        </w:rPr>
      </w:pPr>
    </w:p>
    <w:p w:rsidR="00FD1E72" w:rsidRPr="00024B6B" w:rsidRDefault="00FD1E72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>Table S</w:t>
      </w:r>
      <w:r w:rsidR="009E31A4">
        <w:rPr>
          <w:rFonts w:ascii="Arial" w:hAnsi="Arial" w:cs="Arial"/>
          <w:lang w:val="en-US"/>
        </w:rPr>
        <w:t>2</w:t>
      </w:r>
      <w:r w:rsidRPr="00024B6B">
        <w:rPr>
          <w:rFonts w:ascii="Arial" w:hAnsi="Arial" w:cs="Arial"/>
          <w:lang w:val="en-US"/>
        </w:rPr>
        <w:t xml:space="preserve">. Patient characteristics table </w:t>
      </w:r>
    </w:p>
    <w:p w:rsidR="00FD1E72" w:rsidRPr="00024B6B" w:rsidRDefault="00FD1E72">
      <w:pPr>
        <w:rPr>
          <w:rFonts w:ascii="Arial" w:hAnsi="Arial" w:cs="Arial"/>
          <w:lang w:val="en-US"/>
        </w:rPr>
      </w:pPr>
    </w:p>
    <w:p w:rsidR="00D15415" w:rsidRPr="00024B6B" w:rsidRDefault="00D15415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>Figure S2. Distribution of cases by Mechanism</w:t>
      </w: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743F6B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 xml:space="preserve">Figure S3. </w:t>
      </w:r>
      <w:r w:rsidR="00BE06DC" w:rsidRPr="00024B6B">
        <w:rPr>
          <w:rFonts w:ascii="Arial" w:hAnsi="Arial" w:cs="Arial"/>
          <w:lang w:val="en-US"/>
        </w:rPr>
        <w:t xml:space="preserve">Distribution of PTN cases by </w:t>
      </w:r>
      <w:r w:rsidRPr="00024B6B">
        <w:rPr>
          <w:rFonts w:ascii="Arial" w:hAnsi="Arial" w:cs="Arial"/>
          <w:lang w:val="en-US"/>
        </w:rPr>
        <w:t>MRCS-score at baseline vs at final follow-up moment</w:t>
      </w: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743F6B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 xml:space="preserve">Figure S4. </w:t>
      </w:r>
      <w:r w:rsidR="00BE06DC" w:rsidRPr="00024B6B">
        <w:rPr>
          <w:rFonts w:ascii="Arial" w:hAnsi="Arial" w:cs="Arial"/>
          <w:lang w:val="en-US"/>
        </w:rPr>
        <w:t xml:space="preserve">Distribution of PTN cases by </w:t>
      </w:r>
      <w:r w:rsidRPr="00024B6B">
        <w:rPr>
          <w:rFonts w:ascii="Arial" w:hAnsi="Arial" w:cs="Arial"/>
          <w:lang w:val="en-US"/>
        </w:rPr>
        <w:t>Sunderland Clinical classification score at baseline vs at final follow-up moment</w:t>
      </w: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743F6B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 xml:space="preserve">Figure S5. </w:t>
      </w:r>
      <w:r w:rsidR="00BE06DC" w:rsidRPr="00024B6B">
        <w:rPr>
          <w:rFonts w:ascii="Arial" w:hAnsi="Arial" w:cs="Arial"/>
          <w:lang w:val="en-US"/>
        </w:rPr>
        <w:t>Distribution of PTN cases by sensory phenotype at baseline vs at final follow-up</w:t>
      </w: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C1533F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>Figure S6: Evolution of subjective functioning in PTN</w:t>
      </w: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2A711B">
      <w:pPr>
        <w:rPr>
          <w:rFonts w:ascii="Arial" w:hAnsi="Arial" w:cs="Arial"/>
          <w:lang w:val="en-US"/>
        </w:rPr>
      </w:pPr>
      <w:r w:rsidRPr="00024B6B">
        <w:rPr>
          <w:rFonts w:ascii="Arial" w:hAnsi="Arial" w:cs="Arial"/>
          <w:lang w:val="en-US"/>
        </w:rPr>
        <w:t>Table S</w:t>
      </w:r>
      <w:r w:rsidR="009E31A4">
        <w:rPr>
          <w:rFonts w:ascii="Arial" w:hAnsi="Arial" w:cs="Arial"/>
          <w:lang w:val="en-US"/>
        </w:rPr>
        <w:t>3</w:t>
      </w:r>
      <w:r w:rsidRPr="00024B6B">
        <w:rPr>
          <w:rFonts w:ascii="Arial" w:hAnsi="Arial" w:cs="Arial"/>
          <w:lang w:val="en-US"/>
        </w:rPr>
        <w:t>. Criteria for near to complete neurosensory recovery in PTN</w:t>
      </w: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Default="003D6091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Default="009E31A4">
      <w:pPr>
        <w:rPr>
          <w:rFonts w:ascii="Arial" w:hAnsi="Arial" w:cs="Arial"/>
          <w:lang w:val="en-US"/>
        </w:rPr>
      </w:pPr>
    </w:p>
    <w:p w:rsidR="009E31A4" w:rsidRPr="00024B6B" w:rsidRDefault="009E31A4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lang w:val="en-US"/>
        </w:rPr>
      </w:pPr>
    </w:p>
    <w:p w:rsidR="003D6091" w:rsidRPr="00024B6B" w:rsidRDefault="003D6091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lastRenderedPageBreak/>
        <w:t>Table S1. Medical Research Council Scale for sensory recovery.</w:t>
      </w: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922"/>
      </w:tblGrid>
      <w:tr w:rsidR="009A6B06" w:rsidRPr="00024B6B" w:rsidTr="000752BF">
        <w:trPr>
          <w:trHeight w:hRule="exact" w:val="28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BBDBF"/>
          </w:tcPr>
          <w:p w:rsidR="009A6B06" w:rsidRPr="00024B6B" w:rsidRDefault="009A6B06" w:rsidP="000752BF">
            <w:pPr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024B6B">
              <w:rPr>
                <w:rFonts w:ascii="Arial" w:hAnsi="Arial" w:cs="Arial"/>
                <w:b/>
                <w:color w:val="FFFFFF" w:themeColor="background1"/>
                <w:lang w:val="en-US"/>
              </w:rPr>
              <w:t>Table S1</w:t>
            </w:r>
          </w:p>
        </w:tc>
        <w:tc>
          <w:tcPr>
            <w:tcW w:w="79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A6B06" w:rsidRPr="00024B6B" w:rsidRDefault="009A6B06" w:rsidP="000752B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tcBorders>
              <w:top w:val="nil"/>
              <w:bottom w:val="single" w:sz="4" w:space="0" w:color="auto"/>
            </w:tcBorders>
          </w:tcPr>
          <w:p w:rsidR="009A6B06" w:rsidRPr="00024B6B" w:rsidRDefault="009A6B06" w:rsidP="000752BF">
            <w:pPr>
              <w:jc w:val="both"/>
              <w:rPr>
                <w:rFonts w:ascii="Arial" w:hAnsi="Arial" w:cs="Arial"/>
                <w:b/>
                <w:noProof/>
                <w:vertAlign w:val="superscript"/>
                <w:lang w:val="en-US"/>
              </w:rPr>
            </w:pPr>
            <w:r w:rsidRPr="00024B6B">
              <w:rPr>
                <w:rFonts w:ascii="Arial" w:hAnsi="Arial" w:cs="Arial"/>
                <w:b/>
                <w:noProof/>
                <w:lang w:val="en-US"/>
              </w:rPr>
              <w:t>Medical Research Council Scale for sensory recovery*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tcBorders>
              <w:top w:val="single" w:sz="4" w:space="0" w:color="auto"/>
            </w:tcBorders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S0: Absence of sensibility in the autonomous area of the nerve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shd w:val="clear" w:color="auto" w:fill="E6E7E8"/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S1: Recovery of deep cutaneous pain and tactile sensibility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S1+: Recovery of superficial pain sensibility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shd w:val="clear" w:color="auto" w:fill="E6E7E8"/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S2: Recovery of some degree of superficial cutaneous pain and tactile sensibility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S2+: As in S2, but with overresponse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shd w:val="clear" w:color="auto" w:fill="E6E7E8"/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S3: Return of pain and tactile sensibility with disappearance of overresponse, s2PD&gt;15mm, m2PD&gt;7mm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tcBorders>
              <w:bottom w:val="nil"/>
            </w:tcBorders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S3+: Return of sensibility as in S3 with some recovery of 2-point discrimination, s2PD: 7-15mm, m2PD: 4-7mm</w:t>
            </w:r>
          </w:p>
        </w:tc>
      </w:tr>
      <w:tr w:rsidR="009A6B06" w:rsidRPr="009E31A4" w:rsidTr="000752BF">
        <w:trPr>
          <w:trHeight w:hRule="exact" w:val="284"/>
        </w:trPr>
        <w:tc>
          <w:tcPr>
            <w:tcW w:w="9056" w:type="dxa"/>
            <w:gridSpan w:val="2"/>
            <w:tcBorders>
              <w:top w:val="nil"/>
              <w:bottom w:val="single" w:sz="4" w:space="0" w:color="auto"/>
            </w:tcBorders>
            <w:shd w:val="clear" w:color="auto" w:fill="E6E7E8"/>
          </w:tcPr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  <w:r w:rsidRPr="00024B6B">
              <w:rPr>
                <w:rFonts w:ascii="Calibri" w:hAnsi="Calibri" w:cs="Calibri"/>
                <w:sz w:val="19"/>
                <w:szCs w:val="19"/>
                <w:lang w:val="en-US"/>
              </w:rPr>
              <w:t>S4: Complete recovery, s2PD: 2-6mm, m2PD: 2-3mm</w:t>
            </w:r>
          </w:p>
        </w:tc>
      </w:tr>
      <w:tr w:rsidR="009A6B06" w:rsidRPr="00024B6B" w:rsidTr="000752BF">
        <w:trPr>
          <w:trHeight w:hRule="exact" w:val="284"/>
        </w:trPr>
        <w:tc>
          <w:tcPr>
            <w:tcW w:w="905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A6B06" w:rsidRPr="00024B6B" w:rsidRDefault="009A6B06" w:rsidP="000752BF">
            <w:pPr>
              <w:jc w:val="both"/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</w:pPr>
            <w:r w:rsidRPr="00024B6B">
              <w:rPr>
                <w:rFonts w:ascii="Arial" w:hAnsi="Arial" w:cs="Arial"/>
                <w:sz w:val="15"/>
                <w:szCs w:val="15"/>
                <w:lang w:val="en-US"/>
              </w:rPr>
              <w:t xml:space="preserve">* </w:t>
            </w:r>
            <w:r w:rsidRPr="00024B6B">
              <w:rPr>
                <w:rFonts w:ascii="Arial" w:hAnsi="Arial" w:cs="Arial"/>
                <w:color w:val="000000" w:themeColor="text1"/>
                <w:sz w:val="15"/>
                <w:szCs w:val="15"/>
                <w:lang w:val="en-US"/>
              </w:rPr>
              <w:t>Birch R, Bonney G, Wynn-Parry CB. Surgical Disorders of the Peripheral Nerves. Philadelphia: Surg. 1992;30(6):387-389.</w:t>
            </w:r>
          </w:p>
          <w:p w:rsidR="009A6B06" w:rsidRPr="00024B6B" w:rsidRDefault="009A6B06" w:rsidP="000752BF">
            <w:pPr>
              <w:rPr>
                <w:rFonts w:ascii="Calibri" w:hAnsi="Calibri" w:cs="Calibri"/>
                <w:sz w:val="19"/>
                <w:szCs w:val="19"/>
                <w:lang w:val="en-US"/>
              </w:rPr>
            </w:pPr>
          </w:p>
        </w:tc>
      </w:tr>
    </w:tbl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lang w:val="en-US"/>
        </w:rPr>
      </w:pPr>
    </w:p>
    <w:p w:rsidR="009A6B06" w:rsidRPr="00024B6B" w:rsidRDefault="009A6B06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lastRenderedPageBreak/>
        <w:t>Figure S1. Sunderland Clinical classification system (Miloro Modification)</w:t>
      </w:r>
    </w:p>
    <w:p w:rsidR="009A6B06" w:rsidRPr="00024B6B" w:rsidRDefault="009A6B06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337712</wp:posOffset>
            </wp:positionH>
            <wp:positionV relativeFrom="paragraph">
              <wp:posOffset>176530</wp:posOffset>
            </wp:positionV>
            <wp:extent cx="4951095" cy="5068570"/>
            <wp:effectExtent l="0" t="0" r="1905" b="0"/>
            <wp:wrapTight wrapText="bothSides">
              <wp:wrapPolygon edited="0">
                <wp:start x="3158" y="108"/>
                <wp:lineTo x="3158" y="1948"/>
                <wp:lineTo x="0" y="2652"/>
                <wp:lineTo x="0" y="4654"/>
                <wp:lineTo x="3158" y="5412"/>
                <wp:lineTo x="3158" y="6928"/>
                <wp:lineTo x="3823" y="7144"/>
                <wp:lineTo x="5651" y="7144"/>
                <wp:lineTo x="2604" y="7685"/>
                <wp:lineTo x="1939" y="7848"/>
                <wp:lineTo x="1939" y="8876"/>
                <wp:lineTo x="0" y="9309"/>
                <wp:lineTo x="0" y="11311"/>
                <wp:lineTo x="15015" y="11474"/>
                <wp:lineTo x="3158" y="11744"/>
                <wp:lineTo x="3158" y="13747"/>
                <wp:lineTo x="4100" y="14072"/>
                <wp:lineTo x="5596" y="14072"/>
                <wp:lineTo x="2382" y="14559"/>
                <wp:lineTo x="1939" y="14667"/>
                <wp:lineTo x="1939" y="15804"/>
                <wp:lineTo x="0" y="16128"/>
                <wp:lineTo x="0" y="18131"/>
                <wp:lineTo x="10195" y="18401"/>
                <wp:lineTo x="7757" y="19267"/>
                <wp:lineTo x="7757" y="21216"/>
                <wp:lineTo x="10195" y="21324"/>
                <wp:lineTo x="19946" y="21324"/>
                <wp:lineTo x="21553" y="21216"/>
                <wp:lineTo x="21553" y="19267"/>
                <wp:lineTo x="19946" y="18401"/>
                <wp:lineTo x="19946" y="16670"/>
                <wp:lineTo x="17674" y="15804"/>
                <wp:lineTo x="18727" y="15804"/>
                <wp:lineTo x="19060" y="15587"/>
                <wp:lineTo x="19115" y="14396"/>
                <wp:lineTo x="18616" y="14288"/>
                <wp:lineTo x="15292" y="14072"/>
                <wp:lineTo x="16566" y="14072"/>
                <wp:lineTo x="17342" y="13747"/>
                <wp:lineTo x="17397" y="11853"/>
                <wp:lineTo x="17120" y="11744"/>
                <wp:lineTo x="15292" y="11474"/>
                <wp:lineTo x="15292" y="9742"/>
                <wp:lineTo x="16400" y="9742"/>
                <wp:lineTo x="19060" y="9147"/>
                <wp:lineTo x="19115" y="7848"/>
                <wp:lineTo x="15292" y="7144"/>
                <wp:lineTo x="16843" y="7144"/>
                <wp:lineTo x="17342" y="6928"/>
                <wp:lineTo x="17397" y="5087"/>
                <wp:lineTo x="17120" y="4979"/>
                <wp:lineTo x="15292" y="4546"/>
                <wp:lineTo x="18118" y="4546"/>
                <wp:lineTo x="19115" y="4330"/>
                <wp:lineTo x="19170" y="3139"/>
                <wp:lineTo x="18616" y="2977"/>
                <wp:lineTo x="15735" y="2814"/>
                <wp:lineTo x="17287" y="2111"/>
                <wp:lineTo x="17287" y="108"/>
                <wp:lineTo x="3158" y="108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3 Sunderland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7" t="11223" r="17483" b="41554"/>
                    <a:stretch/>
                  </pic:blipFill>
                  <pic:spPr bwMode="auto">
                    <a:xfrm>
                      <a:off x="0" y="0"/>
                      <a:ext cx="4951095" cy="506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B06" w:rsidRPr="00024B6B" w:rsidRDefault="009A6B06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BE06DC" w:rsidRPr="00024B6B" w:rsidRDefault="00BE06DC" w:rsidP="00711410">
      <w:pPr>
        <w:jc w:val="both"/>
        <w:rPr>
          <w:rFonts w:ascii="Arial" w:hAnsi="Arial" w:cs="Arial"/>
          <w:szCs w:val="18"/>
          <w:lang w:val="en-US"/>
        </w:rPr>
      </w:pPr>
    </w:p>
    <w:p w:rsidR="000752BF" w:rsidRPr="00024B6B" w:rsidRDefault="000752BF" w:rsidP="00711410">
      <w:pPr>
        <w:jc w:val="both"/>
        <w:rPr>
          <w:rFonts w:ascii="Arial" w:hAnsi="Arial" w:cs="Arial"/>
          <w:szCs w:val="18"/>
          <w:lang w:val="en-US"/>
        </w:rPr>
      </w:pPr>
    </w:p>
    <w:p w:rsidR="000752BF" w:rsidRPr="00024B6B" w:rsidRDefault="000752BF" w:rsidP="00711410">
      <w:pPr>
        <w:jc w:val="both"/>
        <w:rPr>
          <w:rFonts w:ascii="Arial" w:hAnsi="Arial" w:cs="Arial"/>
          <w:szCs w:val="18"/>
          <w:lang w:val="en-US"/>
        </w:rPr>
      </w:pPr>
    </w:p>
    <w:p w:rsidR="000752BF" w:rsidRPr="00024B6B" w:rsidRDefault="000752BF" w:rsidP="00711410">
      <w:pPr>
        <w:jc w:val="both"/>
        <w:rPr>
          <w:rFonts w:ascii="Arial" w:hAnsi="Arial" w:cs="Arial"/>
          <w:szCs w:val="18"/>
          <w:lang w:val="en-US"/>
        </w:rPr>
      </w:pPr>
    </w:p>
    <w:tbl>
      <w:tblPr>
        <w:tblStyle w:val="Tabelraster"/>
        <w:tblW w:w="8364" w:type="dxa"/>
        <w:tblLayout w:type="fixed"/>
        <w:tblLook w:val="04A0" w:firstRow="1" w:lastRow="0" w:firstColumn="1" w:lastColumn="0" w:noHBand="0" w:noVBand="1"/>
      </w:tblPr>
      <w:tblGrid>
        <w:gridCol w:w="688"/>
        <w:gridCol w:w="583"/>
        <w:gridCol w:w="718"/>
        <w:gridCol w:w="174"/>
        <w:gridCol w:w="89"/>
        <w:gridCol w:w="928"/>
        <w:gridCol w:w="984"/>
        <w:gridCol w:w="86"/>
        <w:gridCol w:w="1478"/>
        <w:gridCol w:w="1076"/>
        <w:gridCol w:w="1560"/>
      </w:tblGrid>
      <w:tr w:rsidR="00F62D7D" w:rsidRPr="00024B6B" w:rsidTr="000752BF">
        <w:trPr>
          <w:trHeight w:val="199"/>
        </w:trPr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BDBF"/>
          </w:tcPr>
          <w:p w:rsidR="00F62D7D" w:rsidRPr="00024B6B" w:rsidRDefault="00F62D7D" w:rsidP="000752B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24B6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Table S</w:t>
            </w:r>
            <w:r w:rsidR="009E31A4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70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F62D7D" w:rsidRPr="00024B6B" w:rsidTr="000752BF">
        <w:trPr>
          <w:trHeight w:val="199"/>
        </w:trPr>
        <w:tc>
          <w:tcPr>
            <w:tcW w:w="836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24B6B">
              <w:rPr>
                <w:rFonts w:ascii="Arial" w:hAnsi="Arial" w:cs="Arial"/>
                <w:b/>
                <w:sz w:val="24"/>
                <w:szCs w:val="24"/>
                <w:lang w:val="en-US"/>
              </w:rPr>
              <w:t>Patient characteristics table</w:t>
            </w:r>
          </w:p>
        </w:tc>
      </w:tr>
      <w:tr w:rsidR="00F62D7D" w:rsidRPr="00024B6B" w:rsidTr="000752BF">
        <w:trPr>
          <w:trHeight w:val="199"/>
        </w:trPr>
        <w:tc>
          <w:tcPr>
            <w:tcW w:w="21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</w:p>
        </w:tc>
      </w:tr>
      <w:tr w:rsidR="00F62D7D" w:rsidRPr="00024B6B" w:rsidTr="000752BF">
        <w:trPr>
          <w:trHeight w:val="199"/>
        </w:trPr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Age</w:t>
            </w:r>
          </w:p>
        </w:tc>
        <w:tc>
          <w:tcPr>
            <w:tcW w:w="35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Years (SD, range)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42 (12.5, 23-68)</w:t>
            </w:r>
          </w:p>
        </w:tc>
      </w:tr>
      <w:tr w:rsidR="00F62D7D" w:rsidRPr="00024B6B" w:rsidTr="000752BF">
        <w:trPr>
          <w:trHeight w:val="189"/>
        </w:trPr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3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23 female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13 male</w:t>
            </w:r>
          </w:p>
        </w:tc>
      </w:tr>
      <w:tr w:rsidR="00F62D7D" w:rsidRPr="00024B6B" w:rsidTr="000752BF">
        <w:trPr>
          <w:trHeight w:val="189"/>
        </w:trPr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Time since injury</w:t>
            </w:r>
          </w:p>
        </w:tc>
        <w:tc>
          <w:tcPr>
            <w:tcW w:w="35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Days (SD, range)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210 (289, 3-1073)</w:t>
            </w:r>
          </w:p>
        </w:tc>
      </w:tr>
      <w:tr w:rsidR="00F62D7D" w:rsidRPr="00024B6B" w:rsidTr="000752BF">
        <w:trPr>
          <w:trHeight w:val="189"/>
        </w:trPr>
        <w:tc>
          <w:tcPr>
            <w:tcW w:w="2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Follow-up period</w:t>
            </w:r>
          </w:p>
        </w:tc>
        <w:tc>
          <w:tcPr>
            <w:tcW w:w="356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566 (218, 149-865)</w:t>
            </w:r>
          </w:p>
        </w:tc>
      </w:tr>
      <w:tr w:rsidR="00F62D7D" w:rsidRPr="00024B6B" w:rsidTr="000752BF">
        <w:trPr>
          <w:trHeight w:val="189"/>
        </w:trPr>
        <w:tc>
          <w:tcPr>
            <w:tcW w:w="57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b/>
                <w:sz w:val="18"/>
                <w:szCs w:val="18"/>
                <w:lang w:val="en-US"/>
              </w:rPr>
              <w:t>n (%)</w:t>
            </w:r>
          </w:p>
        </w:tc>
      </w:tr>
      <w:tr w:rsidR="00F62D7D" w:rsidRPr="00024B6B" w:rsidTr="000752BF">
        <w:trPr>
          <w:trHeight w:val="183"/>
        </w:trPr>
        <w:tc>
          <w:tcPr>
            <w:tcW w:w="19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Mechanism of injury</w:t>
            </w: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Third molar removal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17 (47)</w:t>
            </w:r>
          </w:p>
        </w:tc>
      </w:tr>
      <w:tr w:rsidR="00F62D7D" w:rsidRPr="00024B6B" w:rsidTr="000752BF">
        <w:trPr>
          <w:trHeight w:val="183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Implant placement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 (11)</w:t>
            </w:r>
          </w:p>
        </w:tc>
      </w:tr>
      <w:tr w:rsidR="00F62D7D" w:rsidRPr="00024B6B" w:rsidTr="000752BF">
        <w:trPr>
          <w:trHeight w:val="183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Facial trauma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 (11)</w:t>
            </w:r>
          </w:p>
        </w:tc>
      </w:tr>
      <w:tr w:rsidR="00F62D7D" w:rsidRPr="00024B6B" w:rsidTr="000752BF">
        <w:trPr>
          <w:trHeight w:val="183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Local anesthesia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</w:tr>
      <w:tr w:rsidR="00F62D7D" w:rsidRPr="00024B6B" w:rsidTr="000752BF">
        <w:trPr>
          <w:trHeight w:val="183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Non-wisdom tooth extraction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16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Endodontic treatment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16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</w:tr>
      <w:tr w:rsidR="00F62D7D" w:rsidRPr="00024B6B" w:rsidTr="000752BF">
        <w:trPr>
          <w:trHeight w:val="141"/>
        </w:trPr>
        <w:tc>
          <w:tcPr>
            <w:tcW w:w="198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Site of injury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Inferior alveolar nerve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23 (64)</w:t>
            </w:r>
          </w:p>
        </w:tc>
      </w:tr>
      <w:tr w:rsidR="00F62D7D" w:rsidRPr="00024B6B" w:rsidTr="000752BF">
        <w:trPr>
          <w:trHeight w:val="141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Lingual nerve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</w:tr>
      <w:tr w:rsidR="00F62D7D" w:rsidRPr="00024B6B" w:rsidTr="000752BF">
        <w:trPr>
          <w:trHeight w:val="141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Maxillary nerve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141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Ophthalmic nerve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</w:tr>
      <w:tr w:rsidR="00F62D7D" w:rsidRPr="00024B6B" w:rsidTr="000752BF">
        <w:trPr>
          <w:trHeight w:val="141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Right-sided PTN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19 (53)</w:t>
            </w:r>
          </w:p>
        </w:tc>
      </w:tr>
      <w:tr w:rsidR="00F62D7D" w:rsidRPr="00024B6B" w:rsidTr="000752BF">
        <w:trPr>
          <w:trHeight w:val="141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Left-sided PTN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17(47)</w:t>
            </w:r>
          </w:p>
        </w:tc>
      </w:tr>
      <w:tr w:rsidR="00F62D7D" w:rsidRPr="00024B6B" w:rsidTr="000752BF">
        <w:trPr>
          <w:trHeight w:val="199"/>
        </w:trPr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QST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</w:tr>
      <w:tr w:rsidR="00F62D7D" w:rsidRPr="00024B6B" w:rsidTr="000752BF">
        <w:trPr>
          <w:trHeight w:val="188"/>
        </w:trPr>
        <w:tc>
          <w:tcPr>
            <w:tcW w:w="198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Surgical reintervention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187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Buccal fat wrapping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</w:tr>
      <w:tr w:rsidR="00F62D7D" w:rsidRPr="00024B6B" w:rsidTr="000752BF">
        <w:trPr>
          <w:trHeight w:val="187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Microsurgical repair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187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Decompression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187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Neuroma excision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187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Foreign body removal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</w:tr>
      <w:tr w:rsidR="00F62D7D" w:rsidRPr="00024B6B" w:rsidTr="000752BF">
        <w:trPr>
          <w:trHeight w:val="163"/>
        </w:trPr>
        <w:tc>
          <w:tcPr>
            <w:tcW w:w="198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MRN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163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Lead to change of policy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(71)</w:t>
            </w:r>
          </w:p>
        </w:tc>
      </w:tr>
      <w:tr w:rsidR="00F62D7D" w:rsidRPr="00024B6B" w:rsidTr="000752BF">
        <w:trPr>
          <w:trHeight w:val="163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Lead to surgical reintervention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(43)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Reported symptoms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Numbness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31 (86)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Pain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16 (44)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Stinging pain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Nagging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Burning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Sensitive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Swollen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Stinging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9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Pulling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84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Electrical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6 (17)</w:t>
            </w:r>
          </w:p>
        </w:tc>
      </w:tr>
      <w:tr w:rsidR="00F62D7D" w:rsidRPr="00024B6B" w:rsidTr="000752BF">
        <w:trPr>
          <w:trHeight w:val="84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Tickling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6 (17)</w:t>
            </w:r>
          </w:p>
        </w:tc>
      </w:tr>
      <w:tr w:rsidR="00F62D7D" w:rsidRPr="00024B6B" w:rsidTr="000752BF">
        <w:trPr>
          <w:trHeight w:val="199"/>
        </w:trPr>
        <w:tc>
          <w:tcPr>
            <w:tcW w:w="836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F62D7D" w:rsidRPr="00024B6B" w:rsidTr="000752BF">
        <w:trPr>
          <w:trHeight w:val="397"/>
        </w:trPr>
        <w:tc>
          <w:tcPr>
            <w:tcW w:w="57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b/>
                <w:sz w:val="18"/>
                <w:szCs w:val="18"/>
                <w:lang w:val="en-US"/>
              </w:rPr>
              <w:t>Neurosensory assessment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b/>
                <w:sz w:val="18"/>
                <w:szCs w:val="18"/>
                <w:lang w:val="en-US"/>
              </w:rPr>
              <w:t>Baseline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b/>
                <w:sz w:val="18"/>
                <w:szCs w:val="18"/>
                <w:lang w:val="en-US"/>
              </w:rPr>
              <w:t>Final follow-up</w:t>
            </w:r>
          </w:p>
        </w:tc>
      </w:tr>
      <w:tr w:rsidR="00F62D7D" w:rsidRPr="00024B6B" w:rsidTr="000752BF">
        <w:trPr>
          <w:trHeight w:val="199"/>
        </w:trPr>
        <w:tc>
          <w:tcPr>
            <w:tcW w:w="41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Percentage of affected dermatome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% (SD)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91 (21)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40 (46)</w:t>
            </w:r>
          </w:p>
        </w:tc>
      </w:tr>
      <w:tr w:rsidR="00F62D7D" w:rsidRPr="00024B6B" w:rsidTr="000752BF">
        <w:trPr>
          <w:trHeight w:val="199"/>
        </w:trPr>
        <w:tc>
          <w:tcPr>
            <w:tcW w:w="41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Two-point discrimination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mm (SD)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14 (7)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(5)</w:t>
            </w:r>
          </w:p>
        </w:tc>
      </w:tr>
      <w:tr w:rsidR="00F62D7D" w:rsidRPr="00024B6B" w:rsidTr="000752BF">
        <w:trPr>
          <w:trHeight w:val="199"/>
        </w:trPr>
        <w:tc>
          <w:tcPr>
            <w:tcW w:w="41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Stimulus localization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/5 (SD)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 (2)</w:t>
            </w:r>
          </w:p>
        </w:tc>
      </w:tr>
      <w:tr w:rsidR="00F62D7D" w:rsidRPr="00024B6B" w:rsidTr="000752BF">
        <w:trPr>
          <w:trHeight w:val="199"/>
        </w:trPr>
        <w:tc>
          <w:tcPr>
            <w:tcW w:w="41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Directional discrimination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/10 (SD)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6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 (3)</w:t>
            </w:r>
          </w:p>
        </w:tc>
      </w:tr>
      <w:tr w:rsidR="00F62D7D" w:rsidRPr="00024B6B" w:rsidTr="000752BF">
        <w:trPr>
          <w:trHeight w:val="199"/>
        </w:trPr>
        <w:tc>
          <w:tcPr>
            <w:tcW w:w="416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Brush stroke allodynia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</w:tr>
      <w:tr w:rsidR="00F62D7D" w:rsidRPr="00024B6B" w:rsidTr="000752BF">
        <w:trPr>
          <w:trHeight w:val="142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MRCS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S0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13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S1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13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S2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13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S2+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</w:tr>
      <w:tr w:rsidR="00F62D7D" w:rsidRPr="00024B6B" w:rsidTr="000752BF">
        <w:trPr>
          <w:trHeight w:val="13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S3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</w:tr>
      <w:tr w:rsidR="00F62D7D" w:rsidRPr="00024B6B" w:rsidTr="000752BF">
        <w:trPr>
          <w:trHeight w:val="13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S3+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138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S4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23 (64)</w:t>
            </w:r>
          </w:p>
        </w:tc>
      </w:tr>
      <w:tr w:rsidR="00F62D7D" w:rsidRPr="00024B6B" w:rsidTr="000752BF">
        <w:trPr>
          <w:trHeight w:val="37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Sunderland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35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IV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6 (17)</w:t>
            </w:r>
          </w:p>
        </w:tc>
      </w:tr>
      <w:tr w:rsidR="00F62D7D" w:rsidRPr="00024B6B" w:rsidTr="000752BF">
        <w:trPr>
          <w:trHeight w:val="35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III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82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II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</w:tr>
      <w:tr w:rsidR="00F62D7D" w:rsidRPr="00024B6B" w:rsidTr="000752BF">
        <w:trPr>
          <w:trHeight w:val="35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25 (69)</w:t>
            </w:r>
          </w:p>
        </w:tc>
      </w:tr>
      <w:tr w:rsidR="00F62D7D" w:rsidRPr="00024B6B" w:rsidTr="000752BF">
        <w:trPr>
          <w:trHeight w:val="61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Sensory phenotype</w:t>
            </w:r>
          </w:p>
        </w:tc>
        <w:tc>
          <w:tcPr>
            <w:tcW w:w="1191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Loss of function</w:t>
            </w: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L0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 (11)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24 (67)</w:t>
            </w:r>
          </w:p>
        </w:tc>
      </w:tr>
      <w:tr w:rsidR="00F62D7D" w:rsidRPr="00024B6B" w:rsidTr="000752BF">
        <w:trPr>
          <w:trHeight w:val="5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L1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90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L2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 (25)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90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L3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22 (61)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(22)</w:t>
            </w:r>
          </w:p>
        </w:tc>
      </w:tr>
      <w:tr w:rsidR="00F62D7D" w:rsidRPr="00024B6B" w:rsidTr="000752BF">
        <w:trPr>
          <w:trHeight w:val="4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Gain of function</w:t>
            </w:r>
          </w:p>
        </w:tc>
        <w:tc>
          <w:tcPr>
            <w:tcW w:w="9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G0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19 (53)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28 (78)</w:t>
            </w:r>
          </w:p>
        </w:tc>
      </w:tr>
      <w:tr w:rsidR="00F62D7D" w:rsidRPr="00024B6B" w:rsidTr="000752BF">
        <w:trPr>
          <w:trHeight w:val="44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G1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44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G2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</w:tr>
      <w:tr w:rsidR="00F62D7D" w:rsidRPr="00024B6B" w:rsidTr="000752BF">
        <w:trPr>
          <w:trHeight w:val="44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G3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</w:tr>
      <w:tr w:rsidR="00F62D7D" w:rsidRPr="00024B6B" w:rsidTr="000752BF">
        <w:trPr>
          <w:trHeight w:val="397"/>
        </w:trPr>
        <w:tc>
          <w:tcPr>
            <w:tcW w:w="198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Pain</w:t>
            </w:r>
          </w:p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(pain-VAS)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/100 (SD)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20 (26)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13 (25)</w:t>
            </w:r>
          </w:p>
        </w:tc>
      </w:tr>
      <w:tr w:rsidR="00F62D7D" w:rsidRPr="00024B6B" w:rsidTr="000752BF">
        <w:trPr>
          <w:trHeight w:val="199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Quality of life</w:t>
            </w:r>
          </w:p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(EQ5D)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Mobility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AE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B3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3/5, %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Selfcare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Daily activities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Discomfort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Anxiety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0 (0)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VAS Quality of Life  </w:t>
            </w: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/100 (SD)</w:t>
            </w: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59 (18)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72 (22)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Anxiety</w:t>
            </w:r>
          </w:p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(GAD-7)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(11)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(8%)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(5)</w:t>
            </w:r>
          </w:p>
        </w:tc>
      </w:tr>
      <w:tr w:rsidR="00F62D7D" w:rsidRPr="00024B6B" w:rsidTr="000752BF">
        <w:trPr>
          <w:trHeight w:val="4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Mild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15 (42)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(22)</w:t>
            </w:r>
          </w:p>
        </w:tc>
      </w:tr>
      <w:tr w:rsidR="00F62D7D" w:rsidRPr="00024B6B" w:rsidTr="000752BF">
        <w:trPr>
          <w:trHeight w:val="97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Depression</w:t>
            </w:r>
          </w:p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(PHQ-9)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 (11)</w:t>
            </w:r>
          </w:p>
        </w:tc>
      </w:tr>
      <w:tr w:rsidR="00F62D7D" w:rsidRPr="00024B6B" w:rsidTr="000752BF">
        <w:trPr>
          <w:trHeight w:val="3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Moderately severe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3 (8)</w:t>
            </w:r>
          </w:p>
        </w:tc>
      </w:tr>
      <w:tr w:rsidR="00F62D7D" w:rsidRPr="00024B6B" w:rsidTr="000752BF">
        <w:trPr>
          <w:trHeight w:val="3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 (3)</w:t>
            </w:r>
          </w:p>
        </w:tc>
      </w:tr>
      <w:tr w:rsidR="00F62D7D" w:rsidRPr="00024B6B" w:rsidTr="000752BF">
        <w:trPr>
          <w:trHeight w:val="39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Mild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15 (42)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(22)</w:t>
            </w:r>
          </w:p>
        </w:tc>
      </w:tr>
      <w:tr w:rsidR="00F62D7D" w:rsidRPr="00024B6B" w:rsidTr="000752BF">
        <w:trPr>
          <w:trHeight w:val="66"/>
        </w:trPr>
        <w:tc>
          <w:tcPr>
            <w:tcW w:w="198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Somatic severity of symptoms</w:t>
            </w:r>
          </w:p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(PHQ-15)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High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 (11)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6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Medium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66"/>
        </w:trPr>
        <w:tc>
          <w:tcPr>
            <w:tcW w:w="1989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Low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(22)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 (25)</w:t>
            </w:r>
          </w:p>
        </w:tc>
      </w:tr>
      <w:tr w:rsidR="00F62D7D" w:rsidRPr="00024B6B" w:rsidTr="000752BF">
        <w:trPr>
          <w:trHeight w:val="415"/>
        </w:trPr>
        <w:tc>
          <w:tcPr>
            <w:tcW w:w="198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Neuropathic pain</w:t>
            </w:r>
          </w:p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(DN4)</w:t>
            </w:r>
          </w:p>
        </w:tc>
        <w:tc>
          <w:tcPr>
            <w:tcW w:w="21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AE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B3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3/7, %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18 (50)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(28)</w:t>
            </w:r>
          </w:p>
        </w:tc>
      </w:tr>
      <w:tr w:rsidR="00F62D7D" w:rsidRPr="00024B6B" w:rsidTr="000752BF">
        <w:trPr>
          <w:trHeight w:val="397"/>
        </w:trPr>
        <w:tc>
          <w:tcPr>
            <w:tcW w:w="688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BPI</w:t>
            </w:r>
          </w:p>
        </w:tc>
        <w:tc>
          <w:tcPr>
            <w:tcW w:w="1564" w:type="dxa"/>
            <w:gridSpan w:val="4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Pain severity</w:t>
            </w:r>
          </w:p>
        </w:tc>
        <w:tc>
          <w:tcPr>
            <w:tcW w:w="191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Worst pain in past 24h</w:t>
            </w:r>
          </w:p>
        </w:tc>
        <w:tc>
          <w:tcPr>
            <w:tcW w:w="1564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AE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B3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3/10, %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22 (61)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11 (31)</w:t>
            </w:r>
          </w:p>
        </w:tc>
      </w:tr>
      <w:tr w:rsidR="00F62D7D" w:rsidRPr="00024B6B" w:rsidTr="000752BF">
        <w:trPr>
          <w:trHeight w:val="415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Least pain in past 24h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12 (33)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Average pain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21 (58)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 (25)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Pain now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17 (47)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3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Pain medication</w:t>
            </w: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Number of prescriptions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Corticosteroids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27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Vitamin B IM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</w:tr>
      <w:tr w:rsidR="00F62D7D" w:rsidRPr="00024B6B" w:rsidTr="000752BF">
        <w:trPr>
          <w:trHeight w:val="199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Vitamin B per os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Acetaminophen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Ibuprofen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Amitriptyline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Baclofen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Pregabalin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Oxcarbazepine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Carbamazepine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Duloxetine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</w:tr>
      <w:tr w:rsidR="00F62D7D" w:rsidRPr="00024B6B" w:rsidTr="000752BF">
        <w:trPr>
          <w:trHeight w:val="415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Percentage of relief provided in past 24h (SD)</w:t>
            </w: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41 (40)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28 (41)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Pain interference</w:t>
            </w:r>
          </w:p>
        </w:tc>
        <w:tc>
          <w:tcPr>
            <w:tcW w:w="199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General activities</w:t>
            </w:r>
          </w:p>
        </w:tc>
        <w:tc>
          <w:tcPr>
            <w:tcW w:w="1478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  <w:vAlign w:val="center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AE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B3"/>
            </w: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 3/10, %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17 (47)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7 (19)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Mood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15 (42)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 (25)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Walking ability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2 (6)</w:t>
            </w:r>
          </w:p>
        </w:tc>
      </w:tr>
      <w:tr w:rsidR="00F62D7D" w:rsidRPr="00024B6B" w:rsidTr="000752BF">
        <w:trPr>
          <w:trHeight w:val="199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Normal Tasks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14 (39)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9 (25)</w:t>
            </w:r>
          </w:p>
        </w:tc>
      </w:tr>
      <w:tr w:rsidR="00F62D7D" w:rsidRPr="00024B6B" w:rsidTr="000752BF">
        <w:trPr>
          <w:trHeight w:val="217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Social interaction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12 (33)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5 (14)</w:t>
            </w:r>
          </w:p>
        </w:tc>
      </w:tr>
      <w:tr w:rsidR="00F62D7D" w:rsidRPr="00024B6B" w:rsidTr="000752BF">
        <w:trPr>
          <w:trHeight w:val="148"/>
        </w:trPr>
        <w:tc>
          <w:tcPr>
            <w:tcW w:w="688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gridSpan w:val="4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Joy in life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15 (42)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7E8"/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(22)</w:t>
            </w:r>
          </w:p>
        </w:tc>
      </w:tr>
      <w:tr w:rsidR="00F62D7D" w:rsidRPr="00024B6B" w:rsidTr="000752BF">
        <w:trPr>
          <w:trHeight w:val="199"/>
        </w:trPr>
        <w:tc>
          <w:tcPr>
            <w:tcW w:w="5728" w:type="dxa"/>
            <w:gridSpan w:val="9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Subjective score (SD)</w:t>
            </w:r>
          </w:p>
        </w:tc>
        <w:tc>
          <w:tcPr>
            <w:tcW w:w="107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8 (4)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F62D7D" w:rsidRPr="00024B6B" w:rsidRDefault="00F62D7D" w:rsidP="000752B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>10 (5)</w:t>
            </w:r>
          </w:p>
        </w:tc>
      </w:tr>
      <w:tr w:rsidR="00F62D7D" w:rsidRPr="009E31A4" w:rsidTr="000752BF">
        <w:trPr>
          <w:trHeight w:val="813"/>
        </w:trPr>
        <w:tc>
          <w:tcPr>
            <w:tcW w:w="836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D7D" w:rsidRPr="00024B6B" w:rsidRDefault="00F62D7D" w:rsidP="000752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24B6B">
              <w:rPr>
                <w:rFonts w:ascii="Arial" w:hAnsi="Arial" w:cs="Arial"/>
                <w:sz w:val="18"/>
                <w:szCs w:val="18"/>
                <w:lang w:val="en-US"/>
              </w:rPr>
              <w:t xml:space="preserve">QST = quantitative sensory tests; MRN = magnetic resonance imaging; MRCS = Medical research council scale for sensory recovery; EQ5D = EuroQol five-dimension scale; GAD-7 = General Anxiety Disorder questionnaire; PHQ-9 &amp; PHQ-15 = Public Health questionnaire 9 and 15; DN4 = Douleur Neuropathique 4 questionnaire </w:t>
            </w:r>
          </w:p>
        </w:tc>
      </w:tr>
    </w:tbl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FD1E72" w:rsidRPr="00024B6B" w:rsidRDefault="00FD1E72" w:rsidP="00FD1E72">
      <w:pPr>
        <w:rPr>
          <w:rFonts w:ascii="Arial" w:hAnsi="Arial" w:cs="Arial"/>
          <w:b/>
          <w:lang w:val="en-US"/>
        </w:rPr>
      </w:pPr>
    </w:p>
    <w:p w:rsidR="00711410" w:rsidRPr="00024B6B" w:rsidRDefault="00D15415" w:rsidP="00711410">
      <w:pPr>
        <w:jc w:val="both"/>
        <w:rPr>
          <w:rFonts w:ascii="Arial" w:hAnsi="Arial" w:cs="Arial"/>
          <w:b/>
          <w:szCs w:val="18"/>
          <w:lang w:val="en-US"/>
        </w:rPr>
      </w:pPr>
      <w:r w:rsidRPr="00024B6B">
        <w:rPr>
          <w:rFonts w:ascii="Arial" w:hAnsi="Arial" w:cs="Arial"/>
          <w:b/>
          <w:szCs w:val="18"/>
          <w:lang w:val="en-US"/>
        </w:rPr>
        <w:t>Figure S2. Distribution of PTN cases by mechanism of injury.</w:t>
      </w:r>
    </w:p>
    <w:p w:rsidR="00D15415" w:rsidRPr="00024B6B" w:rsidRDefault="00D15415" w:rsidP="00711410">
      <w:pPr>
        <w:jc w:val="both"/>
        <w:rPr>
          <w:rFonts w:ascii="Arial" w:hAnsi="Arial" w:cs="Arial"/>
          <w:szCs w:val="18"/>
          <w:lang w:val="en-US"/>
        </w:rPr>
      </w:pPr>
    </w:p>
    <w:p w:rsidR="00D15415" w:rsidRPr="00024B6B" w:rsidRDefault="003F615B" w:rsidP="00711410">
      <w:pPr>
        <w:jc w:val="both"/>
        <w:rPr>
          <w:rFonts w:ascii="Arial" w:hAnsi="Arial" w:cs="Arial"/>
          <w:szCs w:val="18"/>
          <w:lang w:val="en-US"/>
        </w:rPr>
      </w:pPr>
      <w:r w:rsidRPr="00024B6B">
        <w:rPr>
          <w:rFonts w:ascii="Arial" w:hAnsi="Arial" w:cs="Arial"/>
          <w:noProof/>
          <w:szCs w:val="1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176530</wp:posOffset>
            </wp:positionV>
            <wp:extent cx="5455920" cy="2966085"/>
            <wp:effectExtent l="0" t="0" r="5080" b="5715"/>
            <wp:wrapTight wrapText="bothSides">
              <wp:wrapPolygon edited="0">
                <wp:start x="151" y="185"/>
                <wp:lineTo x="151" y="21549"/>
                <wp:lineTo x="21570" y="21549"/>
                <wp:lineTo x="21570" y="185"/>
                <wp:lineTo x="151" y="185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 mechanism of injury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1" t="7939" r="11285" b="62222"/>
                    <a:stretch/>
                  </pic:blipFill>
                  <pic:spPr bwMode="auto">
                    <a:xfrm>
                      <a:off x="0" y="0"/>
                      <a:ext cx="5455920" cy="296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 w:rsidP="00711410">
      <w:pPr>
        <w:jc w:val="both"/>
        <w:rPr>
          <w:rFonts w:ascii="Arial" w:hAnsi="Arial" w:cs="Arial"/>
          <w:szCs w:val="18"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11410" w:rsidRPr="00024B6B" w:rsidRDefault="00711410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 w:rsidP="00743F6B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t xml:space="preserve">Figure S3. </w:t>
      </w:r>
      <w:r w:rsidR="00BE06DC" w:rsidRPr="00024B6B">
        <w:rPr>
          <w:rFonts w:ascii="Arial" w:hAnsi="Arial" w:cs="Arial"/>
          <w:b/>
          <w:lang w:val="en-US"/>
        </w:rPr>
        <w:t xml:space="preserve">Distribution of PTN cases by </w:t>
      </w:r>
      <w:r w:rsidRPr="00024B6B">
        <w:rPr>
          <w:rFonts w:ascii="Arial" w:hAnsi="Arial" w:cs="Arial"/>
          <w:b/>
          <w:lang w:val="en-US"/>
        </w:rPr>
        <w:t>MRCS-score at baseline vs. at final follow-up moment.</w:t>
      </w:r>
    </w:p>
    <w:p w:rsidR="00AE5F83" w:rsidRPr="00024B6B" w:rsidRDefault="00AE5F83" w:rsidP="00743F6B">
      <w:pPr>
        <w:rPr>
          <w:rFonts w:ascii="Arial" w:hAnsi="Arial" w:cs="Arial"/>
          <w:b/>
          <w:lang w:val="en-US"/>
        </w:rPr>
      </w:pPr>
    </w:p>
    <w:p w:rsidR="00AE5F83" w:rsidRPr="00024B6B" w:rsidRDefault="00AE5F83" w:rsidP="00743F6B">
      <w:pPr>
        <w:rPr>
          <w:rFonts w:ascii="Arial" w:hAnsi="Arial" w:cs="Arial"/>
          <w:b/>
          <w:lang w:val="en-US"/>
        </w:rPr>
      </w:pPr>
    </w:p>
    <w:p w:rsidR="00AE5F83" w:rsidRPr="00024B6B" w:rsidRDefault="00AE5F83" w:rsidP="00743F6B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270185</wp:posOffset>
            </wp:positionV>
            <wp:extent cx="5523865" cy="3255645"/>
            <wp:effectExtent l="0" t="0" r="0" b="0"/>
            <wp:wrapTight wrapText="bothSides">
              <wp:wrapPolygon edited="0">
                <wp:start x="0" y="0"/>
                <wp:lineTo x="0" y="21402"/>
                <wp:lineTo x="21503" y="21402"/>
                <wp:lineTo x="21503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 MRCS baseline vs followup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2" t="6433" r="15158" b="61538"/>
                    <a:stretch/>
                  </pic:blipFill>
                  <pic:spPr bwMode="auto">
                    <a:xfrm>
                      <a:off x="0" y="0"/>
                      <a:ext cx="5523865" cy="325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F6B" w:rsidRPr="00024B6B" w:rsidRDefault="004F1CF8">
      <w:pPr>
        <w:rPr>
          <w:rFonts w:ascii="Arial" w:hAnsi="Arial" w:cs="Arial"/>
          <w:sz w:val="20"/>
          <w:szCs w:val="18"/>
          <w:lang w:val="en-US"/>
        </w:rPr>
      </w:pPr>
      <w:r w:rsidRPr="00024B6B">
        <w:rPr>
          <w:rFonts w:ascii="Arial" w:hAnsi="Arial" w:cs="Arial"/>
          <w:sz w:val="20"/>
          <w:szCs w:val="18"/>
          <w:lang w:val="en-US"/>
        </w:rPr>
        <w:t>Figure S3:</w:t>
      </w:r>
      <w:r w:rsidR="00AE5F83" w:rsidRPr="00024B6B">
        <w:rPr>
          <w:rFonts w:ascii="Arial" w:hAnsi="Arial" w:cs="Arial"/>
          <w:sz w:val="20"/>
          <w:szCs w:val="18"/>
          <w:lang w:val="en-US"/>
        </w:rPr>
        <w:t xml:space="preserve"> MRCS-score at baseline vs. at final follow-up moment. S0 = Absence of sensibility in the autonomous area of the nerve. S1 = Recovery of deep cutaneous pain and tactile sensibility. S1+ = Recovery of superficial pain sensibility. S2 = Recovery of some degree of superficial cutaneous pain and tactile sensibility. S2+ = as in S2, but with overresponse. S3 = Return of pain and tactile sensibility with disappearance of overresponse, s2PD&gt;15mm, m2PD&gt;7mm. S3+ = Return of sensibility as in S3 with some recovery of two-point discrimination, s2PD: 7-15mm, m2PD: 4-7mm. S4 = complete recovery, s2PD: 2-6mm, m2PD: 2-3mm.</w:t>
      </w: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 w:rsidP="00743F6B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t xml:space="preserve">Figure S4. </w:t>
      </w:r>
      <w:r w:rsidR="00BE06DC" w:rsidRPr="00024B6B">
        <w:rPr>
          <w:rFonts w:ascii="Arial" w:hAnsi="Arial" w:cs="Arial"/>
          <w:b/>
          <w:lang w:val="en-US"/>
        </w:rPr>
        <w:t xml:space="preserve">Distribution of PTN cases by </w:t>
      </w:r>
      <w:r w:rsidRPr="00024B6B">
        <w:rPr>
          <w:rFonts w:ascii="Arial" w:hAnsi="Arial" w:cs="Arial"/>
          <w:b/>
          <w:lang w:val="en-US"/>
        </w:rPr>
        <w:t>Sunderland Clinical classification score at baseline vs. at final follow-up moment.</w:t>
      </w: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743F6B">
      <w:pPr>
        <w:rPr>
          <w:rFonts w:ascii="Arial" w:hAnsi="Arial" w:cs="Arial"/>
          <w:b/>
          <w:lang w:val="en-US"/>
        </w:rPr>
      </w:pPr>
    </w:p>
    <w:p w:rsidR="00743F6B" w:rsidRPr="00024B6B" w:rsidRDefault="00AE5F83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172085</wp:posOffset>
            </wp:positionV>
            <wp:extent cx="5318760" cy="3118485"/>
            <wp:effectExtent l="0" t="0" r="0" b="5715"/>
            <wp:wrapTight wrapText="bothSides">
              <wp:wrapPolygon edited="0">
                <wp:start x="103" y="88"/>
                <wp:lineTo x="103" y="21552"/>
                <wp:lineTo x="21404" y="21552"/>
                <wp:lineTo x="21456" y="88"/>
                <wp:lineTo x="103" y="88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5 Sunderland baseline vs followup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4" t="6980" r="18643" b="63727"/>
                    <a:stretch/>
                  </pic:blipFill>
                  <pic:spPr bwMode="auto">
                    <a:xfrm>
                      <a:off x="0" y="0"/>
                      <a:ext cx="5318760" cy="3118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F83" w:rsidRPr="00024B6B" w:rsidRDefault="00AE5F83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sz w:val="20"/>
          <w:szCs w:val="20"/>
          <w:lang w:val="en-US"/>
        </w:rPr>
      </w:pPr>
      <w:r w:rsidRPr="00024B6B">
        <w:rPr>
          <w:rFonts w:ascii="Arial" w:hAnsi="Arial" w:cs="Arial"/>
          <w:sz w:val="20"/>
          <w:szCs w:val="20"/>
          <w:lang w:val="en-US"/>
        </w:rPr>
        <w:t>Figure S4. Sunderland Clinical classification score at baseline vs. at final follow-up moment. Scoring system was applied as illustrated in figure S1.</w:t>
      </w: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4F1CF8" w:rsidRPr="00024B6B" w:rsidRDefault="004F1CF8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t>Figure S5. Distribution of PTN cases by sensory phenotype at baseline vs at final follow-up.</w:t>
      </w:r>
    </w:p>
    <w:p w:rsidR="00BE06DC" w:rsidRPr="00024B6B" w:rsidRDefault="00BE06DC">
      <w:pPr>
        <w:rPr>
          <w:rFonts w:ascii="Arial" w:hAnsi="Arial" w:cs="Arial"/>
          <w:b/>
          <w:lang w:val="en-US"/>
        </w:rPr>
      </w:pPr>
    </w:p>
    <w:p w:rsidR="00BE06DC" w:rsidRPr="00024B6B" w:rsidRDefault="00BE06DC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179705</wp:posOffset>
            </wp:positionV>
            <wp:extent cx="5553075" cy="3051810"/>
            <wp:effectExtent l="0" t="0" r="0" b="0"/>
            <wp:wrapTight wrapText="bothSides">
              <wp:wrapPolygon edited="0">
                <wp:start x="49" y="90"/>
                <wp:lineTo x="49" y="21213"/>
                <wp:lineTo x="21390" y="21213"/>
                <wp:lineTo x="21390" y="90"/>
                <wp:lineTo x="49" y="9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 Sensory phenotype baseline vs followup.pd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8" t="6022" r="16122" b="64411"/>
                    <a:stretch/>
                  </pic:blipFill>
                  <pic:spPr bwMode="auto">
                    <a:xfrm>
                      <a:off x="0" y="0"/>
                      <a:ext cx="5553075" cy="305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6DC" w:rsidRPr="00024B6B" w:rsidRDefault="00F91374">
      <w:pPr>
        <w:rPr>
          <w:rFonts w:ascii="Arial" w:hAnsi="Arial" w:cs="Arial"/>
          <w:sz w:val="18"/>
          <w:szCs w:val="18"/>
          <w:lang w:val="en-US"/>
        </w:rPr>
      </w:pPr>
      <w:r w:rsidRPr="00024B6B">
        <w:rPr>
          <w:rFonts w:ascii="Arial" w:hAnsi="Arial" w:cs="Arial"/>
          <w:sz w:val="18"/>
          <w:szCs w:val="18"/>
          <w:lang w:val="en-US"/>
        </w:rPr>
        <w:t xml:space="preserve">Figure S5. Distribution of PTN cases by sensory phenotype at baseline vs at final follow-up moment. A code for sensory phenotype was assigned to each individual. All codes consist of a letter L (Loss of function or sensory deficit)  and a letter G (Gain of function or hyperesthesia), followed by number 0 (none), 1 (thermal), 2 (mechanical) or 3 (mixed). For </w:t>
      </w:r>
      <w:r w:rsidR="00024B6B" w:rsidRPr="00024B6B">
        <w:rPr>
          <w:rFonts w:ascii="Arial" w:hAnsi="Arial" w:cs="Arial"/>
          <w:sz w:val="18"/>
          <w:szCs w:val="18"/>
          <w:lang w:val="en-US"/>
        </w:rPr>
        <w:t>example,</w:t>
      </w:r>
      <w:r w:rsidRPr="00024B6B">
        <w:rPr>
          <w:rFonts w:ascii="Arial" w:hAnsi="Arial" w:cs="Arial"/>
          <w:sz w:val="18"/>
          <w:szCs w:val="18"/>
          <w:lang w:val="en-US"/>
        </w:rPr>
        <w:t xml:space="preserve"> L3G0 stands for a patient with mixed sensory loss and no mechanical or thermal hyperesthesia.</w:t>
      </w: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E47080" w:rsidRPr="00024B6B" w:rsidRDefault="00E47080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C1533F" w:rsidRPr="00024B6B" w:rsidRDefault="00C1533F" w:rsidP="00C1533F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t>Figure S6: Evolution of subjective functioning in PTN.</w:t>
      </w: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173990</wp:posOffset>
            </wp:positionV>
            <wp:extent cx="5511800" cy="2726055"/>
            <wp:effectExtent l="0" t="0" r="0" b="0"/>
            <wp:wrapTight wrapText="bothSides">
              <wp:wrapPolygon edited="0">
                <wp:start x="50" y="101"/>
                <wp:lineTo x="50" y="21333"/>
                <wp:lineTo x="21500" y="21333"/>
                <wp:lineTo x="21500" y="101"/>
                <wp:lineTo x="50" y="101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6 subjective functioning evolution in PTN.pd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2" t="8326" r="26171" b="43803"/>
                    <a:stretch/>
                  </pic:blipFill>
                  <pic:spPr bwMode="auto">
                    <a:xfrm>
                      <a:off x="0" y="0"/>
                      <a:ext cx="5511800" cy="272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33F" w:rsidRPr="00024B6B" w:rsidRDefault="00C1533F" w:rsidP="00C1533F">
      <w:pPr>
        <w:jc w:val="both"/>
        <w:rPr>
          <w:rFonts w:ascii="Arial" w:hAnsi="Arial" w:cs="Arial"/>
          <w:sz w:val="18"/>
          <w:szCs w:val="18"/>
          <w:lang w:val="en-US"/>
        </w:rPr>
      </w:pPr>
      <w:r w:rsidRPr="00024B6B">
        <w:rPr>
          <w:rFonts w:ascii="Arial" w:hAnsi="Arial" w:cs="Arial"/>
          <w:sz w:val="18"/>
          <w:szCs w:val="18"/>
          <w:lang w:val="en-US"/>
        </w:rPr>
        <w:t>Figure S6: Evolution of subjective functioning in PTN. Patients were asked to score their current subjective function, ranging from 0 (complete anesthesia)  to 20 (20 for the worst pain imaginable). A score of 10 would mean a normal function and no deficit. This figure shows trends for both positive and negative symptoms evolve in the same direction towards self-perceived normal functioning. A small group of outliers fail to return to this undisrupted status.</w:t>
      </w: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C1533F" w:rsidRPr="00024B6B" w:rsidRDefault="00C1533F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  <w:r w:rsidRPr="00024B6B">
        <w:rPr>
          <w:rFonts w:ascii="Arial" w:hAnsi="Arial" w:cs="Arial"/>
          <w:b/>
          <w:lang w:val="en-US"/>
        </w:rPr>
        <w:t>Table S3. Criteria for near to complete neurosensory recovery</w:t>
      </w: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tbl>
      <w:tblPr>
        <w:tblW w:w="559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2540"/>
        <w:gridCol w:w="1867"/>
      </w:tblGrid>
      <w:tr w:rsidR="002A711B" w:rsidRPr="00024B6B" w:rsidTr="00C402CC">
        <w:trPr>
          <w:trHeight w:val="122"/>
        </w:trPr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BBBDBF"/>
            <w:noWrap/>
            <w:vAlign w:val="bottom"/>
          </w:tcPr>
          <w:p w:rsidR="002A711B" w:rsidRPr="00024B6B" w:rsidRDefault="002A711B" w:rsidP="000752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Table S3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2A711B" w:rsidRPr="00024B6B" w:rsidRDefault="002A711B" w:rsidP="000752BF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A711B" w:rsidRPr="009E31A4" w:rsidTr="00C402CC">
        <w:trPr>
          <w:trHeight w:val="242"/>
        </w:trPr>
        <w:tc>
          <w:tcPr>
            <w:tcW w:w="55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2A711B" w:rsidRPr="00024B6B" w:rsidRDefault="002A711B" w:rsidP="000752BF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Post-traumatic trigeminal neuropathy: Criteria</w:t>
            </w:r>
            <w:r w:rsidR="00024B6B" w:rsidRPr="00024B6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*</w:t>
            </w:r>
            <w:r w:rsidRPr="00024B6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to define near to complete neurosensory recovery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Criterium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tcBorders>
              <w:top w:val="single" w:sz="4" w:space="0" w:color="auto"/>
            </w:tcBorders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% affected dermatome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≤ 10%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VAS</w:t>
            </w:r>
          </w:p>
        </w:tc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≤ 10/100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Directional discrimination</w:t>
            </w:r>
          </w:p>
        </w:tc>
        <w:tc>
          <w:tcPr>
            <w:tcW w:w="1867" w:type="dxa"/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≥ 9/10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Brush stroke allodynia</w:t>
            </w:r>
          </w:p>
        </w:tc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 xml:space="preserve">Stimulus </w:t>
            </w:r>
            <w:r w:rsidR="00024B6B" w:rsidRPr="00024B6B">
              <w:rPr>
                <w:rFonts w:ascii="Arial" w:hAnsi="Arial" w:cs="Arial"/>
                <w:sz w:val="22"/>
                <w:szCs w:val="22"/>
                <w:lang w:val="en-US"/>
              </w:rPr>
              <w:t>localization</w:t>
            </w:r>
          </w:p>
        </w:tc>
        <w:tc>
          <w:tcPr>
            <w:tcW w:w="1867" w:type="dxa"/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≥ 4/5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 xml:space="preserve">Two-point discrimination </w:t>
            </w:r>
          </w:p>
        </w:tc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≤ 3mm</w:t>
            </w:r>
          </w:p>
        </w:tc>
      </w:tr>
      <w:tr w:rsidR="002A711B" w:rsidRPr="00024B6B" w:rsidTr="00C402CC">
        <w:trPr>
          <w:trHeight w:val="186"/>
        </w:trPr>
        <w:tc>
          <w:tcPr>
            <w:tcW w:w="3729" w:type="dxa"/>
            <w:gridSpan w:val="2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(affected - control side)</w:t>
            </w:r>
          </w:p>
        </w:tc>
        <w:tc>
          <w:tcPr>
            <w:tcW w:w="1867" w:type="dxa"/>
            <w:shd w:val="clear" w:color="000000" w:fill="FFFFFF"/>
            <w:noWrap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 xml:space="preserve">Sensory </w:t>
            </w:r>
            <w:r w:rsidR="008A2CA1" w:rsidRPr="00024B6B">
              <w:rPr>
                <w:rFonts w:ascii="Arial" w:hAnsi="Arial" w:cs="Arial"/>
                <w:sz w:val="22"/>
                <w:szCs w:val="22"/>
                <w:lang w:val="en-US"/>
              </w:rPr>
              <w:t>phenotype Loss of function</w:t>
            </w:r>
          </w:p>
        </w:tc>
        <w:tc>
          <w:tcPr>
            <w:tcW w:w="1867" w:type="dxa"/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 xml:space="preserve">Sensory </w:t>
            </w:r>
            <w:r w:rsidR="008A2CA1" w:rsidRPr="00024B6B">
              <w:rPr>
                <w:rFonts w:ascii="Arial" w:hAnsi="Arial" w:cs="Arial"/>
                <w:sz w:val="22"/>
                <w:szCs w:val="22"/>
                <w:lang w:val="en-US"/>
              </w:rPr>
              <w:t>phenotype Gain of function</w:t>
            </w:r>
          </w:p>
        </w:tc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tcBorders>
              <w:bottom w:val="nil"/>
            </w:tcBorders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MRCS</w:t>
            </w:r>
          </w:p>
        </w:tc>
        <w:tc>
          <w:tcPr>
            <w:tcW w:w="1867" w:type="dxa"/>
            <w:tcBorders>
              <w:bottom w:val="nil"/>
            </w:tcBorders>
            <w:shd w:val="clear" w:color="auto" w:fill="E6E7E8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S3+ or S4</w:t>
            </w:r>
          </w:p>
        </w:tc>
      </w:tr>
      <w:tr w:rsidR="002A711B" w:rsidRPr="00024B6B" w:rsidTr="00C402CC">
        <w:trPr>
          <w:trHeight w:val="242"/>
        </w:trPr>
        <w:tc>
          <w:tcPr>
            <w:tcW w:w="3729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Sunderland</w:t>
            </w:r>
          </w:p>
        </w:tc>
        <w:tc>
          <w:tcPr>
            <w:tcW w:w="186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I or II</w:t>
            </w:r>
          </w:p>
        </w:tc>
      </w:tr>
      <w:tr w:rsidR="002A711B" w:rsidRPr="009E31A4" w:rsidTr="00C402CC">
        <w:trPr>
          <w:trHeight w:val="242"/>
        </w:trPr>
        <w:tc>
          <w:tcPr>
            <w:tcW w:w="5596" w:type="dxa"/>
            <w:gridSpan w:val="3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B6B">
              <w:rPr>
                <w:rFonts w:ascii="Arial" w:hAnsi="Arial" w:cs="Arial"/>
                <w:sz w:val="22"/>
                <w:szCs w:val="22"/>
                <w:lang w:val="en-US"/>
              </w:rPr>
              <w:t>*All criteria must be checked in order to qualify for a status of near to complete recovery</w:t>
            </w:r>
          </w:p>
          <w:p w:rsidR="002A711B" w:rsidRPr="00024B6B" w:rsidRDefault="002A711B" w:rsidP="000752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</w:p>
    <w:p w:rsidR="002A711B" w:rsidRPr="00024B6B" w:rsidRDefault="002A711B">
      <w:pPr>
        <w:rPr>
          <w:rFonts w:ascii="Arial" w:hAnsi="Arial" w:cs="Arial"/>
          <w:b/>
          <w:lang w:val="en-US"/>
        </w:rPr>
      </w:pPr>
      <w:bookmarkStart w:id="0" w:name="_GoBack"/>
      <w:bookmarkEnd w:id="0"/>
    </w:p>
    <w:sectPr w:rsidR="002A711B" w:rsidRPr="00024B6B" w:rsidSect="00D83E2B">
      <w:footerReference w:type="even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B0A" w:rsidRDefault="000D4B0A" w:rsidP="00CE7219">
      <w:r>
        <w:separator/>
      </w:r>
    </w:p>
  </w:endnote>
  <w:endnote w:type="continuationSeparator" w:id="0">
    <w:p w:rsidR="000D4B0A" w:rsidRDefault="000D4B0A" w:rsidP="00CE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155033836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0752BF" w:rsidRDefault="000752BF" w:rsidP="000752B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0752BF" w:rsidRDefault="000752BF" w:rsidP="00554BA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2BF" w:rsidRPr="00554BA0" w:rsidRDefault="000D4B0A" w:rsidP="000752BF">
    <w:pPr>
      <w:pStyle w:val="Voettekst"/>
      <w:framePr w:wrap="none" w:vAnchor="text" w:hAnchor="margin" w:xAlign="right" w:y="1"/>
      <w:rPr>
        <w:rStyle w:val="Paginanummer"/>
        <w:lang w:val="en-US"/>
      </w:rPr>
    </w:pPr>
    <w:sdt>
      <w:sdtPr>
        <w:rPr>
          <w:rStyle w:val="Paginanummer"/>
        </w:rPr>
        <w:id w:val="917448793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0752BF">
          <w:rPr>
            <w:rStyle w:val="Paginanummer"/>
          </w:rPr>
          <w:fldChar w:fldCharType="begin"/>
        </w:r>
        <w:r w:rsidR="000752BF" w:rsidRPr="00554BA0">
          <w:rPr>
            <w:rStyle w:val="Paginanummer"/>
            <w:lang w:val="en-US"/>
          </w:rPr>
          <w:instrText xml:space="preserve"> PAGE </w:instrText>
        </w:r>
        <w:r w:rsidR="000752BF">
          <w:rPr>
            <w:rStyle w:val="Paginanummer"/>
          </w:rPr>
          <w:fldChar w:fldCharType="separate"/>
        </w:r>
        <w:r w:rsidR="000752BF" w:rsidRPr="00554BA0">
          <w:rPr>
            <w:rStyle w:val="Paginanummer"/>
            <w:noProof/>
            <w:lang w:val="en-US"/>
          </w:rPr>
          <w:t>1</w:t>
        </w:r>
        <w:r w:rsidR="000752BF">
          <w:rPr>
            <w:rStyle w:val="Paginanummer"/>
          </w:rPr>
          <w:fldChar w:fldCharType="end"/>
        </w:r>
      </w:sdtContent>
    </w:sdt>
    <w:r w:rsidR="000752BF" w:rsidRPr="00554BA0">
      <w:rPr>
        <w:rStyle w:val="Paginanummer"/>
        <w:lang w:val="en-US"/>
      </w:rPr>
      <w:t>/</w:t>
    </w:r>
    <w:r w:rsidR="009E31A4">
      <w:rPr>
        <w:rStyle w:val="Paginanummer"/>
        <w:lang w:val="en-US"/>
      </w:rPr>
      <w:t>11</w:t>
    </w:r>
  </w:p>
  <w:p w:rsidR="000752BF" w:rsidRPr="00CE7219" w:rsidRDefault="000752BF" w:rsidP="00554BA0">
    <w:pPr>
      <w:pStyle w:val="Titel"/>
      <w:ind w:right="360"/>
      <w:rPr>
        <w:rFonts w:ascii="Arial" w:hAnsi="Arial" w:cs="Arial"/>
        <w:sz w:val="16"/>
        <w:szCs w:val="16"/>
        <w:lang w:val="en-US"/>
      </w:rPr>
    </w:pPr>
    <w:r w:rsidRPr="00CE7219">
      <w:rPr>
        <w:rFonts w:ascii="Arial" w:hAnsi="Arial" w:cs="Arial"/>
        <w:sz w:val="16"/>
        <w:szCs w:val="16"/>
        <w:lang w:val="en-US"/>
      </w:rPr>
      <w:t xml:space="preserve">Supplemental digital content: </w:t>
    </w:r>
    <w:r>
      <w:rPr>
        <w:rFonts w:ascii="Arial" w:hAnsi="Arial" w:cs="Arial"/>
        <w:sz w:val="16"/>
        <w:szCs w:val="16"/>
        <w:lang w:val="en-US"/>
      </w:rPr>
      <w:t xml:space="preserve">Post-traumatic trigeminal neuropathy. </w:t>
    </w:r>
    <w:r w:rsidR="00AB17C0">
      <w:rPr>
        <w:rFonts w:ascii="Arial" w:hAnsi="Arial" w:cs="Arial"/>
        <w:sz w:val="16"/>
        <w:szCs w:val="16"/>
        <w:lang w:val="en-US"/>
      </w:rPr>
      <w:t>c</w:t>
    </w:r>
    <w:r>
      <w:rPr>
        <w:rFonts w:ascii="Arial" w:hAnsi="Arial" w:cs="Arial"/>
        <w:sz w:val="16"/>
        <w:szCs w:val="16"/>
        <w:lang w:val="en-US"/>
      </w:rPr>
      <w:t>orrelation between objective and subjective assessments and a prediction model for neurosensory recovery</w:t>
    </w:r>
  </w:p>
  <w:p w:rsidR="000752BF" w:rsidRPr="00CE7219" w:rsidRDefault="000752BF">
    <w:pPr>
      <w:pStyle w:val="Voettekst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B0A" w:rsidRDefault="000D4B0A" w:rsidP="00CE7219">
      <w:r>
        <w:separator/>
      </w:r>
    </w:p>
  </w:footnote>
  <w:footnote w:type="continuationSeparator" w:id="0">
    <w:p w:rsidR="000D4B0A" w:rsidRDefault="000D4B0A" w:rsidP="00CE7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22247"/>
    <w:multiLevelType w:val="hybridMultilevel"/>
    <w:tmpl w:val="94748C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3777E"/>
    <w:multiLevelType w:val="hybridMultilevel"/>
    <w:tmpl w:val="C84ED810"/>
    <w:lvl w:ilvl="0" w:tplc="77AEEB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121AA"/>
    <w:multiLevelType w:val="hybridMultilevel"/>
    <w:tmpl w:val="745C47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541"/>
    <w:multiLevelType w:val="hybridMultilevel"/>
    <w:tmpl w:val="C5084D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91"/>
    <w:rsid w:val="00024B6B"/>
    <w:rsid w:val="000752BF"/>
    <w:rsid w:val="000C473F"/>
    <w:rsid w:val="000D4B0A"/>
    <w:rsid w:val="000F380F"/>
    <w:rsid w:val="00213096"/>
    <w:rsid w:val="002A62EC"/>
    <w:rsid w:val="002A711B"/>
    <w:rsid w:val="003930A4"/>
    <w:rsid w:val="003D6091"/>
    <w:rsid w:val="003F615B"/>
    <w:rsid w:val="004F1CF8"/>
    <w:rsid w:val="00554BA0"/>
    <w:rsid w:val="005A052B"/>
    <w:rsid w:val="005F6288"/>
    <w:rsid w:val="00711410"/>
    <w:rsid w:val="00743F6B"/>
    <w:rsid w:val="007C4832"/>
    <w:rsid w:val="00855C96"/>
    <w:rsid w:val="008A2CA1"/>
    <w:rsid w:val="008A6F5C"/>
    <w:rsid w:val="008C1A7D"/>
    <w:rsid w:val="0090013B"/>
    <w:rsid w:val="009A6B06"/>
    <w:rsid w:val="009E31A4"/>
    <w:rsid w:val="00A14B70"/>
    <w:rsid w:val="00AB17C0"/>
    <w:rsid w:val="00AD5485"/>
    <w:rsid w:val="00AE5F83"/>
    <w:rsid w:val="00B560BF"/>
    <w:rsid w:val="00B61A8A"/>
    <w:rsid w:val="00BE06DC"/>
    <w:rsid w:val="00C1533F"/>
    <w:rsid w:val="00C402CC"/>
    <w:rsid w:val="00CE7219"/>
    <w:rsid w:val="00D01D3C"/>
    <w:rsid w:val="00D15415"/>
    <w:rsid w:val="00D83E2B"/>
    <w:rsid w:val="00DE1040"/>
    <w:rsid w:val="00DF2C98"/>
    <w:rsid w:val="00E47080"/>
    <w:rsid w:val="00E83F6A"/>
    <w:rsid w:val="00EC51DF"/>
    <w:rsid w:val="00F32DFA"/>
    <w:rsid w:val="00F62D7D"/>
    <w:rsid w:val="00F91374"/>
    <w:rsid w:val="00F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3054"/>
  <w14:defaultImageDpi w14:val="32767"/>
  <w15:chartTrackingRefBased/>
  <w15:docId w15:val="{917CD9EB-E802-A94C-862A-4EB92E06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A6B0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E72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7219"/>
  </w:style>
  <w:style w:type="paragraph" w:styleId="Voettekst">
    <w:name w:val="footer"/>
    <w:basedOn w:val="Standaard"/>
    <w:link w:val="VoettekstChar"/>
    <w:uiPriority w:val="99"/>
    <w:unhideWhenUsed/>
    <w:rsid w:val="00CE721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7219"/>
  </w:style>
  <w:style w:type="paragraph" w:styleId="Titel">
    <w:name w:val="Title"/>
    <w:basedOn w:val="Standaard"/>
    <w:next w:val="Standaard"/>
    <w:link w:val="TitelChar"/>
    <w:uiPriority w:val="10"/>
    <w:qFormat/>
    <w:rsid w:val="00CE72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CE7219"/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styleId="Paginanummer">
    <w:name w:val="page number"/>
    <w:basedOn w:val="Standaardalinea-lettertype"/>
    <w:uiPriority w:val="99"/>
    <w:semiHidden/>
    <w:unhideWhenUsed/>
    <w:rsid w:val="00554BA0"/>
  </w:style>
  <w:style w:type="paragraph" w:styleId="Lijstalinea">
    <w:name w:val="List Paragraph"/>
    <w:basedOn w:val="Standaard"/>
    <w:uiPriority w:val="34"/>
    <w:qFormat/>
    <w:rsid w:val="00075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11</Pages>
  <Words>1281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meewis</dc:creator>
  <cp:keywords/>
  <dc:description/>
  <cp:lastModifiedBy>jeroen meewis</cp:lastModifiedBy>
  <cp:revision>27</cp:revision>
  <dcterms:created xsi:type="dcterms:W3CDTF">2021-01-02T09:12:00Z</dcterms:created>
  <dcterms:modified xsi:type="dcterms:W3CDTF">2021-05-16T15:47:00Z</dcterms:modified>
</cp:coreProperties>
</file>